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CA" w:rsidRPr="00BB4B34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УТВЕРЖДЕНО</w:t>
      </w:r>
    </w:p>
    <w:p w:rsidR="00742DCA" w:rsidRPr="00BB4B34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ab/>
      </w:r>
      <w:r w:rsidRPr="00BB4B34">
        <w:rPr>
          <w:rFonts w:ascii="Times New Roman" w:hAnsi="Times New Roman"/>
          <w:b w:val="0"/>
          <w:sz w:val="24"/>
          <w:szCs w:val="24"/>
        </w:rPr>
        <w:tab/>
        <w:t>Приказом Генерального директора</w:t>
      </w:r>
    </w:p>
    <w:p w:rsidR="00742DCA" w:rsidRPr="00BB4B34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ООО УК «АК БАРС КАПИТАЛ»</w:t>
      </w:r>
    </w:p>
    <w:p w:rsidR="00742DCA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 xml:space="preserve">№ </w:t>
      </w:r>
      <w:r w:rsidR="0080317B">
        <w:rPr>
          <w:rFonts w:ascii="Times New Roman" w:hAnsi="Times New Roman"/>
          <w:b w:val="0"/>
          <w:sz w:val="24"/>
          <w:szCs w:val="24"/>
        </w:rPr>
        <w:t>О07/06/01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0</w:t>
      </w:r>
      <w:r w:rsidR="00804D1D">
        <w:rPr>
          <w:rFonts w:ascii="Times New Roman" w:hAnsi="Times New Roman"/>
          <w:b w:val="0"/>
          <w:sz w:val="24"/>
          <w:szCs w:val="24"/>
        </w:rPr>
        <w:t>6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июля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г. </w:t>
      </w:r>
    </w:p>
    <w:p w:rsidR="002055D7" w:rsidRDefault="002055D7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Протоколом общего собрания владельцев инвестиционных паев ЗПИФ рентного </w:t>
      </w:r>
    </w:p>
    <w:p w:rsidR="002055D7" w:rsidRPr="00BB4B34" w:rsidRDefault="002055D7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«АК БАРС – Горизонт» от 28.06.2016г.</w:t>
      </w:r>
    </w:p>
    <w:p w:rsidR="00501353" w:rsidRDefault="00501353" w:rsidP="00501353">
      <w:pPr>
        <w:jc w:val="right"/>
        <w:rPr>
          <w:bCs/>
        </w:rPr>
      </w:pPr>
    </w:p>
    <w:p w:rsidR="008D4F71" w:rsidRPr="00501353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</w:t>
      </w:r>
      <w:r w:rsidR="00742DCA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и дополнени</w:t>
      </w:r>
      <w:r w:rsidR="00742DCA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</w:t>
      </w:r>
      <w:r w:rsidR="008F63F0">
        <w:rPr>
          <w:rFonts w:ascii="Times New Roman" w:hAnsi="Times New Roman"/>
          <w:b/>
          <w:bCs/>
        </w:rPr>
        <w:t>№</w:t>
      </w:r>
      <w:r w:rsidR="001A2DAA">
        <w:rPr>
          <w:rFonts w:ascii="Times New Roman" w:hAnsi="Times New Roman"/>
          <w:b/>
          <w:bCs/>
        </w:rPr>
        <w:t>8</w:t>
      </w: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 Правила доверительного управления </w:t>
      </w:r>
    </w:p>
    <w:p w:rsidR="00797A17" w:rsidRPr="00797A17" w:rsidRDefault="008D4F71" w:rsidP="00797A17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Закрытым паевым инвестиционным </w:t>
      </w:r>
      <w:r w:rsidR="009751B6">
        <w:rPr>
          <w:rFonts w:ascii="Times New Roman" w:hAnsi="Times New Roman"/>
          <w:b/>
          <w:bCs/>
        </w:rPr>
        <w:t xml:space="preserve">рентным </w:t>
      </w:r>
      <w:r>
        <w:rPr>
          <w:rFonts w:ascii="Times New Roman" w:hAnsi="Times New Roman"/>
          <w:b/>
          <w:bCs/>
        </w:rPr>
        <w:t>фондом «</w:t>
      </w:r>
      <w:r w:rsidR="00231F59">
        <w:rPr>
          <w:rFonts w:ascii="Times New Roman" w:hAnsi="Times New Roman"/>
          <w:b/>
          <w:bCs/>
        </w:rPr>
        <w:t xml:space="preserve">АК БАРС - </w:t>
      </w:r>
      <w:r w:rsidR="009751B6">
        <w:rPr>
          <w:rFonts w:ascii="Times New Roman" w:hAnsi="Times New Roman"/>
          <w:b/>
          <w:bCs/>
        </w:rPr>
        <w:t>Горизонт</w:t>
      </w:r>
      <w:r w:rsidR="00797A17" w:rsidRPr="00797A17">
        <w:rPr>
          <w:rFonts w:ascii="Times New Roman" w:hAnsi="Times New Roman"/>
          <w:b/>
          <w:bCs/>
        </w:rPr>
        <w:t>»</w:t>
      </w:r>
    </w:p>
    <w:p w:rsidR="001A426D" w:rsidRDefault="001A426D" w:rsidP="00797A17">
      <w:pPr>
        <w:pStyle w:val="a3"/>
        <w:spacing w:after="60"/>
        <w:ind w:firstLine="284"/>
        <w:rPr>
          <w:rFonts w:ascii="Times New Roman" w:hAnsi="Times New Roman"/>
          <w:sz w:val="20"/>
          <w:szCs w:val="20"/>
        </w:rPr>
      </w:pPr>
      <w:r w:rsidRPr="00897CA3">
        <w:rPr>
          <w:rFonts w:ascii="Times New Roman" w:hAnsi="Times New Roman"/>
          <w:sz w:val="20"/>
          <w:szCs w:val="20"/>
        </w:rPr>
        <w:t>(</w:t>
      </w:r>
      <w:r w:rsidR="00D91420" w:rsidRPr="00D91420">
        <w:rPr>
          <w:rFonts w:ascii="Times New Roman" w:hAnsi="Times New Roman"/>
          <w:sz w:val="20"/>
          <w:szCs w:val="20"/>
        </w:rPr>
        <w:t xml:space="preserve">Правила зарегистрированы ФСФР России за  № </w:t>
      </w:r>
      <w:r w:rsidR="009751B6">
        <w:rPr>
          <w:rFonts w:ascii="Times New Roman" w:hAnsi="Times New Roman"/>
          <w:sz w:val="20"/>
          <w:szCs w:val="20"/>
        </w:rPr>
        <w:t>1504-94198349</w:t>
      </w:r>
      <w:r w:rsidR="00D91420" w:rsidRPr="00D91420">
        <w:rPr>
          <w:rFonts w:ascii="Times New Roman" w:hAnsi="Times New Roman"/>
          <w:color w:val="000000"/>
          <w:spacing w:val="-5"/>
          <w:sz w:val="20"/>
          <w:szCs w:val="20"/>
        </w:rPr>
        <w:t xml:space="preserve"> от </w:t>
      </w:r>
      <w:r w:rsidR="009751B6">
        <w:rPr>
          <w:rFonts w:ascii="Times New Roman" w:hAnsi="Times New Roman"/>
          <w:sz w:val="20"/>
          <w:szCs w:val="20"/>
        </w:rPr>
        <w:t>04</w:t>
      </w:r>
      <w:r w:rsidR="00D91420" w:rsidRPr="00D91420">
        <w:rPr>
          <w:rFonts w:ascii="Times New Roman" w:hAnsi="Times New Roman"/>
          <w:sz w:val="20"/>
          <w:szCs w:val="20"/>
        </w:rPr>
        <w:t>.0</w:t>
      </w:r>
      <w:r w:rsidR="009751B6">
        <w:rPr>
          <w:rFonts w:ascii="Times New Roman" w:hAnsi="Times New Roman"/>
          <w:sz w:val="20"/>
          <w:szCs w:val="20"/>
        </w:rPr>
        <w:t>8</w:t>
      </w:r>
      <w:r w:rsidR="00D91420" w:rsidRPr="00D91420">
        <w:rPr>
          <w:rFonts w:ascii="Times New Roman" w:hAnsi="Times New Roman"/>
          <w:sz w:val="20"/>
          <w:szCs w:val="20"/>
        </w:rPr>
        <w:t>.2009 г.</w:t>
      </w:r>
      <w:r w:rsidR="00897CA3" w:rsidRPr="00D91420">
        <w:rPr>
          <w:rFonts w:ascii="Times New Roman" w:hAnsi="Times New Roman"/>
          <w:sz w:val="20"/>
          <w:szCs w:val="20"/>
        </w:rPr>
        <w:t>)</w:t>
      </w:r>
    </w:p>
    <w:p w:rsidR="00742DCA" w:rsidRPr="00742DCA" w:rsidRDefault="00742DCA" w:rsidP="00797A17">
      <w:pPr>
        <w:pStyle w:val="a3"/>
        <w:spacing w:after="60"/>
        <w:ind w:firstLine="284"/>
        <w:rPr>
          <w:rFonts w:ascii="Times New Roman" w:hAnsi="Times New Roman"/>
          <w:sz w:val="20"/>
          <w:szCs w:val="20"/>
        </w:rPr>
      </w:pPr>
    </w:p>
    <w:p w:rsidR="00742DCA" w:rsidRDefault="00742DCA" w:rsidP="00742DCA">
      <w:pPr>
        <w:ind w:left="-709" w:firstLine="709"/>
        <w:jc w:val="both"/>
      </w:pPr>
      <w:r>
        <w:t>Внести в правила доверительного управления Закрытым паевым инвестиционным рентным фондом «</w:t>
      </w:r>
      <w:r w:rsidRPr="00A721BF">
        <w:t xml:space="preserve">АК БАРС – </w:t>
      </w:r>
      <w:r>
        <w:t>Горизонт» (далее – Правила Фонда) следующие изменения и дополнения:</w:t>
      </w:r>
    </w:p>
    <w:p w:rsidR="00742DCA" w:rsidRPr="00D372F9" w:rsidRDefault="00742DCA" w:rsidP="00742DCA">
      <w:pPr>
        <w:ind w:left="-709" w:firstLine="709"/>
      </w:pPr>
      <w:r>
        <w:t>1.</w:t>
      </w:r>
      <w:r>
        <w:tab/>
      </w:r>
      <w:r w:rsidRPr="00555902">
        <w:t>Изложить следующие пункты Правил Фонда в новой редакции</w:t>
      </w:r>
      <w:r>
        <w:t>:</w:t>
      </w:r>
    </w:p>
    <w:p w:rsidR="001A426D" w:rsidRDefault="001A426D" w:rsidP="00742DCA">
      <w:pPr>
        <w:ind w:left="-709" w:firstLine="709"/>
        <w:jc w:val="center"/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794"/>
        <w:gridCol w:w="4820"/>
      </w:tblGrid>
      <w:tr w:rsidR="00B22C64" w:rsidRPr="00CD1F1C" w:rsidTr="00D82B1C">
        <w:tc>
          <w:tcPr>
            <w:tcW w:w="593" w:type="dxa"/>
          </w:tcPr>
          <w:p w:rsidR="00B22C64" w:rsidRPr="00CD1F1C" w:rsidRDefault="00B22C64" w:rsidP="00197E4E">
            <w:pPr>
              <w:spacing w:after="60"/>
              <w:jc w:val="center"/>
            </w:pPr>
            <w:r w:rsidRPr="00CD1F1C">
              <w:t>№ п.п.</w:t>
            </w:r>
          </w:p>
        </w:tc>
        <w:tc>
          <w:tcPr>
            <w:tcW w:w="4794" w:type="dxa"/>
          </w:tcPr>
          <w:p w:rsidR="00B22C64" w:rsidRPr="00AA7EDA" w:rsidRDefault="00B22C64" w:rsidP="00197E4E">
            <w:pPr>
              <w:spacing w:after="60"/>
              <w:ind w:firstLine="225"/>
              <w:jc w:val="center"/>
            </w:pPr>
            <w:r w:rsidRPr="00AA7EDA">
              <w:t xml:space="preserve">Старая редакция </w:t>
            </w:r>
          </w:p>
        </w:tc>
        <w:tc>
          <w:tcPr>
            <w:tcW w:w="4820" w:type="dxa"/>
          </w:tcPr>
          <w:p w:rsidR="00B22C64" w:rsidRPr="00AA7EDA" w:rsidRDefault="00B22C64" w:rsidP="00197E4E">
            <w:pPr>
              <w:spacing w:after="60"/>
              <w:ind w:firstLine="369"/>
              <w:jc w:val="center"/>
            </w:pPr>
            <w:r w:rsidRPr="00AA7EDA">
              <w:t>Новая редакция</w:t>
            </w:r>
          </w:p>
        </w:tc>
      </w:tr>
      <w:tr w:rsidR="00742DCA" w:rsidRPr="00CD1F1C" w:rsidTr="00D82B1C">
        <w:tc>
          <w:tcPr>
            <w:tcW w:w="593" w:type="dxa"/>
          </w:tcPr>
          <w:p w:rsidR="00742DCA" w:rsidRPr="00CD1F1C" w:rsidRDefault="00742DCA" w:rsidP="00197E4E">
            <w:pPr>
              <w:spacing w:after="60"/>
              <w:jc w:val="center"/>
            </w:pPr>
            <w:r>
              <w:t>1.</w:t>
            </w:r>
          </w:p>
        </w:tc>
        <w:tc>
          <w:tcPr>
            <w:tcW w:w="4794" w:type="dxa"/>
          </w:tcPr>
          <w:p w:rsidR="00742DCA" w:rsidRPr="00AA7EDA" w:rsidRDefault="00742DCA" w:rsidP="00742DCA">
            <w:pPr>
              <w:spacing w:after="60"/>
              <w:ind w:firstLine="225"/>
              <w:jc w:val="both"/>
            </w:pPr>
            <w:r>
              <w:t xml:space="preserve">5. Место нахождения управляющей компании: </w:t>
            </w:r>
            <w:r w:rsidRPr="00E71782">
              <w:t xml:space="preserve">420066, Республика Татарстан, </w:t>
            </w:r>
            <w:proofErr w:type="gramStart"/>
            <w:r w:rsidRPr="00E71782">
              <w:t>г</w:t>
            </w:r>
            <w:proofErr w:type="gramEnd"/>
            <w:r w:rsidRPr="00E71782">
              <w:t xml:space="preserve">. Казань, ул. Декабристов, </w:t>
            </w:r>
            <w:r>
              <w:t xml:space="preserve">д. </w:t>
            </w:r>
            <w:r w:rsidRPr="00E71782">
              <w:t>1</w:t>
            </w:r>
            <w:r w:rsidRPr="003E4B6E">
              <w:t>.</w:t>
            </w:r>
          </w:p>
        </w:tc>
        <w:tc>
          <w:tcPr>
            <w:tcW w:w="4820" w:type="dxa"/>
          </w:tcPr>
          <w:p w:rsidR="00742DCA" w:rsidRPr="00AA7EDA" w:rsidRDefault="00742DCA" w:rsidP="00742DCA">
            <w:pPr>
              <w:spacing w:after="60"/>
              <w:ind w:firstLine="369"/>
              <w:jc w:val="both"/>
            </w:pPr>
            <w:r>
              <w:t xml:space="preserve">5. Место нахождения управляющей компании: </w:t>
            </w:r>
            <w:r w:rsidRPr="00E71782">
              <w:t xml:space="preserve">Республика Татарстан, </w:t>
            </w:r>
            <w:proofErr w:type="gramStart"/>
            <w:r w:rsidRPr="00E71782">
              <w:t>г</w:t>
            </w:r>
            <w:proofErr w:type="gramEnd"/>
            <w:r w:rsidRPr="00E71782">
              <w:t xml:space="preserve">. Казань, ул. </w:t>
            </w:r>
            <w:r>
              <w:t>Меридианная</w:t>
            </w:r>
            <w:r w:rsidRPr="00E71782">
              <w:t xml:space="preserve">, </w:t>
            </w:r>
            <w:r>
              <w:t xml:space="preserve">д. </w:t>
            </w:r>
            <w:r w:rsidRPr="00E71782">
              <w:t>1</w:t>
            </w:r>
            <w:r>
              <w:t>А</w:t>
            </w:r>
            <w:r w:rsidRPr="003E4B6E">
              <w:t>.</w:t>
            </w:r>
          </w:p>
        </w:tc>
      </w:tr>
      <w:tr w:rsidR="00A77D29" w:rsidRPr="00CD1F1C" w:rsidTr="00D82B1C">
        <w:tc>
          <w:tcPr>
            <w:tcW w:w="593" w:type="dxa"/>
          </w:tcPr>
          <w:p w:rsidR="00A77D29" w:rsidRPr="00352DB2" w:rsidRDefault="00A77D29" w:rsidP="00A77D29">
            <w:pPr>
              <w:spacing w:after="60"/>
              <w:jc w:val="center"/>
            </w:pPr>
            <w:r>
              <w:t>2.</w:t>
            </w:r>
          </w:p>
        </w:tc>
        <w:tc>
          <w:tcPr>
            <w:tcW w:w="4794" w:type="dxa"/>
          </w:tcPr>
          <w:p w:rsidR="00A77D29" w:rsidRPr="00352DB2" w:rsidRDefault="00A77D29" w:rsidP="00A77D29">
            <w:pPr>
              <w:autoSpaceDE w:val="0"/>
              <w:autoSpaceDN w:val="0"/>
              <w:adjustRightInd w:val="0"/>
              <w:ind w:firstLine="538"/>
              <w:jc w:val="both"/>
            </w:pPr>
            <w:r w:rsidRPr="00413E3A">
              <w:t xml:space="preserve">6.Лицензия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"12" ноября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413E3A">
                <w:t>2002 г</w:t>
              </w:r>
            </w:smartTag>
            <w:r w:rsidRPr="00413E3A">
              <w:t>. № 21-000-1-00088, предоставленная Федеральной службой по финансовым рынкам.</w:t>
            </w:r>
          </w:p>
        </w:tc>
        <w:tc>
          <w:tcPr>
            <w:tcW w:w="4820" w:type="dxa"/>
          </w:tcPr>
          <w:p w:rsidR="00A77D29" w:rsidRPr="002F5E7F" w:rsidRDefault="00A77D29" w:rsidP="00A77D29">
            <w:pPr>
              <w:spacing w:after="60"/>
              <w:ind w:firstLine="369"/>
              <w:jc w:val="both"/>
            </w:pPr>
            <w:r w:rsidRPr="002F5E7F">
              <w:t xml:space="preserve">6. Лицензия </w:t>
            </w:r>
            <w:r>
              <w:t>у</w:t>
            </w:r>
            <w:r w:rsidRPr="002F5E7F">
              <w:t xml:space="preserve">правляющей компании на осуществление деятельности по управлению инвестиционными </w:t>
            </w:r>
            <w:r>
              <w:t>ф</w:t>
            </w:r>
            <w:r w:rsidRPr="002F5E7F">
              <w:t xml:space="preserve">ондами, паевыми инвестиционными </w:t>
            </w:r>
            <w:r>
              <w:t>ф</w:t>
            </w:r>
            <w:r w:rsidRPr="002F5E7F">
              <w:t xml:space="preserve">ондами и негосударственными пенсионными </w:t>
            </w:r>
            <w:r>
              <w:t>ф</w:t>
            </w:r>
            <w:r w:rsidRPr="002F5E7F">
              <w:t xml:space="preserve">ондами от "12" ноября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2F5E7F">
                <w:t>2002 г</w:t>
              </w:r>
            </w:smartTag>
            <w:r w:rsidRPr="002F5E7F">
              <w:t xml:space="preserve">. № 21-000-1-00088, предоставленная Федеральной </w:t>
            </w:r>
            <w:r>
              <w:t>комиссией по рынку ценных бумаг</w:t>
            </w:r>
            <w:r w:rsidRPr="002F5E7F">
              <w:t>.</w:t>
            </w:r>
          </w:p>
        </w:tc>
      </w:tr>
      <w:tr w:rsidR="00A77D29" w:rsidRPr="00CD1F1C" w:rsidTr="00D82B1C">
        <w:tc>
          <w:tcPr>
            <w:tcW w:w="593" w:type="dxa"/>
          </w:tcPr>
          <w:p w:rsidR="00A77D29" w:rsidRPr="00352DB2" w:rsidRDefault="00A77D29" w:rsidP="00A77D29">
            <w:pPr>
              <w:spacing w:after="60"/>
              <w:jc w:val="center"/>
            </w:pPr>
            <w:r>
              <w:t>3.</w:t>
            </w:r>
          </w:p>
        </w:tc>
        <w:tc>
          <w:tcPr>
            <w:tcW w:w="4794" w:type="dxa"/>
          </w:tcPr>
          <w:p w:rsidR="00A77D29" w:rsidRPr="00352DB2" w:rsidRDefault="00A77D29" w:rsidP="00A77D29">
            <w:pPr>
              <w:autoSpaceDE w:val="0"/>
              <w:autoSpaceDN w:val="0"/>
              <w:adjustRightInd w:val="0"/>
              <w:spacing w:after="60"/>
              <w:ind w:firstLine="538"/>
              <w:jc w:val="both"/>
            </w:pPr>
            <w:r w:rsidRPr="00413E3A"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"08" августа 1996г. № 22-000-1-00001, предоставленная Федеральной службой по финансовым рынкам.</w:t>
            </w:r>
          </w:p>
        </w:tc>
        <w:tc>
          <w:tcPr>
            <w:tcW w:w="4820" w:type="dxa"/>
          </w:tcPr>
          <w:p w:rsidR="00A77D29" w:rsidRPr="002F5E7F" w:rsidRDefault="00A77D29" w:rsidP="00A77D29">
            <w:pPr>
              <w:spacing w:after="60"/>
              <w:ind w:firstLine="369"/>
              <w:jc w:val="both"/>
            </w:pPr>
            <w:r w:rsidRPr="002F5E7F">
              <w:t xml:space="preserve">9. Лицензия </w:t>
            </w:r>
            <w:r>
              <w:t>с</w:t>
            </w:r>
            <w:r w:rsidRPr="002F5E7F">
              <w:t xml:space="preserve">пециализированного депозитария на осуществление деятельности специализированного депозитария инвестиционных </w:t>
            </w:r>
            <w:r>
              <w:t>ф</w:t>
            </w:r>
            <w:r w:rsidRPr="002F5E7F">
              <w:t xml:space="preserve">ондов, паевых инвестиционных </w:t>
            </w:r>
            <w:r>
              <w:t>ф</w:t>
            </w:r>
            <w:r w:rsidRPr="002F5E7F">
              <w:t xml:space="preserve">ондов и негосударственных пенсионных </w:t>
            </w:r>
            <w:r>
              <w:t>ф</w:t>
            </w:r>
            <w:r w:rsidRPr="002F5E7F">
              <w:t xml:space="preserve">ондов от "08" августа 1996г. № 22-000-1-00001, предоставленная Федеральной </w:t>
            </w:r>
            <w:r>
              <w:t>комиссией по рынку ценных бумаг</w:t>
            </w:r>
            <w:r w:rsidRPr="002F5E7F">
              <w:t>.</w:t>
            </w:r>
          </w:p>
        </w:tc>
      </w:tr>
      <w:tr w:rsidR="00A77D29" w:rsidRPr="00CD1F1C" w:rsidTr="00D82B1C">
        <w:tc>
          <w:tcPr>
            <w:tcW w:w="593" w:type="dxa"/>
          </w:tcPr>
          <w:p w:rsidR="00A77D29" w:rsidRPr="00352DB2" w:rsidRDefault="00A77D29" w:rsidP="00A77D29">
            <w:pPr>
              <w:spacing w:after="60"/>
              <w:jc w:val="center"/>
            </w:pPr>
            <w:r>
              <w:t>4.</w:t>
            </w:r>
          </w:p>
        </w:tc>
        <w:tc>
          <w:tcPr>
            <w:tcW w:w="4794" w:type="dxa"/>
          </w:tcPr>
          <w:p w:rsidR="00A77D29" w:rsidRPr="00413E3A" w:rsidRDefault="00A77D29" w:rsidP="00A77D29">
            <w:pPr>
              <w:autoSpaceDE w:val="0"/>
              <w:autoSpaceDN w:val="0"/>
              <w:adjustRightInd w:val="0"/>
              <w:ind w:firstLine="538"/>
              <w:jc w:val="both"/>
            </w:pPr>
            <w:r w:rsidRPr="00413E3A">
              <w:t xml:space="preserve">12.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"08"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13E3A">
                <w:t>1996 г</w:t>
              </w:r>
            </w:smartTag>
            <w:r w:rsidRPr="00413E3A">
              <w:t xml:space="preserve">. № 22-000-1-00001, </w:t>
            </w:r>
            <w:r w:rsidRPr="00413E3A">
              <w:lastRenderedPageBreak/>
              <w:t>предоставленная Федеральной службой по финансовым рынкам.</w:t>
            </w:r>
          </w:p>
        </w:tc>
        <w:tc>
          <w:tcPr>
            <w:tcW w:w="4820" w:type="dxa"/>
          </w:tcPr>
          <w:p w:rsidR="00A77D29" w:rsidRPr="002F5E7F" w:rsidRDefault="00A77D29" w:rsidP="00A77D29">
            <w:pPr>
              <w:spacing w:after="60"/>
              <w:ind w:firstLine="369"/>
              <w:jc w:val="both"/>
            </w:pPr>
            <w:r w:rsidRPr="002F5E7F">
              <w:lastRenderedPageBreak/>
              <w:t>1</w:t>
            </w:r>
            <w:r>
              <w:t>2</w:t>
            </w:r>
            <w:r w:rsidRPr="002F5E7F">
              <w:t xml:space="preserve">. Лицензия </w:t>
            </w:r>
            <w:r>
              <w:t>р</w:t>
            </w:r>
            <w:r w:rsidRPr="002F5E7F">
              <w:t xml:space="preserve">егистратора на осуществление деятельности специализированного депозитария инвестиционных </w:t>
            </w:r>
            <w:r>
              <w:t>ф</w:t>
            </w:r>
            <w:r w:rsidRPr="002F5E7F">
              <w:t xml:space="preserve">ондов, паевых инвестиционных </w:t>
            </w:r>
            <w:r>
              <w:t>ф</w:t>
            </w:r>
            <w:r w:rsidRPr="002F5E7F">
              <w:t xml:space="preserve">ондов и негосударственных пенсионных </w:t>
            </w:r>
            <w:r>
              <w:t>ф</w:t>
            </w:r>
            <w:r w:rsidRPr="002F5E7F">
              <w:t xml:space="preserve">ондов от "08"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F5E7F">
                <w:t>1996 г</w:t>
              </w:r>
            </w:smartTag>
            <w:r w:rsidRPr="002F5E7F">
              <w:t xml:space="preserve">. № 22-000-1-00001, </w:t>
            </w:r>
            <w:r w:rsidRPr="002F5E7F">
              <w:lastRenderedPageBreak/>
              <w:t xml:space="preserve">предоставленная Федеральной </w:t>
            </w:r>
            <w:r>
              <w:t>комиссией по рынку ценных бумаг</w:t>
            </w:r>
            <w:r w:rsidRPr="002F5E7F">
              <w:t>.</w:t>
            </w:r>
          </w:p>
        </w:tc>
      </w:tr>
      <w:tr w:rsidR="00A77D29" w:rsidRPr="00CD1F1C" w:rsidTr="009C46E0">
        <w:trPr>
          <w:trHeight w:val="549"/>
        </w:trPr>
        <w:tc>
          <w:tcPr>
            <w:tcW w:w="593" w:type="dxa"/>
          </w:tcPr>
          <w:p w:rsidR="00A77D29" w:rsidRDefault="00A77D29" w:rsidP="00D812D3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94" w:type="dxa"/>
          </w:tcPr>
          <w:p w:rsidR="00A77D29" w:rsidRDefault="00A77D29" w:rsidP="00742DCA">
            <w:pPr>
              <w:ind w:firstLine="225"/>
              <w:jc w:val="both"/>
            </w:pPr>
            <w:r>
              <w:t>35. Инвестиционный пай является именной ценной бумагой, удостоверяющей:</w:t>
            </w:r>
          </w:p>
          <w:p w:rsidR="00A77D29" w:rsidRDefault="00A77D29" w:rsidP="00742DCA">
            <w:pPr>
              <w:ind w:firstLine="225"/>
              <w:jc w:val="both"/>
            </w:pPr>
            <w:r>
              <w:t>1) долю его владельца в праве собственности на имущество, составляющее фонд;</w:t>
            </w:r>
          </w:p>
          <w:p w:rsidR="00A77D29" w:rsidRDefault="00A77D29" w:rsidP="00742DCA">
            <w:pPr>
              <w:ind w:firstLine="225"/>
              <w:jc w:val="both"/>
            </w:pPr>
            <w:r>
              <w:t>2) право требовать от управляющей компании надлежащего доверительного управления фондом;</w:t>
            </w:r>
          </w:p>
          <w:p w:rsidR="00A77D29" w:rsidRDefault="00A77D29" w:rsidP="00742DCA">
            <w:pPr>
              <w:ind w:firstLine="225"/>
              <w:jc w:val="both"/>
            </w:pPr>
            <w:r>
              <w:t>3) право на участие в общем собрании владельцев инвестиционных паев;</w:t>
            </w:r>
          </w:p>
          <w:p w:rsidR="00A77D29" w:rsidRPr="009F4B75" w:rsidRDefault="00A77D29" w:rsidP="00742DCA">
            <w:pPr>
              <w:ind w:firstLine="225"/>
              <w:jc w:val="both"/>
            </w:pPr>
            <w:r w:rsidRPr="009F4B75">
              <w:t>4) право владельцев инвестиционных паев на получение дохода по инвестиционному паю;</w:t>
            </w:r>
          </w:p>
          <w:p w:rsidR="00A77D29" w:rsidRPr="00550C86" w:rsidRDefault="00A77D29" w:rsidP="00742DCA">
            <w:pPr>
              <w:ind w:firstLine="225"/>
              <w:jc w:val="both"/>
            </w:pPr>
            <w:bookmarkStart w:id="0" w:name="OLE_LINK29"/>
            <w:bookmarkStart w:id="1" w:name="OLE_LINK31"/>
            <w:r w:rsidRPr="00550C86">
              <w:t>Доход по инвестиционному паю выплачивается владельцам инвестиционных паев по завершении отчетного периода. Под отчетным периодом понимается период времени</w:t>
            </w:r>
            <w:r w:rsidRPr="003A1A97">
              <w:t xml:space="preserve"> </w:t>
            </w:r>
            <w:r>
              <w:rPr>
                <w:lang w:val="en-US"/>
              </w:rPr>
              <w:t>c</w:t>
            </w:r>
            <w:r w:rsidRPr="003A1A97">
              <w:t xml:space="preserve"> 08 октября </w:t>
            </w:r>
            <w:r w:rsidRPr="005073DA">
              <w:t>предыдущего</w:t>
            </w:r>
            <w:r w:rsidRPr="003A1A97">
              <w:t xml:space="preserve"> календарного года по 07 октября </w:t>
            </w:r>
            <w:r w:rsidRPr="00A367F4">
              <w:t xml:space="preserve">включительно </w:t>
            </w:r>
            <w:r>
              <w:t xml:space="preserve">текущего </w:t>
            </w:r>
            <w:r w:rsidRPr="003A1A97">
              <w:t>календарного года</w:t>
            </w:r>
            <w:r w:rsidRPr="00550C86">
              <w:t>. Выплата дохода осуществляется не позднее 45 (Сорока пяти) дней начиная с 5 (Пятого) дня следующего за отчетным периодом.</w:t>
            </w:r>
          </w:p>
          <w:p w:rsidR="00A77D29" w:rsidRDefault="00A77D29" w:rsidP="00742DCA">
            <w:pPr>
              <w:ind w:firstLine="225"/>
              <w:jc w:val="both"/>
            </w:pPr>
            <w:r w:rsidRPr="00550C86">
              <w:t>Промежуточные выплаты инвестиционного дохода в течение отчетного периода не производятся. Доход по инвестиционн</w:t>
            </w:r>
            <w:r>
              <w:t>ым</w:t>
            </w:r>
            <w:r w:rsidRPr="00550C86">
              <w:t xml:space="preserve"> па</w:t>
            </w:r>
            <w:r>
              <w:t>ям</w:t>
            </w:r>
            <w:r w:rsidRPr="00550C86">
              <w:t xml:space="preserve"> составляет </w:t>
            </w:r>
            <w:r>
              <w:t>10 (Десять</w:t>
            </w:r>
            <w:r w:rsidRPr="00550C86">
              <w:t xml:space="preserve">) процентов от полученных </w:t>
            </w:r>
            <w:r w:rsidRPr="0059067C">
              <w:t xml:space="preserve">в течение отчетного периода </w:t>
            </w:r>
            <w:r w:rsidRPr="00550C86">
              <w:t>арендны</w:t>
            </w:r>
            <w:r>
              <w:t>х</w:t>
            </w:r>
            <w:r w:rsidRPr="00550C86">
              <w:t xml:space="preserve"> платежей</w:t>
            </w:r>
            <w:r>
              <w:t xml:space="preserve"> (без НДС)</w:t>
            </w:r>
            <w:r w:rsidRPr="00550C86">
              <w:t>.</w:t>
            </w:r>
          </w:p>
          <w:p w:rsidR="00A77D29" w:rsidRPr="00550C86" w:rsidRDefault="00A77D29" w:rsidP="00742DCA">
            <w:pPr>
              <w:ind w:firstLine="225"/>
              <w:jc w:val="both"/>
            </w:pPr>
            <w:r>
              <w:t>Д</w:t>
            </w:r>
            <w:r w:rsidRPr="0014755F">
              <w:t xml:space="preserve">оход по инвестиционному паю </w:t>
            </w:r>
            <w:r>
              <w:t xml:space="preserve">не начисляется и не </w:t>
            </w:r>
            <w:r w:rsidRPr="0014755F">
              <w:t xml:space="preserve">выплачивается </w:t>
            </w:r>
            <w:r>
              <w:t xml:space="preserve">за отчетные периоды с 08 октября 2014 года по 07 октября 2016 года. </w:t>
            </w:r>
          </w:p>
          <w:p w:rsidR="00A77D29" w:rsidRPr="00550C86" w:rsidRDefault="00A77D29" w:rsidP="00742DCA">
            <w:pPr>
              <w:ind w:firstLine="225"/>
              <w:jc w:val="both"/>
            </w:pPr>
            <w:r w:rsidRPr="00136B8F">
              <w:t xml:space="preserve"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по состоянию на последний рабочий день отчетного </w:t>
            </w:r>
            <w:r>
              <w:t>периода</w:t>
            </w:r>
            <w:r w:rsidRPr="00136B8F">
              <w:t>.</w:t>
            </w:r>
            <w:r>
              <w:t xml:space="preserve"> </w:t>
            </w:r>
            <w:r w:rsidRPr="00550C86">
      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</w:t>
            </w:r>
            <w:r>
              <w:t>ф</w:t>
            </w:r>
            <w:r w:rsidRPr="00550C86">
              <w:t xml:space="preserve">онда на дату составления списка лиц, имеющих право на получение дохода по инвестиционному паю </w:t>
            </w:r>
            <w:r>
              <w:t>ф</w:t>
            </w:r>
            <w:r w:rsidRPr="00550C86">
              <w:t xml:space="preserve">онда. Указанный список лиц составляется на основании данных реестра владельцев инвестиционных паев по состоянию на </w:t>
            </w:r>
            <w:r w:rsidRPr="00550C86">
              <w:lastRenderedPageBreak/>
              <w:t>последний рабочий день отчетного периода.</w:t>
            </w:r>
          </w:p>
          <w:p w:rsidR="00A77D29" w:rsidRPr="00CC3F0E" w:rsidRDefault="00A77D29" w:rsidP="00742DCA">
            <w:pPr>
              <w:ind w:firstLine="225"/>
              <w:jc w:val="both"/>
            </w:pPr>
            <w:r w:rsidRPr="00550C86">
              <w:t xml:space="preserve">Выплата дохода осуществляется путем </w:t>
            </w:r>
            <w:r>
              <w:t xml:space="preserve">его </w:t>
            </w:r>
            <w:r w:rsidRPr="00550C86">
              <w:t xml:space="preserve">перечисления на банковский счет, </w:t>
            </w:r>
            <w:r>
              <w:t xml:space="preserve">реквизиты которого </w:t>
            </w:r>
            <w:r w:rsidRPr="00550C86">
              <w:t>указан</w:t>
            </w:r>
            <w:r>
              <w:t>ы</w:t>
            </w:r>
            <w:r w:rsidRPr="00550C86">
              <w:t xml:space="preserve"> в реестре владельцев инвестиционных паев.</w:t>
            </w:r>
            <w:r>
              <w:t xml:space="preserve"> </w:t>
            </w:r>
            <w:r w:rsidRPr="002C087F">
              <w:t xml:space="preserve">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</w:t>
            </w:r>
            <w:proofErr w:type="gramStart"/>
            <w:r w:rsidRPr="002C087F">
              <w:t>с даты получения</w:t>
            </w:r>
            <w:proofErr w:type="gramEnd"/>
            <w:r w:rsidRPr="002C087F">
              <w:t xml:space="preserve"> управляющей компанией необходимых сведений о реквизитах банковского счета для перечисления дохода</w:t>
            </w:r>
            <w:r>
              <w:t>;</w:t>
            </w:r>
            <w:bookmarkEnd w:id="0"/>
          </w:p>
          <w:bookmarkEnd w:id="1"/>
          <w:p w:rsidR="00A77D29" w:rsidRDefault="00A77D29" w:rsidP="00742DCA">
            <w:pPr>
              <w:ind w:firstLine="225"/>
              <w:jc w:val="both"/>
            </w:pPr>
            <w:r>
              <w:t>5) право требовать от управляющей компании погашения инвестиционного пая и выплаты в связи с этим денежной компенсации, соразмерной приходящейся на него доле в праве общей собственности на имущество, составляющее фонд, в случаях, предусмотренных Федеральным законом «Об инвестиционных фондах» и настоящими Правилами;</w:t>
            </w:r>
          </w:p>
          <w:p w:rsidR="00A77D29" w:rsidRPr="00AA7EDA" w:rsidRDefault="00A77D29" w:rsidP="00742DCA">
            <w:pPr>
              <w:ind w:firstLine="225"/>
              <w:jc w:val="both"/>
            </w:pPr>
            <w:r>
              <w:t>6) право на получение денежной компенсации при прекращении договора доверительного управления фондом со всеми владельцами инвестиционных паев (прекращении фонда) в размере, пропорциональном приходящейся на инвестиционный пай доле имущества, распределяемого среди владельцев инвестиционных паев.</w:t>
            </w:r>
          </w:p>
        </w:tc>
        <w:tc>
          <w:tcPr>
            <w:tcW w:w="4820" w:type="dxa"/>
            <w:shd w:val="clear" w:color="auto" w:fill="FFFFFF"/>
          </w:tcPr>
          <w:p w:rsidR="00A77D29" w:rsidRDefault="00A77D29" w:rsidP="00742DCA">
            <w:pPr>
              <w:ind w:firstLine="369"/>
              <w:jc w:val="both"/>
            </w:pPr>
            <w:r>
              <w:lastRenderedPageBreak/>
              <w:t>35. Инвестиционный пай является именной ценной бумагой, удостоверяющей:</w:t>
            </w:r>
          </w:p>
          <w:p w:rsidR="00A77D29" w:rsidRDefault="00A77D29" w:rsidP="00742DCA">
            <w:pPr>
              <w:ind w:firstLine="369"/>
              <w:jc w:val="both"/>
            </w:pPr>
            <w:r>
              <w:t>1) долю его владельца в праве собственности на имущество, составляющее фонд;</w:t>
            </w:r>
          </w:p>
          <w:p w:rsidR="00A77D29" w:rsidRDefault="00A77D29" w:rsidP="00742DCA">
            <w:pPr>
              <w:ind w:firstLine="369"/>
              <w:jc w:val="both"/>
            </w:pPr>
            <w:r>
              <w:t>2) право требовать от управляющей компании надлежащего доверительного управления фондом;</w:t>
            </w:r>
          </w:p>
          <w:p w:rsidR="00A77D29" w:rsidRDefault="00A77D29" w:rsidP="00742DCA">
            <w:pPr>
              <w:ind w:firstLine="369"/>
              <w:jc w:val="both"/>
            </w:pPr>
            <w:r>
              <w:t>3) право на участие в общем собрании владельцев инвестиционных паев;</w:t>
            </w:r>
          </w:p>
          <w:p w:rsidR="00A77D29" w:rsidRPr="009F4B75" w:rsidRDefault="00A77D29" w:rsidP="00742DCA">
            <w:pPr>
              <w:ind w:firstLine="369"/>
              <w:jc w:val="both"/>
            </w:pPr>
            <w:r w:rsidRPr="009F4B75">
              <w:t>4) право владельцев инвестиционных паев на получение дохода по инвестиционному паю;</w:t>
            </w:r>
          </w:p>
          <w:p w:rsidR="00A77D29" w:rsidRPr="00550C86" w:rsidRDefault="00A77D29" w:rsidP="00742DCA">
            <w:pPr>
              <w:ind w:firstLine="369"/>
              <w:jc w:val="both"/>
            </w:pPr>
            <w:r w:rsidRPr="00550C86">
              <w:t>Доход по инвестиционному паю выплачивается владельцам инвестиционных паев по завершении отчетного периода. Под отчетным периодом понимается период времени</w:t>
            </w:r>
            <w:r w:rsidRPr="003A1A97">
              <w:t xml:space="preserve"> </w:t>
            </w:r>
            <w:r>
              <w:rPr>
                <w:lang w:val="en-US"/>
              </w:rPr>
              <w:t>c</w:t>
            </w:r>
            <w:r w:rsidRPr="003A1A97">
              <w:t xml:space="preserve"> 08 октября </w:t>
            </w:r>
            <w:r w:rsidRPr="005073DA">
              <w:t>предыдущего</w:t>
            </w:r>
            <w:r w:rsidRPr="003A1A97">
              <w:t xml:space="preserve"> календарного года по 07 октября </w:t>
            </w:r>
            <w:r w:rsidRPr="00A367F4">
              <w:t xml:space="preserve">включительно </w:t>
            </w:r>
            <w:r>
              <w:t xml:space="preserve">текущего </w:t>
            </w:r>
            <w:r w:rsidRPr="003A1A97">
              <w:t>календарного года</w:t>
            </w:r>
            <w:r w:rsidRPr="00550C86">
              <w:t>. Выплата дохода осуществляется не позднее 45 (Сорока пяти) дней начиная с 5 (Пятого) дня следующего за отчетным периодом.</w:t>
            </w:r>
          </w:p>
          <w:p w:rsidR="00A77D29" w:rsidRDefault="00A77D29" w:rsidP="00742DCA">
            <w:pPr>
              <w:ind w:firstLine="369"/>
              <w:jc w:val="both"/>
            </w:pPr>
            <w:r w:rsidRPr="00550C86">
              <w:t>Промежуточные выплаты инвестиционного дохода в течение отчетного периода не производятся. Доход по инвестиционн</w:t>
            </w:r>
            <w:r>
              <w:t>ым</w:t>
            </w:r>
            <w:r w:rsidRPr="00550C86">
              <w:t xml:space="preserve"> па</w:t>
            </w:r>
            <w:r>
              <w:t>ям</w:t>
            </w:r>
            <w:r w:rsidRPr="00550C86">
              <w:t xml:space="preserve"> составляет </w:t>
            </w:r>
            <w:r>
              <w:t>10 (Десять</w:t>
            </w:r>
            <w:r w:rsidRPr="00550C86">
              <w:t xml:space="preserve">) процентов от полученных </w:t>
            </w:r>
            <w:r w:rsidRPr="0059067C">
              <w:t xml:space="preserve">в течение отчетного периода </w:t>
            </w:r>
            <w:r w:rsidRPr="00550C86">
              <w:t>арендны</w:t>
            </w:r>
            <w:r>
              <w:t>х</w:t>
            </w:r>
            <w:r w:rsidRPr="00550C86">
              <w:t xml:space="preserve"> платежей</w:t>
            </w:r>
            <w:r>
              <w:t xml:space="preserve"> (без НДС)</w:t>
            </w:r>
            <w:r w:rsidRPr="00550C86">
              <w:t>.</w:t>
            </w:r>
          </w:p>
          <w:p w:rsidR="00A77D29" w:rsidRPr="00550C86" w:rsidRDefault="00A77D29" w:rsidP="00742DCA">
            <w:pPr>
              <w:ind w:firstLine="369"/>
              <w:jc w:val="both"/>
            </w:pPr>
            <w:r>
              <w:t>Д</w:t>
            </w:r>
            <w:r w:rsidRPr="0014755F">
              <w:t xml:space="preserve">оход по инвестиционному паю </w:t>
            </w:r>
            <w:r>
              <w:t xml:space="preserve">не начисляется и не </w:t>
            </w:r>
            <w:r w:rsidRPr="0014755F">
              <w:t xml:space="preserve">выплачивается </w:t>
            </w:r>
            <w:r>
              <w:t xml:space="preserve">за отчетные периоды с 08 октября 2014 года по 07 октября </w:t>
            </w:r>
            <w:r w:rsidRPr="001A2DAA">
              <w:rPr>
                <w:b/>
              </w:rPr>
              <w:t>2019</w:t>
            </w:r>
            <w:r>
              <w:t xml:space="preserve"> года. </w:t>
            </w:r>
          </w:p>
          <w:p w:rsidR="00A77D29" w:rsidRPr="00550C86" w:rsidRDefault="00A77D29" w:rsidP="00742DCA">
            <w:pPr>
              <w:ind w:firstLine="369"/>
              <w:jc w:val="both"/>
            </w:pPr>
            <w:r w:rsidRPr="00136B8F">
              <w:t xml:space="preserve"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по состоянию на последний рабочий день отчетного </w:t>
            </w:r>
            <w:r>
              <w:t>периода</w:t>
            </w:r>
            <w:r w:rsidRPr="00136B8F">
              <w:t>.</w:t>
            </w:r>
            <w:r>
              <w:t xml:space="preserve"> </w:t>
            </w:r>
            <w:r w:rsidRPr="00550C86">
      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</w:t>
            </w:r>
            <w:r>
              <w:t>ф</w:t>
            </w:r>
            <w:r w:rsidRPr="00550C86">
              <w:t xml:space="preserve">онда на дату составления списка лиц, имеющих право на получение дохода по инвестиционному паю </w:t>
            </w:r>
            <w:r>
              <w:t>ф</w:t>
            </w:r>
            <w:r w:rsidRPr="00550C86">
              <w:t xml:space="preserve">онда. Указанный список лиц составляется на основании данных реестра владельцев инвестиционных паев по состоянию на </w:t>
            </w:r>
            <w:r w:rsidRPr="00550C86">
              <w:lastRenderedPageBreak/>
              <w:t>последний рабочий день отчетного периода.</w:t>
            </w:r>
          </w:p>
          <w:p w:rsidR="00A77D29" w:rsidRPr="002C087F" w:rsidRDefault="00A77D29" w:rsidP="00742DCA">
            <w:pPr>
              <w:ind w:firstLine="369"/>
              <w:jc w:val="both"/>
            </w:pPr>
            <w:r w:rsidRPr="00550C86">
              <w:t xml:space="preserve">Выплата дохода осуществляется путем </w:t>
            </w:r>
            <w:r>
              <w:t xml:space="preserve">его </w:t>
            </w:r>
            <w:r w:rsidRPr="00550C86">
              <w:t xml:space="preserve">перечисления на банковский счет, </w:t>
            </w:r>
            <w:r>
              <w:t xml:space="preserve">реквизиты которого </w:t>
            </w:r>
            <w:r w:rsidRPr="00550C86">
              <w:t>указан</w:t>
            </w:r>
            <w:r>
              <w:t>ы</w:t>
            </w:r>
            <w:r w:rsidRPr="00550C86">
              <w:t xml:space="preserve"> в реестре владельцев инвестиционных паев.</w:t>
            </w:r>
            <w:r>
              <w:t xml:space="preserve"> </w:t>
            </w:r>
            <w:r w:rsidRPr="002C087F">
              <w:t xml:space="preserve">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</w:t>
            </w:r>
            <w:proofErr w:type="gramStart"/>
            <w:r w:rsidRPr="002C087F">
              <w:t>с даты получения</w:t>
            </w:r>
            <w:proofErr w:type="gramEnd"/>
            <w:r w:rsidRPr="002C087F">
              <w:t xml:space="preserve"> управляющей компанией необходимых сведений о реквизитах банковского счета для перечисления дохода</w:t>
            </w:r>
            <w:r>
              <w:t>;</w:t>
            </w:r>
          </w:p>
          <w:p w:rsidR="00A77D29" w:rsidRDefault="00A77D29" w:rsidP="00742DCA">
            <w:pPr>
              <w:ind w:firstLine="369"/>
              <w:jc w:val="both"/>
            </w:pPr>
            <w:r>
              <w:t>5) право требовать от управляющей компании погашения инвестиционного пая и выплаты в связи с этим денежной компенсации, соразмерной приходящейся на него доле в праве общей собственности на имущество, составляющее фонд, в случаях, предусмотренных Федеральным законом «Об инвестиционных фондах» и настоящими Правилами;</w:t>
            </w:r>
          </w:p>
          <w:p w:rsidR="00A77D29" w:rsidRPr="00AA7EDA" w:rsidRDefault="00A77D29" w:rsidP="00742DCA">
            <w:pPr>
              <w:ind w:firstLine="369"/>
              <w:jc w:val="both"/>
              <w:rPr>
                <w:b/>
              </w:rPr>
            </w:pPr>
            <w:r>
              <w:t xml:space="preserve">6) право на получение денежной компенсации при прекращении договора доверительного управления фондом со всеми владельцами инвестиционных паев (прекращении фонда) в размере, пропорциональном приходящейся на инвестиционный пай доле имущества, распределяемого среди владельцев инвестиционных паев. </w:t>
            </w:r>
          </w:p>
        </w:tc>
      </w:tr>
    </w:tbl>
    <w:p w:rsidR="00E8715B" w:rsidRDefault="00E8715B"/>
    <w:p w:rsidR="006545A7" w:rsidRDefault="006545A7"/>
    <w:p w:rsidR="006545A7" w:rsidRDefault="009C46E0">
      <w:r>
        <w:t>Генеральный директор</w:t>
      </w:r>
    </w:p>
    <w:p w:rsidR="007C5A76" w:rsidRDefault="007C5A76">
      <w:r>
        <w:t xml:space="preserve">ООО УК «АК БАРС КАПИТАЛ»                                                                    </w:t>
      </w:r>
      <w:proofErr w:type="spellStart"/>
      <w:r w:rsidR="009C46E0">
        <w:t>А.Н.Дорогов</w:t>
      </w:r>
      <w:proofErr w:type="spellEnd"/>
    </w:p>
    <w:sectPr w:rsidR="007C5A76" w:rsidSect="00BB52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D1" w:rsidRDefault="002848D1" w:rsidP="00E8715B">
      <w:r>
        <w:separator/>
      </w:r>
    </w:p>
  </w:endnote>
  <w:endnote w:type="continuationSeparator" w:id="0">
    <w:p w:rsidR="002848D1" w:rsidRDefault="002848D1" w:rsidP="00E8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1D" w:rsidRDefault="00964BDC">
    <w:pPr>
      <w:pStyle w:val="ac"/>
      <w:jc w:val="right"/>
    </w:pPr>
    <w:fldSimple w:instr=" PAGE   \* MERGEFORMAT ">
      <w:r w:rsidR="00120C67">
        <w:rPr>
          <w:noProof/>
        </w:rPr>
        <w:t>1</w:t>
      </w:r>
    </w:fldSimple>
  </w:p>
  <w:p w:rsidR="00804D1D" w:rsidRDefault="00804D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D1" w:rsidRDefault="002848D1" w:rsidP="00E8715B">
      <w:r>
        <w:separator/>
      </w:r>
    </w:p>
  </w:footnote>
  <w:footnote w:type="continuationSeparator" w:id="0">
    <w:p w:rsidR="002848D1" w:rsidRDefault="002848D1" w:rsidP="00E87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B6811D4"/>
    <w:multiLevelType w:val="hybridMultilevel"/>
    <w:tmpl w:val="4A5C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1637E5B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0F7622"/>
    <w:multiLevelType w:val="hybridMultilevel"/>
    <w:tmpl w:val="83D29A7A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>
    <w:nsid w:val="28A15F1A"/>
    <w:multiLevelType w:val="hybridMultilevel"/>
    <w:tmpl w:val="341469DE"/>
    <w:lvl w:ilvl="0" w:tplc="8E1A17BE">
      <w:start w:val="2"/>
      <w:numFmt w:val="decimal"/>
      <w:lvlText w:val="%1)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3">
    <w:nsid w:val="34556491"/>
    <w:multiLevelType w:val="hybridMultilevel"/>
    <w:tmpl w:val="4730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3663C1"/>
    <w:multiLevelType w:val="hybridMultilevel"/>
    <w:tmpl w:val="82F8C1C8"/>
    <w:lvl w:ilvl="0" w:tplc="04190011">
      <w:start w:val="1"/>
      <w:numFmt w:val="decimal"/>
      <w:lvlText w:val="%1)"/>
      <w:lvlJc w:val="left"/>
      <w:pPr>
        <w:ind w:left="270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7228A1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5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5"/>
  </w:num>
  <w:num w:numId="17">
    <w:abstractNumId w:val="1"/>
  </w:num>
  <w:num w:numId="18">
    <w:abstractNumId w:val="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71"/>
    <w:rsid w:val="0000727D"/>
    <w:rsid w:val="0000770A"/>
    <w:rsid w:val="00071117"/>
    <w:rsid w:val="00083E2C"/>
    <w:rsid w:val="00095DB5"/>
    <w:rsid w:val="000B7F0F"/>
    <w:rsid w:val="000D25DB"/>
    <w:rsid w:val="000F6937"/>
    <w:rsid w:val="000F7AAA"/>
    <w:rsid w:val="00100707"/>
    <w:rsid w:val="00101935"/>
    <w:rsid w:val="00120577"/>
    <w:rsid w:val="00120C67"/>
    <w:rsid w:val="001244EB"/>
    <w:rsid w:val="00136B8F"/>
    <w:rsid w:val="0014755F"/>
    <w:rsid w:val="00157337"/>
    <w:rsid w:val="00196DD0"/>
    <w:rsid w:val="00197E4E"/>
    <w:rsid w:val="001A2DAA"/>
    <w:rsid w:val="001A426D"/>
    <w:rsid w:val="001A66EC"/>
    <w:rsid w:val="001A7332"/>
    <w:rsid w:val="001B15EC"/>
    <w:rsid w:val="001B2269"/>
    <w:rsid w:val="001C157E"/>
    <w:rsid w:val="001D3EC8"/>
    <w:rsid w:val="001E26DB"/>
    <w:rsid w:val="001E40B7"/>
    <w:rsid w:val="001F5C1D"/>
    <w:rsid w:val="002055D7"/>
    <w:rsid w:val="00231F59"/>
    <w:rsid w:val="00257F18"/>
    <w:rsid w:val="00272886"/>
    <w:rsid w:val="0027432E"/>
    <w:rsid w:val="002848D1"/>
    <w:rsid w:val="00290472"/>
    <w:rsid w:val="00290484"/>
    <w:rsid w:val="002A0612"/>
    <w:rsid w:val="002A550D"/>
    <w:rsid w:val="002B2AFC"/>
    <w:rsid w:val="002C087F"/>
    <w:rsid w:val="002C2E56"/>
    <w:rsid w:val="002C60E4"/>
    <w:rsid w:val="002E614E"/>
    <w:rsid w:val="002E763C"/>
    <w:rsid w:val="002F38C4"/>
    <w:rsid w:val="002F5E7F"/>
    <w:rsid w:val="00300395"/>
    <w:rsid w:val="0033010A"/>
    <w:rsid w:val="0033203F"/>
    <w:rsid w:val="00333792"/>
    <w:rsid w:val="003371C0"/>
    <w:rsid w:val="00352DB2"/>
    <w:rsid w:val="00355361"/>
    <w:rsid w:val="0036005F"/>
    <w:rsid w:val="00363D32"/>
    <w:rsid w:val="00391C4A"/>
    <w:rsid w:val="00394A3A"/>
    <w:rsid w:val="0039722F"/>
    <w:rsid w:val="003A1A97"/>
    <w:rsid w:val="003A1AAC"/>
    <w:rsid w:val="003A4C7A"/>
    <w:rsid w:val="003B6793"/>
    <w:rsid w:val="003C2BCD"/>
    <w:rsid w:val="003E4B6E"/>
    <w:rsid w:val="003E79DE"/>
    <w:rsid w:val="00405E83"/>
    <w:rsid w:val="00412113"/>
    <w:rsid w:val="00413E3A"/>
    <w:rsid w:val="00421A2E"/>
    <w:rsid w:val="00430850"/>
    <w:rsid w:val="004804D1"/>
    <w:rsid w:val="004E0A9D"/>
    <w:rsid w:val="004E4068"/>
    <w:rsid w:val="004E4B2C"/>
    <w:rsid w:val="004F0CEA"/>
    <w:rsid w:val="004F6C02"/>
    <w:rsid w:val="00501353"/>
    <w:rsid w:val="005073DA"/>
    <w:rsid w:val="00516866"/>
    <w:rsid w:val="0053002C"/>
    <w:rsid w:val="005359A8"/>
    <w:rsid w:val="005406F1"/>
    <w:rsid w:val="00550C86"/>
    <w:rsid w:val="00555902"/>
    <w:rsid w:val="005622D3"/>
    <w:rsid w:val="00562E4E"/>
    <w:rsid w:val="00563ADF"/>
    <w:rsid w:val="00582252"/>
    <w:rsid w:val="0058483A"/>
    <w:rsid w:val="0059067C"/>
    <w:rsid w:val="0059530C"/>
    <w:rsid w:val="005A4D47"/>
    <w:rsid w:val="005B04EA"/>
    <w:rsid w:val="005B2532"/>
    <w:rsid w:val="005C3A28"/>
    <w:rsid w:val="005E3EB3"/>
    <w:rsid w:val="0060188C"/>
    <w:rsid w:val="00624482"/>
    <w:rsid w:val="006545A7"/>
    <w:rsid w:val="0065668E"/>
    <w:rsid w:val="00660B23"/>
    <w:rsid w:val="00675FA7"/>
    <w:rsid w:val="006815DA"/>
    <w:rsid w:val="0068772B"/>
    <w:rsid w:val="0069360B"/>
    <w:rsid w:val="00695E93"/>
    <w:rsid w:val="006A6CD1"/>
    <w:rsid w:val="006C1462"/>
    <w:rsid w:val="00710FE5"/>
    <w:rsid w:val="00717A70"/>
    <w:rsid w:val="00731522"/>
    <w:rsid w:val="00733A94"/>
    <w:rsid w:val="00742DCA"/>
    <w:rsid w:val="00745FAA"/>
    <w:rsid w:val="00786A79"/>
    <w:rsid w:val="007903F4"/>
    <w:rsid w:val="00793DA9"/>
    <w:rsid w:val="00797A17"/>
    <w:rsid w:val="007B2869"/>
    <w:rsid w:val="007C5A76"/>
    <w:rsid w:val="007D652C"/>
    <w:rsid w:val="0080317B"/>
    <w:rsid w:val="00804D1D"/>
    <w:rsid w:val="008420C7"/>
    <w:rsid w:val="008468AC"/>
    <w:rsid w:val="00847144"/>
    <w:rsid w:val="00897CA3"/>
    <w:rsid w:val="008A5D13"/>
    <w:rsid w:val="008B75CA"/>
    <w:rsid w:val="008D4A5F"/>
    <w:rsid w:val="008D4F71"/>
    <w:rsid w:val="008E24C1"/>
    <w:rsid w:val="008F63F0"/>
    <w:rsid w:val="009011E1"/>
    <w:rsid w:val="00921B10"/>
    <w:rsid w:val="009300AB"/>
    <w:rsid w:val="009325DD"/>
    <w:rsid w:val="009639A2"/>
    <w:rsid w:val="00964BDC"/>
    <w:rsid w:val="00965983"/>
    <w:rsid w:val="00966EB3"/>
    <w:rsid w:val="009751B6"/>
    <w:rsid w:val="00980B1A"/>
    <w:rsid w:val="009841AC"/>
    <w:rsid w:val="00991B60"/>
    <w:rsid w:val="009939CF"/>
    <w:rsid w:val="009B7801"/>
    <w:rsid w:val="009C46E0"/>
    <w:rsid w:val="009D3CD5"/>
    <w:rsid w:val="009F3CEC"/>
    <w:rsid w:val="009F4B75"/>
    <w:rsid w:val="009F4BA1"/>
    <w:rsid w:val="00A04E7D"/>
    <w:rsid w:val="00A06300"/>
    <w:rsid w:val="00A212CD"/>
    <w:rsid w:val="00A2728E"/>
    <w:rsid w:val="00A31EA8"/>
    <w:rsid w:val="00A367F4"/>
    <w:rsid w:val="00A5681B"/>
    <w:rsid w:val="00A721BF"/>
    <w:rsid w:val="00A72E0F"/>
    <w:rsid w:val="00A73BE6"/>
    <w:rsid w:val="00A77D29"/>
    <w:rsid w:val="00A82D54"/>
    <w:rsid w:val="00AA6748"/>
    <w:rsid w:val="00AA7EDA"/>
    <w:rsid w:val="00AB7BA9"/>
    <w:rsid w:val="00AC09E5"/>
    <w:rsid w:val="00AD0BDA"/>
    <w:rsid w:val="00AD75BB"/>
    <w:rsid w:val="00AD7F1D"/>
    <w:rsid w:val="00AF34E5"/>
    <w:rsid w:val="00B16121"/>
    <w:rsid w:val="00B22C64"/>
    <w:rsid w:val="00B43B05"/>
    <w:rsid w:val="00B8573C"/>
    <w:rsid w:val="00BA6A75"/>
    <w:rsid w:val="00BB4B34"/>
    <w:rsid w:val="00BB528C"/>
    <w:rsid w:val="00BB7102"/>
    <w:rsid w:val="00BC3CAA"/>
    <w:rsid w:val="00BC51B5"/>
    <w:rsid w:val="00BE0289"/>
    <w:rsid w:val="00BF25B3"/>
    <w:rsid w:val="00C107FF"/>
    <w:rsid w:val="00C11991"/>
    <w:rsid w:val="00C2298A"/>
    <w:rsid w:val="00C32230"/>
    <w:rsid w:val="00C50834"/>
    <w:rsid w:val="00CA1F46"/>
    <w:rsid w:val="00CB086D"/>
    <w:rsid w:val="00CC3F0E"/>
    <w:rsid w:val="00CC6126"/>
    <w:rsid w:val="00CD1F1C"/>
    <w:rsid w:val="00CD4AB8"/>
    <w:rsid w:val="00D11825"/>
    <w:rsid w:val="00D1651B"/>
    <w:rsid w:val="00D27F90"/>
    <w:rsid w:val="00D372F9"/>
    <w:rsid w:val="00D47B9C"/>
    <w:rsid w:val="00D50FB5"/>
    <w:rsid w:val="00D55CE1"/>
    <w:rsid w:val="00D63049"/>
    <w:rsid w:val="00D72D7C"/>
    <w:rsid w:val="00D80182"/>
    <w:rsid w:val="00D812D3"/>
    <w:rsid w:val="00D81F3B"/>
    <w:rsid w:val="00D82B1C"/>
    <w:rsid w:val="00D91420"/>
    <w:rsid w:val="00DA0DCF"/>
    <w:rsid w:val="00DA6597"/>
    <w:rsid w:val="00DC2ED6"/>
    <w:rsid w:val="00DD0844"/>
    <w:rsid w:val="00DF2C5F"/>
    <w:rsid w:val="00DF7B07"/>
    <w:rsid w:val="00E01718"/>
    <w:rsid w:val="00E076D4"/>
    <w:rsid w:val="00E279C4"/>
    <w:rsid w:val="00E30122"/>
    <w:rsid w:val="00E52BF4"/>
    <w:rsid w:val="00E5797B"/>
    <w:rsid w:val="00E66812"/>
    <w:rsid w:val="00E66C58"/>
    <w:rsid w:val="00E71782"/>
    <w:rsid w:val="00E8715B"/>
    <w:rsid w:val="00E90314"/>
    <w:rsid w:val="00E92928"/>
    <w:rsid w:val="00EF0D84"/>
    <w:rsid w:val="00F11B37"/>
    <w:rsid w:val="00F171FB"/>
    <w:rsid w:val="00F20C19"/>
    <w:rsid w:val="00F419D9"/>
    <w:rsid w:val="00F6274A"/>
    <w:rsid w:val="00F71BAD"/>
    <w:rsid w:val="00FB7EE8"/>
    <w:rsid w:val="00FC6069"/>
    <w:rsid w:val="00FF256F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E0A9D"/>
    <w:pPr>
      <w:spacing w:before="375" w:after="375"/>
      <w:jc w:val="center"/>
      <w:outlineLvl w:val="0"/>
    </w:pPr>
    <w:rPr>
      <w:rFonts w:ascii="Arial" w:hAnsi="Arial"/>
      <w:b/>
      <w:bCs/>
      <w:kern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A9D"/>
    <w:rPr>
      <w:rFonts w:ascii="Arial" w:hAnsi="Arial" w:cs="Times New Roman"/>
      <w:b/>
      <w:kern w:val="36"/>
      <w:sz w:val="24"/>
      <w:lang w:val="en-US" w:eastAsia="en-US"/>
    </w:rPr>
  </w:style>
  <w:style w:type="paragraph" w:styleId="a3">
    <w:name w:val="Title"/>
    <w:basedOn w:val="a"/>
    <w:link w:val="a4"/>
    <w:uiPriority w:val="99"/>
    <w:qFormat/>
    <w:rsid w:val="008D4F71"/>
    <w:pPr>
      <w:autoSpaceDE w:val="0"/>
      <w:autoSpaceDN w:val="0"/>
      <w:spacing w:line="280" w:lineRule="exact"/>
      <w:ind w:firstLine="288"/>
      <w:jc w:val="center"/>
    </w:pPr>
    <w:rPr>
      <w:rFonts w:ascii="Arial" w:hAnsi="Arial"/>
    </w:rPr>
  </w:style>
  <w:style w:type="character" w:customStyle="1" w:styleId="a4">
    <w:name w:val="Название Знак"/>
    <w:basedOn w:val="a0"/>
    <w:link w:val="a3"/>
    <w:uiPriority w:val="99"/>
    <w:locked/>
    <w:rsid w:val="008D4F71"/>
    <w:rPr>
      <w:rFonts w:ascii="Arial" w:hAnsi="Arial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rsid w:val="008D4F7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D4F71"/>
    <w:rPr>
      <w:rFonts w:ascii="Times New Roman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8D4F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22C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22C64"/>
    <w:rPr>
      <w:rFonts w:ascii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65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4B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871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715B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E871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715B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CD1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DA6597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locked/>
    <w:rsid w:val="00DA6597"/>
    <w:rPr>
      <w:rFonts w:ascii="Consolas" w:hAnsi="Consolas" w:cs="Times New Roman"/>
      <w:sz w:val="21"/>
    </w:rPr>
  </w:style>
  <w:style w:type="paragraph" w:customStyle="1" w:styleId="ConsNormal">
    <w:name w:val="ConsNormal"/>
    <w:uiPriority w:val="99"/>
    <w:rsid w:val="00AD0BDA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harCharCharChar">
    <w:name w:val="Char Char Знак Знак Char Char"/>
    <w:basedOn w:val="a"/>
    <w:uiPriority w:val="99"/>
    <w:rsid w:val="000F7A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42DC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008_частично действующая редакция</Статус_x0020_документа>
    <_EndDate xmlns="http://schemas.microsoft.com/sharepoint/v3/fields">09.08.2016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D8B73A2-7F25-45D2-83B4-DDCB5310618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B291FD1-49C7-4E74-9D47-64C0740F6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E1282-286F-4452-8E6D-E0CBA98D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7154</Characters>
  <Application>Microsoft Office Word</Application>
  <DocSecurity>0</DocSecurity>
  <Lines>59</Lines>
  <Paragraphs>16</Paragraphs>
  <ScaleCrop>false</ScaleCrop>
  <Company>ООО УК "АК БАРС КАПИТАЛ"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Баландина Анастасия</dc:creator>
  <cp:lastModifiedBy>kulkova</cp:lastModifiedBy>
  <cp:revision>2</cp:revision>
  <cp:lastPrinted>2014-12-05T06:19:00Z</cp:lastPrinted>
  <dcterms:created xsi:type="dcterms:W3CDTF">2016-08-10T14:58:00Z</dcterms:created>
  <dcterms:modified xsi:type="dcterms:W3CDTF">2016-08-10T14:58:00Z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