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</w:t>
      </w:r>
      <w:r w:rsidR="00BA1A83">
        <w:rPr>
          <w:sz w:val="20"/>
          <w:szCs w:val="20"/>
        </w:rPr>
        <w:t>Генерального директора</w:t>
      </w:r>
    </w:p>
    <w:p w:rsidR="00074E75" w:rsidRPr="00A77288" w:rsidRDefault="00AB1A40" w:rsidP="00FB1622">
      <w:pPr>
        <w:spacing w:after="120"/>
        <w:ind w:left="6237"/>
        <w:rPr>
          <w:sz w:val="20"/>
          <w:szCs w:val="20"/>
        </w:rPr>
      </w:pPr>
      <w:r w:rsidRPr="00A77288">
        <w:rPr>
          <w:sz w:val="20"/>
          <w:szCs w:val="20"/>
        </w:rPr>
        <w:t>ООО УК «АК БАРС КАПИТАЛ»</w:t>
      </w:r>
      <w:r w:rsidR="00812051" w:rsidRPr="00A77288">
        <w:rPr>
          <w:sz w:val="20"/>
          <w:szCs w:val="20"/>
        </w:rPr>
        <w:t xml:space="preserve"> </w:t>
      </w:r>
    </w:p>
    <w:p w:rsidR="00074E75" w:rsidRPr="00C77EAE" w:rsidRDefault="00074E75" w:rsidP="00FB1622">
      <w:pPr>
        <w:spacing w:after="120"/>
        <w:ind w:left="6237"/>
        <w:rPr>
          <w:sz w:val="20"/>
          <w:szCs w:val="20"/>
        </w:rPr>
      </w:pPr>
      <w:r w:rsidRPr="00A77288">
        <w:rPr>
          <w:sz w:val="20"/>
          <w:szCs w:val="20"/>
        </w:rPr>
        <w:t xml:space="preserve"> </w:t>
      </w:r>
      <w:r w:rsidR="001B55BC" w:rsidRPr="00A77288">
        <w:rPr>
          <w:sz w:val="20"/>
          <w:szCs w:val="20"/>
        </w:rPr>
        <w:t xml:space="preserve">№ </w:t>
      </w:r>
      <w:r w:rsidR="003526A3" w:rsidRPr="00A77288">
        <w:rPr>
          <w:sz w:val="20"/>
          <w:szCs w:val="20"/>
        </w:rPr>
        <w:t>0</w:t>
      </w:r>
      <w:r w:rsidR="00A77288" w:rsidRPr="00A77288">
        <w:rPr>
          <w:sz w:val="20"/>
          <w:szCs w:val="20"/>
        </w:rPr>
        <w:t>6</w:t>
      </w:r>
      <w:r w:rsidR="00405766" w:rsidRPr="00A77288">
        <w:rPr>
          <w:sz w:val="20"/>
          <w:szCs w:val="20"/>
        </w:rPr>
        <w:t>/</w:t>
      </w:r>
      <w:r w:rsidR="00A77288" w:rsidRPr="00A77288">
        <w:rPr>
          <w:sz w:val="20"/>
          <w:szCs w:val="20"/>
        </w:rPr>
        <w:t>01</w:t>
      </w:r>
      <w:r w:rsidR="00A77288">
        <w:rPr>
          <w:sz w:val="20"/>
          <w:szCs w:val="20"/>
        </w:rPr>
        <w:t xml:space="preserve">/01 </w:t>
      </w:r>
      <w:r w:rsidR="001B55BC" w:rsidRPr="00A77288">
        <w:rPr>
          <w:sz w:val="20"/>
          <w:szCs w:val="20"/>
        </w:rPr>
        <w:t>от «</w:t>
      </w:r>
      <w:r w:rsidR="00A77288" w:rsidRPr="00A77288">
        <w:rPr>
          <w:sz w:val="20"/>
          <w:szCs w:val="20"/>
        </w:rPr>
        <w:t>01</w:t>
      </w:r>
      <w:r w:rsidR="001B55BC" w:rsidRPr="00A77288">
        <w:rPr>
          <w:sz w:val="20"/>
          <w:szCs w:val="20"/>
        </w:rPr>
        <w:t xml:space="preserve">» </w:t>
      </w:r>
      <w:r w:rsidR="00A77288" w:rsidRPr="00A77288">
        <w:rPr>
          <w:sz w:val="20"/>
          <w:szCs w:val="20"/>
        </w:rPr>
        <w:t>июня</w:t>
      </w:r>
      <w:r w:rsidR="00761DF6" w:rsidRPr="00A77288">
        <w:rPr>
          <w:sz w:val="20"/>
          <w:szCs w:val="20"/>
        </w:rPr>
        <w:t xml:space="preserve"> </w:t>
      </w:r>
      <w:r w:rsidR="001B55BC" w:rsidRPr="00A77288">
        <w:rPr>
          <w:sz w:val="20"/>
          <w:szCs w:val="20"/>
        </w:rPr>
        <w:t>201</w:t>
      </w:r>
      <w:r w:rsidR="003526A3" w:rsidRPr="00A77288">
        <w:rPr>
          <w:sz w:val="20"/>
          <w:szCs w:val="20"/>
        </w:rPr>
        <w:t>5</w:t>
      </w:r>
      <w:r w:rsidR="001B55BC" w:rsidRPr="00A77288">
        <w:rPr>
          <w:sz w:val="20"/>
          <w:szCs w:val="20"/>
        </w:rPr>
        <w:t xml:space="preserve"> г</w:t>
      </w:r>
      <w:r w:rsidR="00F50EA6" w:rsidRPr="00A77288">
        <w:rPr>
          <w:sz w:val="20"/>
          <w:szCs w:val="20"/>
        </w:rPr>
        <w:t>ода</w:t>
      </w:r>
    </w:p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Default="00074E75" w:rsidP="00074E75"/>
    <w:p w:rsidR="00074E75" w:rsidRPr="00F50EA6" w:rsidRDefault="00074E75" w:rsidP="00074E75">
      <w:pPr>
        <w:jc w:val="center"/>
        <w:rPr>
          <w:b/>
          <w:bCs/>
        </w:rPr>
      </w:pPr>
      <w:r w:rsidRPr="00F50EA6">
        <w:rPr>
          <w:b/>
          <w:bCs/>
        </w:rPr>
        <w:t>Изменения и дополнения</w:t>
      </w:r>
      <w:r w:rsidR="00F96C2F" w:rsidRPr="00F50EA6">
        <w:rPr>
          <w:b/>
          <w:bCs/>
        </w:rPr>
        <w:t xml:space="preserve"> №</w:t>
      </w:r>
      <w:r w:rsidR="00904E95">
        <w:rPr>
          <w:b/>
          <w:bCs/>
        </w:rPr>
        <w:t>3</w:t>
      </w:r>
      <w:r w:rsidRPr="00F50EA6">
        <w:rPr>
          <w:b/>
          <w:bCs/>
        </w:rPr>
        <w:t xml:space="preserve"> в </w:t>
      </w:r>
      <w:r w:rsidR="00922008" w:rsidRPr="00F50EA6">
        <w:rPr>
          <w:b/>
          <w:bCs/>
        </w:rPr>
        <w:t>П</w:t>
      </w:r>
      <w:r w:rsidRPr="00F50EA6">
        <w:rPr>
          <w:b/>
          <w:bCs/>
        </w:rPr>
        <w:t>равила доверительного управления</w:t>
      </w:r>
    </w:p>
    <w:p w:rsidR="00F50EA6" w:rsidRPr="00F50EA6" w:rsidRDefault="00E06EC3" w:rsidP="00F50EA6">
      <w:pPr>
        <w:jc w:val="center"/>
        <w:rPr>
          <w:b/>
          <w:bCs/>
        </w:rPr>
      </w:pPr>
      <w:r w:rsidRPr="00F50EA6">
        <w:rPr>
          <w:b/>
          <w:bCs/>
        </w:rPr>
        <w:t>З</w:t>
      </w:r>
      <w:r w:rsidR="00AB1A40" w:rsidRPr="00F50EA6">
        <w:rPr>
          <w:b/>
          <w:bCs/>
        </w:rPr>
        <w:t xml:space="preserve">акрытым паевым инвестиционным </w:t>
      </w:r>
      <w:r w:rsidR="00405766">
        <w:rPr>
          <w:b/>
          <w:bCs/>
        </w:rPr>
        <w:t xml:space="preserve">рентным </w:t>
      </w:r>
      <w:r w:rsidR="00AB1A40" w:rsidRPr="00F50EA6">
        <w:rPr>
          <w:b/>
          <w:bCs/>
        </w:rPr>
        <w:t>фондом</w:t>
      </w:r>
      <w:r w:rsidR="00405766">
        <w:rPr>
          <w:b/>
          <w:bCs/>
        </w:rPr>
        <w:t xml:space="preserve"> </w:t>
      </w:r>
      <w:r w:rsidR="00F50EA6" w:rsidRPr="00F50EA6">
        <w:rPr>
          <w:b/>
          <w:bCs/>
        </w:rPr>
        <w:t>"</w:t>
      </w:r>
      <w:r w:rsidR="00405766">
        <w:rPr>
          <w:b/>
          <w:bCs/>
        </w:rPr>
        <w:t>Земли родного края</w:t>
      </w:r>
      <w:r w:rsidR="00F50EA6" w:rsidRPr="00F50EA6">
        <w:rPr>
          <w:b/>
          <w:bCs/>
        </w:rPr>
        <w:t>"</w:t>
      </w:r>
    </w:p>
    <w:p w:rsidR="00074E75" w:rsidRPr="001F4A23" w:rsidRDefault="00E06EC3" w:rsidP="00F50EA6">
      <w:pPr>
        <w:jc w:val="center"/>
        <w:rPr>
          <w:sz w:val="20"/>
          <w:szCs w:val="20"/>
        </w:rPr>
      </w:pPr>
      <w:r w:rsidRPr="00F50EA6">
        <w:rPr>
          <w:b/>
          <w:bCs/>
        </w:rPr>
        <w:t xml:space="preserve"> </w:t>
      </w:r>
      <w:r w:rsidR="00074E75" w:rsidRPr="00F50EA6">
        <w:rPr>
          <w:sz w:val="20"/>
          <w:szCs w:val="20"/>
        </w:rPr>
        <w:t>(</w:t>
      </w:r>
      <w:r w:rsidR="00074E75" w:rsidRPr="00051603">
        <w:rPr>
          <w:sz w:val="20"/>
          <w:szCs w:val="20"/>
        </w:rPr>
        <w:t xml:space="preserve">Правила зарегистрированы </w:t>
      </w:r>
      <w:r w:rsidR="00051603">
        <w:rPr>
          <w:sz w:val="20"/>
          <w:szCs w:val="20"/>
        </w:rPr>
        <w:t>Банк</w:t>
      </w:r>
      <w:r w:rsidR="00405766">
        <w:rPr>
          <w:sz w:val="20"/>
          <w:szCs w:val="20"/>
        </w:rPr>
        <w:t>ом</w:t>
      </w:r>
      <w:r w:rsidR="00051603">
        <w:rPr>
          <w:sz w:val="20"/>
          <w:szCs w:val="20"/>
        </w:rPr>
        <w:t xml:space="preserve"> России</w:t>
      </w:r>
      <w:r w:rsidR="00121AEB">
        <w:rPr>
          <w:sz w:val="20"/>
          <w:szCs w:val="20"/>
        </w:rPr>
        <w:t xml:space="preserve"> </w:t>
      </w:r>
      <w:r w:rsidR="00074E75" w:rsidRPr="00051603">
        <w:rPr>
          <w:sz w:val="20"/>
          <w:szCs w:val="20"/>
        </w:rPr>
        <w:t>за</w:t>
      </w:r>
      <w:r w:rsidR="00051603">
        <w:rPr>
          <w:sz w:val="20"/>
          <w:szCs w:val="20"/>
        </w:rPr>
        <w:t xml:space="preserve"> </w:t>
      </w:r>
      <w:r w:rsidR="004C4B07" w:rsidRPr="00051603">
        <w:rPr>
          <w:sz w:val="20"/>
          <w:szCs w:val="20"/>
        </w:rPr>
        <w:t xml:space="preserve">№ </w:t>
      </w:r>
      <w:r w:rsidR="00405766">
        <w:rPr>
          <w:sz w:val="20"/>
          <w:szCs w:val="20"/>
        </w:rPr>
        <w:t>2798</w:t>
      </w:r>
      <w:r w:rsidR="00405766" w:rsidRPr="007759B6">
        <w:rPr>
          <w:color w:val="000000"/>
          <w:spacing w:val="-5"/>
          <w:sz w:val="20"/>
          <w:szCs w:val="20"/>
        </w:rPr>
        <w:t xml:space="preserve"> от </w:t>
      </w:r>
      <w:r w:rsidR="00405766">
        <w:rPr>
          <w:color w:val="000000"/>
          <w:spacing w:val="-5"/>
          <w:sz w:val="20"/>
          <w:szCs w:val="20"/>
        </w:rPr>
        <w:t>22.05</w:t>
      </w:r>
      <w:r w:rsidR="00405766" w:rsidRPr="007759B6">
        <w:rPr>
          <w:sz w:val="20"/>
          <w:szCs w:val="20"/>
        </w:rPr>
        <w:t>.2014 г</w:t>
      </w:r>
      <w:r w:rsidR="00405766">
        <w:rPr>
          <w:color w:val="000000"/>
          <w:spacing w:val="-5"/>
          <w:sz w:val="20"/>
          <w:szCs w:val="20"/>
        </w:rPr>
        <w:t>ода</w:t>
      </w:r>
      <w:r w:rsidR="00812051" w:rsidRPr="00051603">
        <w:rPr>
          <w:color w:val="000000"/>
          <w:spacing w:val="-5"/>
          <w:sz w:val="20"/>
          <w:szCs w:val="20"/>
        </w:rPr>
        <w:t>.</w:t>
      </w:r>
      <w:r w:rsidR="00074E75" w:rsidRPr="00F50EA6">
        <w:rPr>
          <w:sz w:val="20"/>
          <w:szCs w:val="20"/>
        </w:rPr>
        <w:t>)</w:t>
      </w:r>
    </w:p>
    <w:p w:rsidR="00074E75" w:rsidRDefault="00074E75" w:rsidP="00074E75"/>
    <w:p w:rsidR="00074E75" w:rsidRDefault="00074E75" w:rsidP="00074E75"/>
    <w:p w:rsidR="00074E75" w:rsidRDefault="00074E75" w:rsidP="00990F99">
      <w:pPr>
        <w:ind w:firstLine="708"/>
        <w:jc w:val="both"/>
      </w:pPr>
      <w:r>
        <w:t xml:space="preserve">Внести в правила доверительного управления </w:t>
      </w:r>
      <w:r w:rsidR="00765F27">
        <w:t>З</w:t>
      </w:r>
      <w:r w:rsidR="004C4B07">
        <w:t xml:space="preserve">акрытым паевым инвестиционным </w:t>
      </w:r>
      <w:r w:rsidR="00405766">
        <w:t xml:space="preserve">рентным </w:t>
      </w:r>
      <w:r w:rsidR="004C4B07">
        <w:t xml:space="preserve">фондом </w:t>
      </w:r>
      <w:r w:rsidR="00F50EA6" w:rsidRPr="001065E5">
        <w:t>"</w:t>
      </w:r>
      <w:r w:rsidR="00405766">
        <w:t>Земли родного края</w:t>
      </w:r>
      <w:r w:rsidR="00F50EA6" w:rsidRPr="001065E5">
        <w:t>"</w:t>
      </w:r>
      <w:r w:rsidR="004C4B07">
        <w:t xml:space="preserve"> </w:t>
      </w:r>
      <w:r>
        <w:t>(далее – Правила Фонда) следующие изменения и дополнения:</w:t>
      </w:r>
    </w:p>
    <w:p w:rsidR="00074E75" w:rsidRDefault="00074E75" w:rsidP="00990F99">
      <w:pPr>
        <w:ind w:firstLine="708"/>
        <w:jc w:val="both"/>
      </w:pPr>
    </w:p>
    <w:p w:rsidR="00074E75" w:rsidRPr="00D372F9" w:rsidRDefault="00074E75" w:rsidP="00990F99">
      <w:pPr>
        <w:tabs>
          <w:tab w:val="left" w:pos="993"/>
        </w:tabs>
        <w:ind w:firstLine="708"/>
      </w:pPr>
      <w:r>
        <w:t>1.</w:t>
      </w:r>
      <w:r>
        <w:tab/>
      </w:r>
      <w:r w:rsidR="00990F99" w:rsidRPr="00555902">
        <w:t>Изложить следующие пункты Правил Фонда в новой редакции</w:t>
      </w:r>
      <w:r>
        <w:t>:</w:t>
      </w:r>
    </w:p>
    <w:p w:rsidR="00074E75" w:rsidRDefault="00074E75" w:rsidP="00074E75">
      <w:pPr>
        <w:jc w:val="both"/>
      </w:pPr>
    </w:p>
    <w:tbl>
      <w:tblPr>
        <w:tblStyle w:val="a3"/>
        <w:tblW w:w="9860" w:type="dxa"/>
        <w:tblInd w:w="108" w:type="dxa"/>
        <w:tblLook w:val="01E0"/>
      </w:tblPr>
      <w:tblGrid>
        <w:gridCol w:w="4820"/>
        <w:gridCol w:w="5040"/>
      </w:tblGrid>
      <w:tr w:rsidR="00074E75" w:rsidRPr="00717141" w:rsidTr="00106FFE">
        <w:tc>
          <w:tcPr>
            <w:tcW w:w="4820" w:type="dxa"/>
          </w:tcPr>
          <w:p w:rsidR="00074E75" w:rsidRPr="00717141" w:rsidRDefault="00467ADE" w:rsidP="005129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074E75" w:rsidRPr="00717141">
              <w:rPr>
                <w:b/>
                <w:bCs/>
                <w:sz w:val="22"/>
                <w:szCs w:val="22"/>
              </w:rPr>
              <w:t>тарая редакция</w:t>
            </w:r>
          </w:p>
        </w:tc>
        <w:tc>
          <w:tcPr>
            <w:tcW w:w="5040" w:type="dxa"/>
          </w:tcPr>
          <w:p w:rsidR="00074E75" w:rsidRPr="00717141" w:rsidRDefault="00467ADE" w:rsidP="00990F99">
            <w:pPr>
              <w:ind w:firstLine="4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074E75" w:rsidRPr="00717141">
              <w:rPr>
                <w:b/>
                <w:bCs/>
                <w:sz w:val="22"/>
                <w:szCs w:val="22"/>
              </w:rPr>
              <w:t>овая редакция</w:t>
            </w:r>
          </w:p>
        </w:tc>
      </w:tr>
      <w:tr w:rsidR="00074E75" w:rsidRPr="005B7373" w:rsidTr="00106FFE">
        <w:trPr>
          <w:trHeight w:val="1053"/>
        </w:trPr>
        <w:tc>
          <w:tcPr>
            <w:tcW w:w="4820" w:type="dxa"/>
          </w:tcPr>
          <w:p w:rsidR="00074E75" w:rsidRPr="00904E95" w:rsidRDefault="00904E95" w:rsidP="00904E95">
            <w:pPr>
              <w:ind w:firstLine="601"/>
              <w:jc w:val="both"/>
            </w:pPr>
            <w:r w:rsidRPr="00904E95">
              <w:t>4. Полное фирменное наименование управляющей компании Фонда - Общество с ограниченной ответственностью Управляющая компания “АК БАРС КАПИТАЛ” (далее - Управляющая компания).</w:t>
            </w:r>
            <w:bookmarkStart w:id="0" w:name="p_40"/>
            <w:bookmarkEnd w:id="0"/>
          </w:p>
        </w:tc>
        <w:tc>
          <w:tcPr>
            <w:tcW w:w="5040" w:type="dxa"/>
          </w:tcPr>
          <w:p w:rsidR="00074E75" w:rsidRPr="00904E95" w:rsidRDefault="00904E95" w:rsidP="0018054F">
            <w:pPr>
              <w:ind w:firstLine="601"/>
              <w:jc w:val="both"/>
            </w:pPr>
            <w:r w:rsidRPr="00904E95">
              <w:t xml:space="preserve">4. Полное фирменное наименование управляющей компании Фонда - </w:t>
            </w:r>
            <w:r>
              <w:t xml:space="preserve">Закрытое акционерное общество </w:t>
            </w:r>
            <w:r w:rsidRPr="00923825">
              <w:t>«Успешная управляющая компания Республики Татарстан»</w:t>
            </w:r>
            <w:r w:rsidRPr="00904E95">
              <w:t xml:space="preserve"> (далее - Управляющая компания).</w:t>
            </w:r>
          </w:p>
        </w:tc>
      </w:tr>
      <w:tr w:rsidR="00990F99" w:rsidRPr="005B7373" w:rsidTr="0018054F">
        <w:trPr>
          <w:trHeight w:val="950"/>
        </w:trPr>
        <w:tc>
          <w:tcPr>
            <w:tcW w:w="4820" w:type="dxa"/>
          </w:tcPr>
          <w:p w:rsidR="00990F99" w:rsidRDefault="00904E95" w:rsidP="00904E95">
            <w:pPr>
              <w:ind w:firstLine="601"/>
              <w:jc w:val="both"/>
            </w:pPr>
            <w:r w:rsidRPr="00904E95">
              <w:t xml:space="preserve">5. Место нахождения Управляющей компании - 420066, Республика Татарстан, </w:t>
            </w:r>
            <w:proofErr w:type="gramStart"/>
            <w:r w:rsidRPr="00904E95">
              <w:t>г</w:t>
            </w:r>
            <w:proofErr w:type="gramEnd"/>
            <w:r w:rsidRPr="00904E95">
              <w:t>. Казань, ул. Декабристов, д.1.</w:t>
            </w:r>
          </w:p>
        </w:tc>
        <w:tc>
          <w:tcPr>
            <w:tcW w:w="5040" w:type="dxa"/>
          </w:tcPr>
          <w:p w:rsidR="00990F99" w:rsidRDefault="00904E95" w:rsidP="0018054F">
            <w:pPr>
              <w:tabs>
                <w:tab w:val="left" w:pos="4246"/>
              </w:tabs>
              <w:ind w:right="282" w:firstLine="601"/>
              <w:jc w:val="both"/>
            </w:pPr>
            <w:r w:rsidRPr="00904E95">
              <w:t>5. Место на</w:t>
            </w:r>
            <w:r w:rsidR="00B7177F">
              <w:t xml:space="preserve">хождения Управляющей компании - </w:t>
            </w:r>
            <w:r w:rsidR="0018054F" w:rsidRPr="00F75776">
              <w:t xml:space="preserve">420111, РТ, г. Казань, </w:t>
            </w:r>
            <w:r w:rsidR="0018054F">
              <w:t>ул. Астрономическая, 8/21</w:t>
            </w:r>
            <w:r w:rsidR="00B7177F">
              <w:t>.</w:t>
            </w:r>
          </w:p>
        </w:tc>
      </w:tr>
      <w:tr w:rsidR="00904E95" w:rsidRPr="005B7373" w:rsidTr="00106FFE">
        <w:trPr>
          <w:trHeight w:val="1053"/>
        </w:trPr>
        <w:tc>
          <w:tcPr>
            <w:tcW w:w="4820" w:type="dxa"/>
          </w:tcPr>
          <w:p w:rsidR="00904E95" w:rsidRPr="00904E95" w:rsidRDefault="00904E95" w:rsidP="00904E95">
            <w:pPr>
              <w:ind w:firstLine="601"/>
              <w:jc w:val="both"/>
            </w:pPr>
            <w:r w:rsidRPr="00904E95"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"12" ноября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904E95">
                <w:t>2002 г</w:t>
              </w:r>
            </w:smartTag>
            <w:r w:rsidRPr="00904E95">
              <w:t>. № 21-000-1-00088, предоставленная Федеральной службой по финансовым рынкам.</w:t>
            </w:r>
          </w:p>
        </w:tc>
        <w:tc>
          <w:tcPr>
            <w:tcW w:w="5040" w:type="dxa"/>
          </w:tcPr>
          <w:p w:rsidR="00904E95" w:rsidRDefault="0018054F" w:rsidP="0018054F">
            <w:pPr>
              <w:ind w:firstLine="459"/>
              <w:jc w:val="both"/>
            </w:pPr>
            <w:r w:rsidRPr="00904E95"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"</w:t>
            </w:r>
            <w:r w:rsidRPr="0018054F">
              <w:t>06</w:t>
            </w:r>
            <w:r w:rsidRPr="00904E95">
              <w:t xml:space="preserve">" </w:t>
            </w:r>
            <w:r>
              <w:t>сентября</w:t>
            </w:r>
            <w:r w:rsidRPr="00904E95">
              <w:t xml:space="preserve"> 200</w:t>
            </w:r>
            <w:r>
              <w:t>8</w:t>
            </w:r>
            <w:r w:rsidRPr="00904E95">
              <w:t> г. № </w:t>
            </w:r>
            <w:r w:rsidRPr="00D12011">
              <w:t>21-000-1-00</w:t>
            </w:r>
            <w:r>
              <w:t>585</w:t>
            </w:r>
            <w:r w:rsidRPr="00904E95">
              <w:t>, предоставленная Федеральной службой по финансовым рынкам.</w:t>
            </w:r>
          </w:p>
        </w:tc>
      </w:tr>
      <w:tr w:rsidR="00904E95" w:rsidRPr="005B7373" w:rsidTr="00106FFE">
        <w:trPr>
          <w:trHeight w:val="1053"/>
        </w:trPr>
        <w:tc>
          <w:tcPr>
            <w:tcW w:w="4820" w:type="dxa"/>
          </w:tcPr>
          <w:p w:rsidR="00904E95" w:rsidRPr="00904E95" w:rsidRDefault="00904E95" w:rsidP="00904E95">
            <w:pPr>
              <w:ind w:firstLine="601"/>
              <w:jc w:val="both"/>
            </w:pPr>
            <w:r w:rsidRPr="00904E95">
              <w:t>13. Полное фирменное наименование аудиторской организации Фонда - Закрытое акционерное общество “</w:t>
            </w:r>
            <w:proofErr w:type="spellStart"/>
            <w:r w:rsidRPr="00904E95">
              <w:t>Аудиторско-консалтинговая</w:t>
            </w:r>
            <w:proofErr w:type="spellEnd"/>
            <w:r w:rsidRPr="00904E95">
              <w:t xml:space="preserve"> фирма “АУДЭКС” (далее - Аудиторская организация).</w:t>
            </w:r>
          </w:p>
        </w:tc>
        <w:tc>
          <w:tcPr>
            <w:tcW w:w="5040" w:type="dxa"/>
          </w:tcPr>
          <w:p w:rsidR="00904E95" w:rsidRDefault="0018054F" w:rsidP="0018054F">
            <w:pPr>
              <w:ind w:firstLine="459"/>
              <w:jc w:val="both"/>
            </w:pPr>
            <w:bookmarkStart w:id="1" w:name="sub_1014"/>
            <w:r w:rsidRPr="006730C1">
              <w:t>1</w:t>
            </w:r>
            <w:r>
              <w:t>3</w:t>
            </w:r>
            <w:r w:rsidRPr="006730C1">
              <w:t>. Полное фирменное наименование аудитор</w:t>
            </w:r>
            <w:r>
              <w:t>ской организации</w:t>
            </w:r>
            <w:r w:rsidRPr="006730C1">
              <w:t xml:space="preserve"> Фонда</w:t>
            </w:r>
            <w:r>
              <w:t xml:space="preserve"> -</w:t>
            </w:r>
            <w:r w:rsidRPr="006730C1">
              <w:t xml:space="preserve"> </w:t>
            </w:r>
            <w:r>
              <w:t>Общество с ограниченной ответственностью</w:t>
            </w:r>
            <w:r w:rsidRPr="006730C1">
              <w:t xml:space="preserve"> «</w:t>
            </w:r>
            <w:proofErr w:type="spellStart"/>
            <w:r w:rsidRPr="006730C1">
              <w:t>Аудиторско-консалтинговая</w:t>
            </w:r>
            <w:proofErr w:type="spellEnd"/>
            <w:r w:rsidRPr="006730C1">
              <w:t xml:space="preserve"> фирма «</w:t>
            </w:r>
            <w:proofErr w:type="spellStart"/>
            <w:r w:rsidRPr="006730C1">
              <w:t>А</w:t>
            </w:r>
            <w:r>
              <w:t>удэкс</w:t>
            </w:r>
            <w:proofErr w:type="spellEnd"/>
            <w:r w:rsidRPr="006730C1">
              <w:t xml:space="preserve">» (далее </w:t>
            </w:r>
            <w:r>
              <w:t>–</w:t>
            </w:r>
            <w:r w:rsidRPr="006730C1">
              <w:t xml:space="preserve"> </w:t>
            </w:r>
            <w:r>
              <w:t>А</w:t>
            </w:r>
            <w:r w:rsidRPr="006730C1">
              <w:t>удитор</w:t>
            </w:r>
            <w:r>
              <w:t>ская организация</w:t>
            </w:r>
            <w:r w:rsidRPr="006730C1">
              <w:t>)</w:t>
            </w:r>
            <w:bookmarkEnd w:id="1"/>
            <w:r w:rsidRPr="006730C1">
              <w:t>.</w:t>
            </w:r>
          </w:p>
        </w:tc>
      </w:tr>
      <w:tr w:rsidR="00904E95" w:rsidRPr="005B7373" w:rsidTr="00B7177F">
        <w:trPr>
          <w:trHeight w:val="558"/>
        </w:trPr>
        <w:tc>
          <w:tcPr>
            <w:tcW w:w="4820" w:type="dxa"/>
          </w:tcPr>
          <w:p w:rsidR="00904E95" w:rsidRPr="00904E95" w:rsidRDefault="00904E95" w:rsidP="00904E95">
            <w:pPr>
              <w:ind w:firstLine="601"/>
              <w:jc w:val="both"/>
            </w:pPr>
            <w:r w:rsidRPr="00904E95">
              <w:t>46.21. Сообщение о созыве общего собрания раскрывается лицом, созывающим общее собрание, не позднее, чем за 20 дней до даты проведения общего собрания.</w:t>
            </w:r>
          </w:p>
          <w:p w:rsidR="00904E95" w:rsidRPr="00904E95" w:rsidRDefault="00904E95" w:rsidP="00904E95">
            <w:pPr>
              <w:ind w:firstLine="601"/>
              <w:jc w:val="both"/>
            </w:pPr>
            <w:r w:rsidRPr="00904E95">
              <w:t>До его раскрытия сообщение о созыве общего собрания должно быть направлено в Банк России.</w:t>
            </w:r>
          </w:p>
          <w:p w:rsidR="00904E95" w:rsidRPr="00904E95" w:rsidRDefault="00904E95" w:rsidP="00904E95">
            <w:pPr>
              <w:ind w:firstLine="601"/>
              <w:jc w:val="both"/>
            </w:pPr>
            <w:r w:rsidRPr="00904E95">
              <w:t xml:space="preserve">Раскрытие сообщения о созыве </w:t>
            </w:r>
            <w:r w:rsidRPr="00904E95">
              <w:lastRenderedPageBreak/>
              <w:t xml:space="preserve">общего собрания осуществляется на сайте в сети Интернет </w:t>
            </w:r>
            <w:hyperlink r:id="rId10" w:history="1">
              <w:r w:rsidRPr="00904E95">
                <w:t>www.akbars-capital.ru</w:t>
              </w:r>
            </w:hyperlink>
            <w:r w:rsidRPr="00904E95">
              <w:t>.</w:t>
            </w:r>
          </w:p>
        </w:tc>
        <w:tc>
          <w:tcPr>
            <w:tcW w:w="5040" w:type="dxa"/>
          </w:tcPr>
          <w:p w:rsidR="0085791D" w:rsidRPr="00904E95" w:rsidRDefault="0085791D" w:rsidP="0085791D">
            <w:pPr>
              <w:ind w:firstLine="601"/>
              <w:jc w:val="both"/>
            </w:pPr>
            <w:r w:rsidRPr="00904E95">
              <w:lastRenderedPageBreak/>
              <w:t>46.21. Сообщение о созыве общего собрания раскрывается лицом, созывающим общее собрание, не позднее, чем за 20 дней до даты проведения общего собрания.</w:t>
            </w:r>
          </w:p>
          <w:p w:rsidR="0085791D" w:rsidRPr="00904E95" w:rsidRDefault="0085791D" w:rsidP="0085791D">
            <w:pPr>
              <w:ind w:firstLine="601"/>
              <w:jc w:val="both"/>
            </w:pPr>
            <w:r w:rsidRPr="00904E95">
              <w:t>До его раскрытия сообщение о созыве общего собрания должно быть направлено в Банк России.</w:t>
            </w:r>
          </w:p>
          <w:p w:rsidR="00904E95" w:rsidRDefault="0085791D" w:rsidP="0085791D">
            <w:pPr>
              <w:ind w:firstLine="459"/>
              <w:jc w:val="both"/>
            </w:pPr>
            <w:r w:rsidRPr="00904E95">
              <w:t xml:space="preserve">Раскрытие сообщения о созыве общего </w:t>
            </w:r>
            <w:r w:rsidRPr="00904E95">
              <w:lastRenderedPageBreak/>
              <w:t>собрания осуществляется на сайте в сети Интернет</w:t>
            </w:r>
            <w:r>
              <w:t xml:space="preserve"> </w:t>
            </w:r>
            <w:proofErr w:type="spellStart"/>
            <w:r w:rsidRPr="0085791D">
              <w:t>www.uukrt.ru</w:t>
            </w:r>
            <w:proofErr w:type="spellEnd"/>
            <w:r w:rsidR="00B7177F">
              <w:t>.</w:t>
            </w:r>
          </w:p>
        </w:tc>
      </w:tr>
      <w:tr w:rsidR="0082101A" w:rsidRPr="005B7373" w:rsidTr="00B7177F">
        <w:trPr>
          <w:trHeight w:val="558"/>
        </w:trPr>
        <w:tc>
          <w:tcPr>
            <w:tcW w:w="4820" w:type="dxa"/>
          </w:tcPr>
          <w:p w:rsidR="0082101A" w:rsidRPr="0082101A" w:rsidRDefault="0082101A" w:rsidP="0082101A">
            <w:pPr>
              <w:ind w:firstLine="601"/>
              <w:jc w:val="both"/>
            </w:pPr>
            <w:r w:rsidRPr="0082101A">
              <w:lastRenderedPageBreak/>
              <w:t xml:space="preserve">55. Порядок подачи заявок на приобретение инвестиционных паев: </w:t>
            </w:r>
          </w:p>
          <w:p w:rsidR="0082101A" w:rsidRPr="0082101A" w:rsidRDefault="0082101A" w:rsidP="0082101A">
            <w:pPr>
              <w:ind w:firstLine="601"/>
              <w:jc w:val="both"/>
            </w:pPr>
            <w:r w:rsidRPr="0082101A">
              <w:t xml:space="preserve">1) Заявка на приобретение инвестиционных паев, оформленная в соответствии с приложением № 1 к настоящим Правилам, подается в пунктах приема заявок инвестором или его уполномоченным представителем. </w:t>
            </w:r>
          </w:p>
          <w:p w:rsidR="0082101A" w:rsidRPr="0082101A" w:rsidRDefault="0082101A" w:rsidP="0082101A">
            <w:pPr>
              <w:ind w:firstLine="601"/>
              <w:jc w:val="both"/>
            </w:pPr>
            <w:r w:rsidRPr="0082101A">
              <w:t>Заявка на приобретение инвестиционных паев, оформленная в соответствии с приложением № 2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82101A" w:rsidRPr="0082101A" w:rsidRDefault="0082101A" w:rsidP="0082101A">
            <w:pPr>
              <w:ind w:firstLine="601"/>
              <w:jc w:val="both"/>
            </w:pPr>
            <w:r w:rsidRPr="0082101A">
              <w:t>Заявки на приобретение инвестиционных паев, направленные почтой (в том числе электронной), факсом или курьером, не принимаются.</w:t>
            </w:r>
          </w:p>
          <w:p w:rsidR="0082101A" w:rsidRPr="00904E95" w:rsidRDefault="0082101A" w:rsidP="0082101A">
            <w:pPr>
              <w:ind w:firstLine="601"/>
              <w:jc w:val="both"/>
            </w:pPr>
            <w:r w:rsidRPr="0082101A">
              <w:t>2) К заявке на приобретение инвестиционных паев прилагается отчет об оценке имущества, передаваемого в оплату инвестиционных паев.</w:t>
            </w:r>
          </w:p>
        </w:tc>
        <w:tc>
          <w:tcPr>
            <w:tcW w:w="5040" w:type="dxa"/>
          </w:tcPr>
          <w:p w:rsidR="0082101A" w:rsidRPr="0082101A" w:rsidRDefault="0082101A" w:rsidP="0082101A">
            <w:pPr>
              <w:ind w:firstLine="601"/>
              <w:jc w:val="both"/>
            </w:pPr>
            <w:r w:rsidRPr="0082101A">
              <w:t xml:space="preserve">55. Порядок подачи заявок на приобретение инвестиционных паев: </w:t>
            </w:r>
          </w:p>
          <w:p w:rsidR="0082101A" w:rsidRPr="0082101A" w:rsidRDefault="0082101A" w:rsidP="0082101A">
            <w:pPr>
              <w:ind w:firstLine="601"/>
              <w:jc w:val="both"/>
            </w:pPr>
            <w:r w:rsidRPr="0082101A">
              <w:t xml:space="preserve">1) Заявка на приобретение инвестиционных паев, оформленная в соответствии с приложением № 1 к настоящим Правилам, подается в пунктах приема заявок инвестором или его уполномоченным представителем. </w:t>
            </w:r>
          </w:p>
          <w:p w:rsidR="0082101A" w:rsidRPr="0082101A" w:rsidRDefault="0082101A" w:rsidP="00A76D3E">
            <w:pPr>
              <w:ind w:firstLine="601"/>
              <w:jc w:val="both"/>
            </w:pPr>
            <w:r w:rsidRPr="0082101A">
              <w:t>Заявка на приобретение инвестиционных паев, оформленная в соответствии с приложением № 2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A76D3E" w:rsidRPr="005943DB" w:rsidRDefault="00A76D3E" w:rsidP="00A76D3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5943DB">
              <w:t>Заявки на приобретение инвестиционных паев могут направляться посредством почтовой связи заказным письмом с уведомлением о вручении на  адрес пункта</w:t>
            </w:r>
            <w:r w:rsidRPr="00EB090B">
              <w:t xml:space="preserve"> </w:t>
            </w:r>
            <w:r w:rsidRPr="005943DB">
              <w:t xml:space="preserve"> приема заявок Управляющей компании: 420111, Республика Татарстан, </w:t>
            </w:r>
            <w:proofErr w:type="gramStart"/>
            <w:r w:rsidRPr="005943DB">
              <w:t>г</w:t>
            </w:r>
            <w:proofErr w:type="gramEnd"/>
            <w:r w:rsidRPr="005943DB">
              <w:t xml:space="preserve">. Казань, ул. Астрономическая, д.8/21, </w:t>
            </w:r>
            <w:r w:rsidR="00A77288">
              <w:t>Закрытое акционерное общество</w:t>
            </w:r>
            <w:r w:rsidRPr="005943DB">
              <w:t xml:space="preserve"> «Успешная управляющая компания Республики Татарстан». При этом подлинность подписи инвестора на заявке на приобретение инвестиционных паев  должна быть удостоверена нотариально.</w:t>
            </w:r>
          </w:p>
          <w:p w:rsidR="00A76D3E" w:rsidRPr="005943DB" w:rsidRDefault="00A76D3E" w:rsidP="00A76D3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5943DB"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A76D3E" w:rsidRPr="005943DB" w:rsidRDefault="00A76D3E" w:rsidP="00A76D3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5943DB">
              <w:t>В случае отказа в приеме заявки на приобретение  инвестиционных паев, полученной посредством почтовой связи, на основаниях, предусмотренных 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 в срок не</w:t>
            </w:r>
            <w:proofErr w:type="gramEnd"/>
            <w:r w:rsidRPr="005943DB">
              <w:t xml:space="preserve"> позднее 15 (пятнадцати) дней </w:t>
            </w:r>
            <w:proofErr w:type="gramStart"/>
            <w:r w:rsidRPr="005943DB">
              <w:t>с даты получения</w:t>
            </w:r>
            <w:proofErr w:type="gramEnd"/>
            <w:r w:rsidRPr="005943DB">
              <w:t xml:space="preserve"> почтового отправления Управляющей компанией.</w:t>
            </w:r>
          </w:p>
          <w:p w:rsidR="0082101A" w:rsidRPr="0082101A" w:rsidRDefault="00A76D3E" w:rsidP="00A76D3E">
            <w:pPr>
              <w:ind w:firstLine="601"/>
              <w:jc w:val="both"/>
            </w:pPr>
            <w:r w:rsidRPr="005943DB">
              <w:t xml:space="preserve">Заявки на приобретение инвестиционных паев, направленные </w:t>
            </w:r>
            <w:r w:rsidRPr="005943DB">
              <w:lastRenderedPageBreak/>
              <w:t>электронной почтой, факсом или курьером, не принимаются.</w:t>
            </w:r>
          </w:p>
          <w:p w:rsidR="0082101A" w:rsidRPr="00904E95" w:rsidRDefault="0082101A" w:rsidP="00A76D3E">
            <w:pPr>
              <w:ind w:firstLine="601"/>
              <w:jc w:val="both"/>
            </w:pPr>
            <w:r w:rsidRPr="0082101A">
              <w:t>2) К заявке на приобретение инвестиционных паев прилагается отчет об оценке имущества, передаваемого в оплату инвестиционных паев.</w:t>
            </w:r>
          </w:p>
        </w:tc>
      </w:tr>
      <w:tr w:rsidR="00904E95" w:rsidRPr="005B7373" w:rsidTr="00106FFE">
        <w:trPr>
          <w:trHeight w:val="1053"/>
        </w:trPr>
        <w:tc>
          <w:tcPr>
            <w:tcW w:w="4820" w:type="dxa"/>
          </w:tcPr>
          <w:p w:rsidR="00904E95" w:rsidRPr="00904E95" w:rsidRDefault="00904E95" w:rsidP="00904E95">
            <w:pPr>
              <w:ind w:firstLine="601"/>
              <w:jc w:val="both"/>
            </w:pPr>
            <w:r w:rsidRPr="00904E95">
              <w:lastRenderedPageBreak/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паев. </w:t>
            </w:r>
          </w:p>
          <w:p w:rsidR="00904E95" w:rsidRPr="00904E95" w:rsidRDefault="003A04EF" w:rsidP="00904E95">
            <w:pPr>
              <w:ind w:firstLine="601"/>
              <w:jc w:val="both"/>
            </w:pPr>
            <w:r>
              <w:t xml:space="preserve">Указанную </w:t>
            </w:r>
            <w:r w:rsidR="00904E95" w:rsidRPr="00904E95">
              <w:t xml:space="preserve">информацию Управляющая компания раскрывает на сайте </w:t>
            </w:r>
            <w:proofErr w:type="spellStart"/>
            <w:r w:rsidR="0085791D" w:rsidRPr="00B7177F">
              <w:t>www.akbars-capital.ru</w:t>
            </w:r>
            <w:proofErr w:type="spellEnd"/>
            <w:r w:rsidR="00B7177F">
              <w:t>.</w:t>
            </w:r>
          </w:p>
        </w:tc>
        <w:tc>
          <w:tcPr>
            <w:tcW w:w="5040" w:type="dxa"/>
          </w:tcPr>
          <w:p w:rsidR="00B7177F" w:rsidRPr="00904E95" w:rsidRDefault="00B7177F" w:rsidP="00B7177F">
            <w:pPr>
              <w:ind w:firstLine="601"/>
              <w:jc w:val="both"/>
            </w:pPr>
            <w:r w:rsidRPr="00904E95">
              <w:t xml:space="preserve">64. 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паев. </w:t>
            </w:r>
          </w:p>
          <w:p w:rsidR="00904E95" w:rsidRDefault="00B7177F" w:rsidP="00B7177F">
            <w:pPr>
              <w:ind w:firstLine="459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proofErr w:type="spellStart"/>
            <w:r w:rsidRPr="0085791D">
              <w:t>www.uukrt.ru</w:t>
            </w:r>
            <w:proofErr w:type="spellEnd"/>
            <w:r>
              <w:t>.</w:t>
            </w:r>
          </w:p>
        </w:tc>
      </w:tr>
      <w:tr w:rsidR="00904E95" w:rsidRPr="005B7373" w:rsidTr="00B7177F">
        <w:trPr>
          <w:trHeight w:val="2458"/>
        </w:trPr>
        <w:tc>
          <w:tcPr>
            <w:tcW w:w="4820" w:type="dxa"/>
          </w:tcPr>
          <w:p w:rsidR="00904E95" w:rsidRPr="00904E95" w:rsidRDefault="00904E95" w:rsidP="00B7177F">
            <w:pPr>
              <w:ind w:firstLine="601"/>
              <w:jc w:val="both"/>
            </w:pPr>
            <w:r w:rsidRPr="00904E95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в сети Интернет на сайте </w:t>
            </w:r>
            <w:hyperlink r:id="rId11" w:history="1">
              <w:r w:rsidRPr="00904E95">
                <w:t>www.akbars-capital.ru</w:t>
              </w:r>
            </w:hyperlink>
            <w:r w:rsidRPr="00904E95">
              <w:t>.</w:t>
            </w:r>
          </w:p>
        </w:tc>
        <w:tc>
          <w:tcPr>
            <w:tcW w:w="5040" w:type="dxa"/>
          </w:tcPr>
          <w:p w:rsidR="00B7177F" w:rsidRPr="00904E95" w:rsidRDefault="00B7177F" w:rsidP="00B7177F">
            <w:pPr>
              <w:ind w:firstLine="601"/>
              <w:jc w:val="both"/>
            </w:pPr>
            <w:r w:rsidRPr="00904E95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в сети Интернет на сайте </w:t>
            </w:r>
            <w:proofErr w:type="spellStart"/>
            <w:r w:rsidRPr="0085791D">
              <w:t>www.uukrt.ru</w:t>
            </w:r>
            <w:proofErr w:type="spellEnd"/>
            <w:r w:rsidRPr="00904E95">
              <w:t>.</w:t>
            </w:r>
          </w:p>
          <w:p w:rsidR="00904E95" w:rsidRDefault="00904E95" w:rsidP="00990F99">
            <w:pPr>
              <w:ind w:firstLine="459"/>
              <w:jc w:val="both"/>
            </w:pPr>
          </w:p>
        </w:tc>
      </w:tr>
      <w:tr w:rsidR="00904E95" w:rsidRPr="005B7373" w:rsidTr="00106FFE">
        <w:trPr>
          <w:trHeight w:val="1053"/>
        </w:trPr>
        <w:tc>
          <w:tcPr>
            <w:tcW w:w="4820" w:type="dxa"/>
          </w:tcPr>
          <w:p w:rsidR="00904E95" w:rsidRPr="00904E95" w:rsidRDefault="00904E95" w:rsidP="00904E95">
            <w:pPr>
              <w:ind w:firstLine="601"/>
              <w:jc w:val="both"/>
            </w:pPr>
            <w:r w:rsidRPr="00904E95">
              <w:t xml:space="preserve">73. Управляющая компания раскрывает информацию о принятом </w:t>
            </w:r>
            <w:proofErr w:type="gramStart"/>
            <w:r w:rsidRPr="00904E95">
              <w:t>решении</w:t>
            </w:r>
            <w:proofErr w:type="gramEnd"/>
            <w:r w:rsidRPr="00904E95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904E95" w:rsidRPr="00904E95" w:rsidRDefault="00904E95" w:rsidP="00904E95">
            <w:pPr>
              <w:tabs>
                <w:tab w:val="left" w:pos="993"/>
              </w:tabs>
              <w:ind w:firstLine="601"/>
              <w:jc w:val="both"/>
            </w:pPr>
            <w:r w:rsidRPr="00904E95">
              <w:t>1) максимальное количество выдаваемых дополнительных  инвестиционных паев;</w:t>
            </w:r>
          </w:p>
          <w:p w:rsidR="00904E95" w:rsidRPr="00904E95" w:rsidRDefault="00904E95" w:rsidP="00904E95">
            <w:pPr>
              <w:tabs>
                <w:tab w:val="left" w:pos="993"/>
              </w:tabs>
              <w:spacing w:line="276" w:lineRule="auto"/>
              <w:ind w:firstLine="601"/>
              <w:jc w:val="both"/>
            </w:pPr>
            <w:r w:rsidRPr="00904E95">
              <w:t>2) имущество, которое может быть передано в оплату выдаваемых дополнительных инвестиционных паев.</w:t>
            </w:r>
          </w:p>
          <w:p w:rsidR="00904E95" w:rsidRPr="00904E95" w:rsidRDefault="00904E95" w:rsidP="00904E95">
            <w:pPr>
              <w:ind w:firstLine="601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hyperlink r:id="rId12" w:history="1">
              <w:r w:rsidRPr="00904E95">
                <w:t>www.akbars-capital.ru</w:t>
              </w:r>
            </w:hyperlink>
            <w:r w:rsidRPr="00904E95">
              <w:t xml:space="preserve"> и в «Приложении к Вестнику Федеральной службы по финансовым рынкам».</w:t>
            </w:r>
          </w:p>
        </w:tc>
        <w:tc>
          <w:tcPr>
            <w:tcW w:w="5040" w:type="dxa"/>
          </w:tcPr>
          <w:p w:rsidR="00B7177F" w:rsidRPr="00904E95" w:rsidRDefault="00B7177F" w:rsidP="00B7177F">
            <w:pPr>
              <w:ind w:firstLine="601"/>
              <w:jc w:val="both"/>
            </w:pPr>
            <w:r w:rsidRPr="00904E95">
              <w:t xml:space="preserve">73. Управляющая компания раскрывает информацию о принятом </w:t>
            </w:r>
            <w:proofErr w:type="gramStart"/>
            <w:r w:rsidRPr="00904E95">
              <w:t>решении</w:t>
            </w:r>
            <w:proofErr w:type="gramEnd"/>
            <w:r w:rsidRPr="00904E95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B7177F" w:rsidRPr="00904E95" w:rsidRDefault="00B7177F" w:rsidP="00B7177F">
            <w:pPr>
              <w:tabs>
                <w:tab w:val="left" w:pos="993"/>
              </w:tabs>
              <w:ind w:firstLine="601"/>
              <w:jc w:val="both"/>
            </w:pPr>
            <w:r w:rsidRPr="00904E95">
              <w:t>1) максимальное количество выдаваемых дополнительных  инвестиционных паев;</w:t>
            </w:r>
          </w:p>
          <w:p w:rsidR="00B7177F" w:rsidRPr="00904E95" w:rsidRDefault="00B7177F" w:rsidP="00B7177F">
            <w:pPr>
              <w:tabs>
                <w:tab w:val="left" w:pos="993"/>
              </w:tabs>
              <w:spacing w:line="276" w:lineRule="auto"/>
              <w:ind w:firstLine="601"/>
              <w:jc w:val="both"/>
            </w:pPr>
            <w:r w:rsidRPr="00904E95">
              <w:t>2) имущество, которое может быть передано в оплату выдаваемых дополнительных инвестиционных паев.</w:t>
            </w:r>
          </w:p>
          <w:p w:rsidR="00904E95" w:rsidRDefault="00B7177F" w:rsidP="00B7177F">
            <w:pPr>
              <w:ind w:firstLine="459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proofErr w:type="spellStart"/>
            <w:r w:rsidRPr="0085791D">
              <w:t>www.uukrt.ru</w:t>
            </w:r>
            <w:proofErr w:type="spellEnd"/>
            <w:r>
              <w:t xml:space="preserve"> </w:t>
            </w:r>
            <w:r w:rsidRPr="00904E95">
              <w:t xml:space="preserve"> и в «Приложении к Вестнику Федеральной службы по финансовым рынкам».</w:t>
            </w:r>
          </w:p>
        </w:tc>
      </w:tr>
      <w:tr w:rsidR="00904E95" w:rsidRPr="005B7373" w:rsidTr="00904E95">
        <w:trPr>
          <w:trHeight w:val="842"/>
        </w:trPr>
        <w:tc>
          <w:tcPr>
            <w:tcW w:w="4820" w:type="dxa"/>
          </w:tcPr>
          <w:p w:rsidR="00904E95" w:rsidRPr="00904E95" w:rsidRDefault="00904E95" w:rsidP="00904E95">
            <w:pPr>
              <w:ind w:firstLine="601"/>
              <w:jc w:val="both"/>
            </w:pPr>
            <w:r w:rsidRPr="00904E95">
              <w:t xml:space="preserve">75. </w:t>
            </w:r>
            <w:proofErr w:type="gramStart"/>
            <w:r w:rsidRPr="00904E95">
              <w:t xml:space="preserve"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приобретении </w:t>
            </w:r>
            <w:r w:rsidRPr="00904E95">
              <w:lastRenderedPageBreak/>
              <w:t xml:space="preserve">дополнительных инвестиционных паев. </w:t>
            </w:r>
            <w:proofErr w:type="gramEnd"/>
          </w:p>
          <w:p w:rsidR="00904E95" w:rsidRPr="00904E95" w:rsidRDefault="00904E95" w:rsidP="00904E95">
            <w:pPr>
              <w:ind w:firstLine="601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hyperlink r:id="rId13" w:history="1">
              <w:r w:rsidRPr="00904E95">
                <w:t>www.akbars-capital.ru</w:t>
              </w:r>
            </w:hyperlink>
            <w:r w:rsidRPr="00904E95">
              <w:t>.</w:t>
            </w:r>
          </w:p>
        </w:tc>
        <w:tc>
          <w:tcPr>
            <w:tcW w:w="5040" w:type="dxa"/>
          </w:tcPr>
          <w:p w:rsidR="00B7177F" w:rsidRPr="00904E95" w:rsidRDefault="00B7177F" w:rsidP="00B7177F">
            <w:pPr>
              <w:ind w:firstLine="601"/>
              <w:jc w:val="both"/>
            </w:pPr>
            <w:r w:rsidRPr="00904E95">
              <w:lastRenderedPageBreak/>
              <w:t xml:space="preserve">75. </w:t>
            </w:r>
            <w:proofErr w:type="gramStart"/>
            <w:r w:rsidRPr="00904E95">
              <w:t xml:space="preserve"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приобретении дополнительных </w:t>
            </w:r>
            <w:r w:rsidRPr="00904E95">
              <w:lastRenderedPageBreak/>
              <w:t xml:space="preserve">инвестиционных паев. </w:t>
            </w:r>
            <w:proofErr w:type="gramEnd"/>
          </w:p>
          <w:p w:rsidR="00904E95" w:rsidRDefault="00B7177F" w:rsidP="00B7177F">
            <w:pPr>
              <w:ind w:firstLine="459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proofErr w:type="spellStart"/>
            <w:r w:rsidRPr="0085791D">
              <w:t>www.uukrt.ru</w:t>
            </w:r>
            <w:proofErr w:type="spellEnd"/>
            <w:r>
              <w:t>.</w:t>
            </w:r>
          </w:p>
        </w:tc>
      </w:tr>
      <w:tr w:rsidR="00B7177F" w:rsidRPr="005B7373" w:rsidTr="00106FFE">
        <w:trPr>
          <w:trHeight w:val="1053"/>
        </w:trPr>
        <w:tc>
          <w:tcPr>
            <w:tcW w:w="4820" w:type="dxa"/>
          </w:tcPr>
          <w:p w:rsidR="00B7177F" w:rsidRPr="00904E95" w:rsidRDefault="00B7177F" w:rsidP="00904E95">
            <w:pPr>
              <w:ind w:firstLine="601"/>
              <w:jc w:val="both"/>
            </w:pPr>
            <w:r w:rsidRPr="00904E95">
              <w:lastRenderedPageBreak/>
              <w:t xml:space="preserve">76.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</w:t>
            </w:r>
          </w:p>
          <w:p w:rsidR="00B7177F" w:rsidRPr="00904E95" w:rsidRDefault="00B7177F" w:rsidP="00904E95">
            <w:pPr>
              <w:ind w:firstLine="601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hyperlink r:id="rId14" w:history="1">
              <w:r w:rsidRPr="00904E95">
                <w:t>www.akbars-capital.ru</w:t>
              </w:r>
            </w:hyperlink>
            <w:r w:rsidRPr="00904E95">
              <w:t>.</w:t>
            </w:r>
          </w:p>
        </w:tc>
        <w:tc>
          <w:tcPr>
            <w:tcW w:w="5040" w:type="dxa"/>
          </w:tcPr>
          <w:p w:rsidR="00B7177F" w:rsidRPr="00904E95" w:rsidRDefault="00B7177F" w:rsidP="00467ADE">
            <w:pPr>
              <w:ind w:firstLine="601"/>
              <w:jc w:val="both"/>
            </w:pPr>
            <w:r w:rsidRPr="00904E95">
              <w:t xml:space="preserve">76.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</w:t>
            </w:r>
          </w:p>
          <w:p w:rsidR="00B7177F" w:rsidRPr="00904E95" w:rsidRDefault="00B7177F" w:rsidP="00467ADE">
            <w:pPr>
              <w:ind w:firstLine="601"/>
              <w:jc w:val="both"/>
            </w:pPr>
            <w:r w:rsidRPr="00904E95">
              <w:t xml:space="preserve">Указанную информацию управляющая компания раскрывает на сайте </w:t>
            </w:r>
            <w:proofErr w:type="spellStart"/>
            <w:r w:rsidRPr="0085791D">
              <w:t>www.uukrt.ru</w:t>
            </w:r>
            <w:proofErr w:type="spellEnd"/>
            <w:r w:rsidRPr="00904E95">
              <w:t>.</w:t>
            </w:r>
          </w:p>
        </w:tc>
      </w:tr>
      <w:tr w:rsidR="006D30DA" w:rsidRPr="005B7373" w:rsidTr="00106FFE">
        <w:trPr>
          <w:trHeight w:val="1053"/>
        </w:trPr>
        <w:tc>
          <w:tcPr>
            <w:tcW w:w="4820" w:type="dxa"/>
          </w:tcPr>
          <w:p w:rsidR="006D30DA" w:rsidRPr="00E0175A" w:rsidRDefault="006D30DA" w:rsidP="00E0175A">
            <w:pPr>
              <w:ind w:firstLine="601"/>
              <w:jc w:val="both"/>
            </w:pPr>
            <w:r w:rsidRPr="00E0175A">
              <w:t>100. Требования о погашении инвестиционных паев подаются в форме заявок на погашение инвестиционных паев по форме, предусмотренной приложением к настоящим Правилам.</w:t>
            </w:r>
          </w:p>
          <w:p w:rsidR="006D30DA" w:rsidRPr="00E0175A" w:rsidRDefault="006D30DA" w:rsidP="00E0175A">
            <w:pPr>
              <w:ind w:firstLine="601"/>
              <w:jc w:val="both"/>
            </w:pPr>
            <w:r w:rsidRPr="00E0175A">
              <w:t>Заявки на погашение инвестиционных паев носят безотзывный характер.</w:t>
            </w:r>
          </w:p>
          <w:p w:rsidR="006D30DA" w:rsidRPr="00E0175A" w:rsidRDefault="006D30DA" w:rsidP="00E0175A">
            <w:pPr>
              <w:ind w:firstLine="601"/>
              <w:jc w:val="both"/>
            </w:pPr>
            <w:r w:rsidRPr="00E0175A">
              <w:t>Заявка на погашение инвестиционных паев, оформленная в соответствии с приложением № 3 к настоящим Правилам, подается в пунктах приема заявок владельцем инвестиционных паев или его уполномоченным представителем.</w:t>
            </w:r>
          </w:p>
          <w:p w:rsidR="006D30DA" w:rsidRPr="00E0175A" w:rsidRDefault="006D30DA" w:rsidP="00E0175A">
            <w:pPr>
              <w:ind w:firstLine="601"/>
              <w:jc w:val="both"/>
            </w:pPr>
            <w:r w:rsidRPr="00E0175A">
              <w:t>Заявка на погашение инвестиционных паев, оформленная в соответствии с приложением № 4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6D30DA" w:rsidRPr="00E0175A" w:rsidRDefault="006D30DA" w:rsidP="00E0175A">
            <w:pPr>
              <w:ind w:firstLine="601"/>
              <w:jc w:val="both"/>
            </w:pPr>
            <w:r w:rsidRPr="00E0175A"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  <w:p w:rsidR="006D30DA" w:rsidRPr="00E0175A" w:rsidRDefault="006D30DA" w:rsidP="00E0175A">
            <w:pPr>
              <w:ind w:firstLine="601"/>
              <w:jc w:val="both"/>
              <w:rPr>
                <w:sz w:val="26"/>
                <w:szCs w:val="26"/>
              </w:rPr>
            </w:pPr>
            <w:r w:rsidRPr="00E0175A"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</w:t>
            </w:r>
          </w:p>
        </w:tc>
        <w:tc>
          <w:tcPr>
            <w:tcW w:w="5040" w:type="dxa"/>
          </w:tcPr>
          <w:p w:rsidR="00E0175A" w:rsidRPr="00E0175A" w:rsidRDefault="00E0175A" w:rsidP="00E0175A">
            <w:pPr>
              <w:ind w:firstLine="601"/>
              <w:jc w:val="both"/>
            </w:pPr>
            <w:r w:rsidRPr="00E0175A">
              <w:t>100. Требования о погашении инвестиционных паев подаются в форме заявок на погашение инвестиционных паев по форме, предусмотренной приложением к настоящим Правилам.</w:t>
            </w:r>
          </w:p>
          <w:p w:rsidR="00E0175A" w:rsidRPr="00E0175A" w:rsidRDefault="00E0175A" w:rsidP="00E0175A">
            <w:pPr>
              <w:ind w:firstLine="601"/>
              <w:jc w:val="both"/>
            </w:pPr>
            <w:r w:rsidRPr="00E0175A">
              <w:t>Заявки на погашение инвестиционных паев носят безотзывный характер.</w:t>
            </w:r>
          </w:p>
          <w:p w:rsidR="00E0175A" w:rsidRPr="00E0175A" w:rsidRDefault="00E0175A" w:rsidP="00E0175A">
            <w:pPr>
              <w:ind w:firstLine="601"/>
              <w:jc w:val="both"/>
            </w:pPr>
            <w:r w:rsidRPr="00E0175A">
              <w:t>Заявка на погашение инвестиционных паев, оформленная в соответствии с приложением № 3 к настоящим Правилам, подается в пунктах приема заявок владельцем инвестиционных паев или его уполномоченным представителем.</w:t>
            </w:r>
          </w:p>
          <w:p w:rsidR="00E0175A" w:rsidRPr="00E0175A" w:rsidRDefault="00E0175A" w:rsidP="00E0175A">
            <w:pPr>
              <w:ind w:firstLine="601"/>
              <w:jc w:val="both"/>
            </w:pPr>
            <w:r w:rsidRPr="00E0175A">
              <w:t>Заявка на погашение инвестиционных паев, оформленная в соответствии с приложением № 4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E0175A" w:rsidRPr="005943DB" w:rsidRDefault="00E0175A" w:rsidP="00E0175A">
            <w:pPr>
              <w:ind w:firstLine="601"/>
              <w:jc w:val="both"/>
            </w:pPr>
            <w:r w:rsidRPr="005943DB"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компании: 420111, Республика Татарстан, </w:t>
            </w:r>
            <w:proofErr w:type="gramStart"/>
            <w:r w:rsidRPr="005943DB">
              <w:t>г</w:t>
            </w:r>
            <w:proofErr w:type="gramEnd"/>
            <w:r w:rsidRPr="005943DB">
              <w:t xml:space="preserve">. Казань, ул. Астрономическая, д.8/21, </w:t>
            </w:r>
            <w:r w:rsidR="00A77288">
              <w:t>Закрытое акционерное общество</w:t>
            </w:r>
            <w:r w:rsidRPr="005943DB">
              <w:t xml:space="preserve"> «Успешная управляющая компания Республики Татарстан». При этом подлинность подписи владельца инвестиционных паев на заявке на погашение инвестиционных паев должна быть удостоверена нотариально.</w:t>
            </w:r>
          </w:p>
          <w:p w:rsidR="00E0175A" w:rsidRPr="005943DB" w:rsidRDefault="00E0175A" w:rsidP="00E0175A">
            <w:pPr>
              <w:ind w:firstLine="601"/>
              <w:jc w:val="both"/>
            </w:pPr>
            <w:r w:rsidRPr="005943DB">
              <w:t xml:space="preserve">Датой и временем приема заявки на </w:t>
            </w:r>
            <w:r w:rsidRPr="005943DB">
              <w:lastRenderedPageBreak/>
              <w:t>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E0175A" w:rsidRPr="005943DB" w:rsidRDefault="00E0175A" w:rsidP="00E0175A">
            <w:pPr>
              <w:ind w:firstLine="601"/>
              <w:jc w:val="both"/>
            </w:pPr>
            <w:proofErr w:type="gramStart"/>
            <w:r w:rsidRPr="005943DB">
              <w:t>В случае отказа в приеме заявки на погашение инвестиционных паев, полученной посредством почтовой связи, на основаниях,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 в срок не позднее 15 (пятнадцати) дней с даты получения почтового отправления Управляющей компанией.</w:t>
            </w:r>
            <w:proofErr w:type="gramEnd"/>
          </w:p>
          <w:p w:rsidR="00E0175A" w:rsidRDefault="00E0175A" w:rsidP="00E0175A">
            <w:pPr>
              <w:ind w:firstLine="601"/>
              <w:jc w:val="both"/>
            </w:pPr>
            <w:r w:rsidRPr="005943DB"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6D30DA" w:rsidRPr="00904E95" w:rsidRDefault="00E0175A" w:rsidP="00E0175A">
            <w:pPr>
              <w:ind w:firstLine="601"/>
              <w:jc w:val="both"/>
            </w:pPr>
            <w:r w:rsidRPr="00E0175A"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</w:t>
            </w:r>
          </w:p>
        </w:tc>
      </w:tr>
      <w:tr w:rsidR="00B873E6" w:rsidRPr="005B7373" w:rsidTr="00106FFE">
        <w:trPr>
          <w:trHeight w:val="1053"/>
        </w:trPr>
        <w:tc>
          <w:tcPr>
            <w:tcW w:w="4820" w:type="dxa"/>
          </w:tcPr>
          <w:p w:rsidR="00B873E6" w:rsidRPr="00E0175A" w:rsidRDefault="00B873E6" w:rsidP="00B873E6">
            <w:pPr>
              <w:ind w:firstLine="601"/>
              <w:jc w:val="both"/>
            </w:pPr>
            <w:r w:rsidRPr="00B873E6">
              <w:lastRenderedPageBreak/>
              <w:t>116. Вознаграждение Управляющей компании выплачивается ежемесячно в течение 30 (Тридцать) рабочих дней с момента окончания месяца.</w:t>
            </w:r>
          </w:p>
        </w:tc>
        <w:tc>
          <w:tcPr>
            <w:tcW w:w="5040" w:type="dxa"/>
          </w:tcPr>
          <w:p w:rsidR="00B873E6" w:rsidRPr="00E0175A" w:rsidRDefault="00B873E6" w:rsidP="00B873E6">
            <w:pPr>
              <w:ind w:firstLine="601"/>
              <w:jc w:val="both"/>
            </w:pPr>
            <w:r w:rsidRPr="00B873E6">
              <w:t xml:space="preserve">116. Вознаграждение Управляющей компании выплачивается ежемесячно в течение </w:t>
            </w:r>
            <w:r>
              <w:t>365</w:t>
            </w:r>
            <w:r w:rsidRPr="00B873E6">
              <w:t xml:space="preserve"> (</w:t>
            </w:r>
            <w:r>
              <w:t>Триста шестьдесят пять</w:t>
            </w:r>
            <w:r w:rsidRPr="00B873E6">
              <w:t>) дней с момента окончания месяца</w:t>
            </w:r>
            <w:r>
              <w:t xml:space="preserve">, </w:t>
            </w:r>
            <w:r w:rsidRPr="00E62F22">
              <w:t>за который начисляется вознаграждение.</w:t>
            </w:r>
          </w:p>
        </w:tc>
      </w:tr>
      <w:tr w:rsidR="00B7177F" w:rsidRPr="005B7373" w:rsidTr="00106FFE">
        <w:trPr>
          <w:trHeight w:val="1053"/>
        </w:trPr>
        <w:tc>
          <w:tcPr>
            <w:tcW w:w="4820" w:type="dxa"/>
          </w:tcPr>
          <w:p w:rsidR="00B7177F" w:rsidRPr="00904E95" w:rsidRDefault="00B7177F" w:rsidP="00904E95">
            <w:pPr>
              <w:ind w:firstLine="601"/>
              <w:jc w:val="both"/>
            </w:pPr>
            <w:r w:rsidRPr="00904E95">
              <w:t xml:space="preserve">125. Управляющая компания обязана раскрывать информацию в сети Интернет на сайте </w:t>
            </w:r>
            <w:hyperlink r:id="rId15" w:history="1">
              <w:r w:rsidRPr="00904E95">
                <w:t>www.akbars-capital.ru</w:t>
              </w:r>
            </w:hyperlink>
            <w:r w:rsidRPr="00904E95"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5040" w:type="dxa"/>
          </w:tcPr>
          <w:p w:rsidR="00B7177F" w:rsidRPr="00904E95" w:rsidRDefault="00B7177F" w:rsidP="00467ADE">
            <w:pPr>
              <w:ind w:firstLine="601"/>
              <w:jc w:val="both"/>
            </w:pPr>
            <w:r w:rsidRPr="00904E95">
              <w:t xml:space="preserve">125. Управляющая компания обязана раскрывать информацию в сети Интернет на сайте </w:t>
            </w:r>
            <w:proofErr w:type="spellStart"/>
            <w:r w:rsidRPr="0085791D">
              <w:t>www.uukrt.ru</w:t>
            </w:r>
            <w:proofErr w:type="spellEnd"/>
            <w:r w:rsidRPr="00904E95"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</w:tc>
      </w:tr>
    </w:tbl>
    <w:p w:rsidR="00074E75" w:rsidRDefault="00074E75" w:rsidP="00074E75">
      <w:pPr>
        <w:jc w:val="center"/>
      </w:pPr>
    </w:p>
    <w:p w:rsidR="00074E75" w:rsidRDefault="00074E75" w:rsidP="00074E75"/>
    <w:p w:rsidR="004C4B07" w:rsidRDefault="004C4B07" w:rsidP="00074E75"/>
    <w:p w:rsidR="00074E75" w:rsidRDefault="00074E75" w:rsidP="00074E75"/>
    <w:p w:rsidR="00BA1A83" w:rsidRDefault="00BA1A83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</w:t>
      </w:r>
      <w:r w:rsidR="00EF1C2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74E75" w:rsidRDefault="00BA1A83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«АК БАРС КАПИТАЛ» </w:t>
      </w:r>
      <w:r w:rsidR="008D01EB">
        <w:rPr>
          <w:rFonts w:ascii="Times New Roman" w:hAnsi="Times New Roman" w:cs="Times New Roman"/>
          <w:sz w:val="24"/>
          <w:szCs w:val="24"/>
        </w:rPr>
        <w:t xml:space="preserve"> </w:t>
      </w:r>
      <w:r w:rsidR="00812051">
        <w:rPr>
          <w:rFonts w:ascii="Times New Roman" w:hAnsi="Times New Roman" w:cs="Times New Roman"/>
          <w:sz w:val="24"/>
          <w:szCs w:val="24"/>
        </w:rPr>
        <w:tab/>
      </w:r>
      <w:r w:rsidR="00F50EA6">
        <w:rPr>
          <w:rFonts w:ascii="Times New Roman" w:hAnsi="Times New Roman" w:cs="Times New Roman"/>
          <w:sz w:val="24"/>
          <w:szCs w:val="24"/>
        </w:rPr>
        <w:t>____________</w:t>
      </w:r>
      <w:r w:rsidR="00190357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F50E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1C24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="00F50EA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5584" w:rsidRDefault="008D01EB" w:rsidP="00074E75">
      <w:pPr>
        <w:jc w:val="center"/>
      </w:pPr>
      <w:r>
        <w:t xml:space="preserve"> </w:t>
      </w:r>
    </w:p>
    <w:p w:rsidR="00074E75" w:rsidRPr="00C77EAE" w:rsidRDefault="0094055D" w:rsidP="00074E75">
      <w:pPr>
        <w:jc w:val="center"/>
      </w:pPr>
      <w:r>
        <w:t xml:space="preserve">                                                               </w:t>
      </w:r>
      <w:r w:rsidR="00074E75">
        <w:t xml:space="preserve"> М.П.</w:t>
      </w:r>
    </w:p>
    <w:p w:rsidR="00074E75" w:rsidRPr="00C77EAE" w:rsidRDefault="00074E75" w:rsidP="00074E75">
      <w:pPr>
        <w:jc w:val="center"/>
      </w:pPr>
    </w:p>
    <w:p w:rsidR="00074E75" w:rsidRPr="00C77EAE" w:rsidRDefault="00074E75" w:rsidP="00074E75">
      <w:pPr>
        <w:jc w:val="center"/>
      </w:pPr>
    </w:p>
    <w:sectPr w:rsidR="00074E75" w:rsidRPr="00C77EAE" w:rsidSect="003D5518">
      <w:footerReference w:type="default" r:id="rId16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64" w:rsidRDefault="00F54264">
      <w:r>
        <w:separator/>
      </w:r>
    </w:p>
  </w:endnote>
  <w:endnote w:type="continuationSeparator" w:id="0">
    <w:p w:rsidR="00F54264" w:rsidRDefault="00F5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EF" w:rsidRPr="00AF3FD6" w:rsidRDefault="000F7AD6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="003A04EF"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9171B3">
      <w:rPr>
        <w:rStyle w:val="a8"/>
        <w:noProof/>
        <w:sz w:val="20"/>
        <w:szCs w:val="20"/>
      </w:rPr>
      <w:t>5</w:t>
    </w:r>
    <w:r w:rsidRPr="00AF3FD6">
      <w:rPr>
        <w:rStyle w:val="a8"/>
        <w:sz w:val="20"/>
        <w:szCs w:val="20"/>
      </w:rPr>
      <w:fldChar w:fldCharType="end"/>
    </w:r>
  </w:p>
  <w:p w:rsidR="003A04EF" w:rsidRDefault="003A04EF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64" w:rsidRDefault="00F54264">
      <w:r>
        <w:separator/>
      </w:r>
    </w:p>
  </w:footnote>
  <w:footnote w:type="continuationSeparator" w:id="0">
    <w:p w:rsidR="00F54264" w:rsidRDefault="00F5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B252CAA"/>
    <w:multiLevelType w:val="hybridMultilevel"/>
    <w:tmpl w:val="67547D88"/>
    <w:lvl w:ilvl="0" w:tplc="D47AF756">
      <w:start w:val="4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1051E"/>
    <w:rsid w:val="00017965"/>
    <w:rsid w:val="0001798A"/>
    <w:rsid w:val="000241B6"/>
    <w:rsid w:val="0003658D"/>
    <w:rsid w:val="00037121"/>
    <w:rsid w:val="00045AD8"/>
    <w:rsid w:val="00051603"/>
    <w:rsid w:val="00074E75"/>
    <w:rsid w:val="000764F6"/>
    <w:rsid w:val="0007727C"/>
    <w:rsid w:val="000A4CDC"/>
    <w:rsid w:val="000A56AF"/>
    <w:rsid w:val="000D7E70"/>
    <w:rsid w:val="000F7AD6"/>
    <w:rsid w:val="0010655C"/>
    <w:rsid w:val="001065E5"/>
    <w:rsid w:val="00106FFE"/>
    <w:rsid w:val="00107986"/>
    <w:rsid w:val="00121AEB"/>
    <w:rsid w:val="0012458E"/>
    <w:rsid w:val="00130D26"/>
    <w:rsid w:val="0013491C"/>
    <w:rsid w:val="00152CDD"/>
    <w:rsid w:val="00154454"/>
    <w:rsid w:val="00161960"/>
    <w:rsid w:val="00177420"/>
    <w:rsid w:val="0018054F"/>
    <w:rsid w:val="00181175"/>
    <w:rsid w:val="00183A41"/>
    <w:rsid w:val="00183FCD"/>
    <w:rsid w:val="00184407"/>
    <w:rsid w:val="00186D02"/>
    <w:rsid w:val="00190357"/>
    <w:rsid w:val="00195F45"/>
    <w:rsid w:val="001B55BC"/>
    <w:rsid w:val="001D4D88"/>
    <w:rsid w:val="001F4A23"/>
    <w:rsid w:val="002167E1"/>
    <w:rsid w:val="0022099A"/>
    <w:rsid w:val="00242EB9"/>
    <w:rsid w:val="0028615F"/>
    <w:rsid w:val="00292DCC"/>
    <w:rsid w:val="00305E44"/>
    <w:rsid w:val="00310CE1"/>
    <w:rsid w:val="003313C2"/>
    <w:rsid w:val="003526A3"/>
    <w:rsid w:val="00352F98"/>
    <w:rsid w:val="003645DE"/>
    <w:rsid w:val="00390A2C"/>
    <w:rsid w:val="003A04EF"/>
    <w:rsid w:val="003D4760"/>
    <w:rsid w:val="003D5518"/>
    <w:rsid w:val="003F1C7D"/>
    <w:rsid w:val="00405766"/>
    <w:rsid w:val="004241BA"/>
    <w:rsid w:val="00435584"/>
    <w:rsid w:val="00452A27"/>
    <w:rsid w:val="0045720E"/>
    <w:rsid w:val="00467ADE"/>
    <w:rsid w:val="00473FBC"/>
    <w:rsid w:val="004820BD"/>
    <w:rsid w:val="00484725"/>
    <w:rsid w:val="0049063A"/>
    <w:rsid w:val="004A000C"/>
    <w:rsid w:val="004A69D7"/>
    <w:rsid w:val="004B4349"/>
    <w:rsid w:val="004C4B07"/>
    <w:rsid w:val="004C6A5B"/>
    <w:rsid w:val="004F2EE1"/>
    <w:rsid w:val="00506C2A"/>
    <w:rsid w:val="00510894"/>
    <w:rsid w:val="005129A1"/>
    <w:rsid w:val="00530061"/>
    <w:rsid w:val="00533CF9"/>
    <w:rsid w:val="00536A35"/>
    <w:rsid w:val="005414E2"/>
    <w:rsid w:val="00555902"/>
    <w:rsid w:val="005623E5"/>
    <w:rsid w:val="005672A7"/>
    <w:rsid w:val="00573E82"/>
    <w:rsid w:val="0059100A"/>
    <w:rsid w:val="00593002"/>
    <w:rsid w:val="005943DB"/>
    <w:rsid w:val="00596278"/>
    <w:rsid w:val="005970E6"/>
    <w:rsid w:val="005A1C82"/>
    <w:rsid w:val="005A5B87"/>
    <w:rsid w:val="005B05B6"/>
    <w:rsid w:val="005B7373"/>
    <w:rsid w:val="005C483E"/>
    <w:rsid w:val="005C6F36"/>
    <w:rsid w:val="005D11D2"/>
    <w:rsid w:val="005E5BCC"/>
    <w:rsid w:val="005F6045"/>
    <w:rsid w:val="006072AF"/>
    <w:rsid w:val="00615C6F"/>
    <w:rsid w:val="00655BAB"/>
    <w:rsid w:val="006730C1"/>
    <w:rsid w:val="0069119F"/>
    <w:rsid w:val="006B5769"/>
    <w:rsid w:val="006D30DA"/>
    <w:rsid w:val="006D4CA6"/>
    <w:rsid w:val="006E6FA0"/>
    <w:rsid w:val="00703DDF"/>
    <w:rsid w:val="0071121C"/>
    <w:rsid w:val="00714392"/>
    <w:rsid w:val="00717141"/>
    <w:rsid w:val="00734C53"/>
    <w:rsid w:val="00735051"/>
    <w:rsid w:val="007358E0"/>
    <w:rsid w:val="00761DF6"/>
    <w:rsid w:val="00765F27"/>
    <w:rsid w:val="007759B6"/>
    <w:rsid w:val="00782401"/>
    <w:rsid w:val="007922E4"/>
    <w:rsid w:val="007A1A4C"/>
    <w:rsid w:val="007D0EA4"/>
    <w:rsid w:val="007D1CEB"/>
    <w:rsid w:val="007E7F4F"/>
    <w:rsid w:val="007F188D"/>
    <w:rsid w:val="00812051"/>
    <w:rsid w:val="0082101A"/>
    <w:rsid w:val="00854E2F"/>
    <w:rsid w:val="008571FD"/>
    <w:rsid w:val="0085791D"/>
    <w:rsid w:val="00886FD0"/>
    <w:rsid w:val="008B27FE"/>
    <w:rsid w:val="008B4BF8"/>
    <w:rsid w:val="008C49E1"/>
    <w:rsid w:val="008D01EB"/>
    <w:rsid w:val="008E3E57"/>
    <w:rsid w:val="008E60CC"/>
    <w:rsid w:val="00903E0F"/>
    <w:rsid w:val="00904E95"/>
    <w:rsid w:val="009171B3"/>
    <w:rsid w:val="00922008"/>
    <w:rsid w:val="00923825"/>
    <w:rsid w:val="009375D3"/>
    <w:rsid w:val="0094055D"/>
    <w:rsid w:val="009466EF"/>
    <w:rsid w:val="009523B5"/>
    <w:rsid w:val="00954513"/>
    <w:rsid w:val="00984A03"/>
    <w:rsid w:val="00990F99"/>
    <w:rsid w:val="009A664F"/>
    <w:rsid w:val="009C1B41"/>
    <w:rsid w:val="009D1823"/>
    <w:rsid w:val="009E6FA5"/>
    <w:rsid w:val="00A0011C"/>
    <w:rsid w:val="00A20299"/>
    <w:rsid w:val="00A4089F"/>
    <w:rsid w:val="00A40B33"/>
    <w:rsid w:val="00A475F3"/>
    <w:rsid w:val="00A72589"/>
    <w:rsid w:val="00A76D3E"/>
    <w:rsid w:val="00A77288"/>
    <w:rsid w:val="00AA583C"/>
    <w:rsid w:val="00AB1A40"/>
    <w:rsid w:val="00AC2A3B"/>
    <w:rsid w:val="00AC49FF"/>
    <w:rsid w:val="00AD4C35"/>
    <w:rsid w:val="00AD5742"/>
    <w:rsid w:val="00AF0614"/>
    <w:rsid w:val="00AF1498"/>
    <w:rsid w:val="00AF1ABA"/>
    <w:rsid w:val="00AF3FD6"/>
    <w:rsid w:val="00AF6B34"/>
    <w:rsid w:val="00AF77D9"/>
    <w:rsid w:val="00B53A32"/>
    <w:rsid w:val="00B5643A"/>
    <w:rsid w:val="00B7177F"/>
    <w:rsid w:val="00B75BD0"/>
    <w:rsid w:val="00B873E6"/>
    <w:rsid w:val="00BA1A83"/>
    <w:rsid w:val="00BA5729"/>
    <w:rsid w:val="00BB1779"/>
    <w:rsid w:val="00BC4A9B"/>
    <w:rsid w:val="00BC6C9A"/>
    <w:rsid w:val="00BE25DA"/>
    <w:rsid w:val="00BF7362"/>
    <w:rsid w:val="00C32ACC"/>
    <w:rsid w:val="00C6198D"/>
    <w:rsid w:val="00C77EAE"/>
    <w:rsid w:val="00C9041F"/>
    <w:rsid w:val="00C9276C"/>
    <w:rsid w:val="00CB3200"/>
    <w:rsid w:val="00CB4955"/>
    <w:rsid w:val="00CC5D4D"/>
    <w:rsid w:val="00CD0DCC"/>
    <w:rsid w:val="00CF5247"/>
    <w:rsid w:val="00D12011"/>
    <w:rsid w:val="00D2581F"/>
    <w:rsid w:val="00D372F9"/>
    <w:rsid w:val="00D4644D"/>
    <w:rsid w:val="00D468B9"/>
    <w:rsid w:val="00D77840"/>
    <w:rsid w:val="00DA0C88"/>
    <w:rsid w:val="00DD6C12"/>
    <w:rsid w:val="00DF0A88"/>
    <w:rsid w:val="00DF17FB"/>
    <w:rsid w:val="00E0175A"/>
    <w:rsid w:val="00E06500"/>
    <w:rsid w:val="00E06EC3"/>
    <w:rsid w:val="00E62F22"/>
    <w:rsid w:val="00E6762C"/>
    <w:rsid w:val="00E7014A"/>
    <w:rsid w:val="00EB090B"/>
    <w:rsid w:val="00EB51C5"/>
    <w:rsid w:val="00EC7AF5"/>
    <w:rsid w:val="00EF1C24"/>
    <w:rsid w:val="00F04415"/>
    <w:rsid w:val="00F17B38"/>
    <w:rsid w:val="00F25877"/>
    <w:rsid w:val="00F50EA6"/>
    <w:rsid w:val="00F54264"/>
    <w:rsid w:val="00F66F2E"/>
    <w:rsid w:val="00F71C9F"/>
    <w:rsid w:val="00F75776"/>
    <w:rsid w:val="00F80366"/>
    <w:rsid w:val="00F86D68"/>
    <w:rsid w:val="00F96C2F"/>
    <w:rsid w:val="00FA4913"/>
    <w:rsid w:val="00FB1622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F7AD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7AD6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7AD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bars-capita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kbars-capita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kbars-capital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kbars-capital.ru" TargetMode="External"/><Relationship Id="rId10" Type="http://schemas.openxmlformats.org/officeDocument/2006/relationships/hyperlink" Target="http://www.akbars-capita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kbars-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07.07.2015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9A0FE8-63F6-40DF-9125-24B451839CE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5637D11-5DFB-46E6-9D30-66759A8BA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E29C0-F3B4-4907-BB53-2EAF3EFC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2094</Words>
  <Characters>11938</Characters>
  <Application>Microsoft Office Word</Application>
  <DocSecurity>0</DocSecurity>
  <Lines>99</Lines>
  <Paragraphs>28</Paragraphs>
  <ScaleCrop>false</ScaleCrop>
  <Company>tfb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tfb</dc:creator>
  <cp:lastModifiedBy>kulkova</cp:lastModifiedBy>
  <cp:revision>2</cp:revision>
  <cp:lastPrinted>2015-04-15T06:25:00Z</cp:lastPrinted>
  <dcterms:created xsi:type="dcterms:W3CDTF">2015-07-09T14:42:00Z</dcterms:created>
  <dcterms:modified xsi:type="dcterms:W3CDTF">2015-07-09T14:42:00Z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