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85" w:rsidRPr="00AC7C0D" w:rsidRDefault="00B63385" w:rsidP="00B63385">
      <w:pPr>
        <w:jc w:val="right"/>
        <w:rPr>
          <w:b/>
        </w:rPr>
      </w:pPr>
      <w:r w:rsidRPr="00AC7C0D">
        <w:rPr>
          <w:b/>
        </w:rPr>
        <w:t>УТВЕРЖДЕН</w:t>
      </w:r>
      <w:r>
        <w:rPr>
          <w:b/>
        </w:rPr>
        <w:t>О</w:t>
      </w:r>
      <w:r w:rsidRPr="00AC7C0D">
        <w:rPr>
          <w:b/>
        </w:rPr>
        <w:t xml:space="preserve"> </w:t>
      </w:r>
    </w:p>
    <w:p w:rsidR="00B63385" w:rsidRPr="00AC7C0D" w:rsidRDefault="00B63385" w:rsidP="00B63385">
      <w:pPr>
        <w:jc w:val="right"/>
        <w:rPr>
          <w:b/>
        </w:rPr>
      </w:pPr>
      <w:r w:rsidRPr="00AC7C0D">
        <w:rPr>
          <w:b/>
        </w:rPr>
        <w:t>Приказом Генерального директора</w:t>
      </w:r>
    </w:p>
    <w:p w:rsidR="00B63385" w:rsidRPr="00AC7C0D" w:rsidRDefault="00B63385" w:rsidP="00B63385">
      <w:pPr>
        <w:jc w:val="right"/>
        <w:rPr>
          <w:b/>
        </w:rPr>
      </w:pPr>
      <w:r w:rsidRPr="00AC7C0D">
        <w:rPr>
          <w:b/>
        </w:rPr>
        <w:t xml:space="preserve">ООО </w:t>
      </w:r>
      <w:r>
        <w:rPr>
          <w:b/>
        </w:rPr>
        <w:t>УК «АК БАРС КАПИТАЛ»</w:t>
      </w:r>
    </w:p>
    <w:p w:rsidR="00B63385" w:rsidRDefault="00B63385" w:rsidP="00B63385">
      <w:pPr>
        <w:jc w:val="right"/>
        <w:rPr>
          <w:b/>
        </w:rPr>
      </w:pPr>
      <w:r w:rsidRPr="005B0C7F">
        <w:rPr>
          <w:b/>
        </w:rPr>
        <w:t>№</w:t>
      </w:r>
      <w:r w:rsidR="000D56DE">
        <w:rPr>
          <w:b/>
        </w:rPr>
        <w:t xml:space="preserve"> </w:t>
      </w:r>
      <w:r w:rsidR="000472F7">
        <w:rPr>
          <w:b/>
        </w:rPr>
        <w:t>О09/10/01</w:t>
      </w:r>
      <w:r w:rsidRPr="005B0C7F">
        <w:rPr>
          <w:b/>
        </w:rPr>
        <w:t xml:space="preserve"> от «</w:t>
      </w:r>
      <w:r w:rsidR="000472F7">
        <w:rPr>
          <w:b/>
        </w:rPr>
        <w:t>10</w:t>
      </w:r>
      <w:r w:rsidRPr="005B0C7F">
        <w:rPr>
          <w:b/>
        </w:rPr>
        <w:t xml:space="preserve">» </w:t>
      </w:r>
      <w:r w:rsidR="000472F7">
        <w:rPr>
          <w:b/>
        </w:rPr>
        <w:t>сентября</w:t>
      </w:r>
      <w:r w:rsidRPr="005B0C7F">
        <w:rPr>
          <w:b/>
        </w:rPr>
        <w:t xml:space="preserve"> 2</w:t>
      </w:r>
      <w:r w:rsidR="007E6855">
        <w:rPr>
          <w:b/>
        </w:rPr>
        <w:t>020</w:t>
      </w:r>
      <w:r w:rsidRPr="005B0C7F">
        <w:rPr>
          <w:b/>
        </w:rPr>
        <w:t xml:space="preserve"> г.</w:t>
      </w:r>
    </w:p>
    <w:p w:rsidR="0001476F" w:rsidRDefault="0001476F" w:rsidP="007542F6">
      <w:pPr>
        <w:pStyle w:val="ConsTitle"/>
        <w:widowControl/>
        <w:ind w:left="340" w:right="340" w:firstLine="720"/>
        <w:jc w:val="center"/>
        <w:rPr>
          <w:rFonts w:ascii="Times New Roman" w:hAnsi="Times New Roman" w:cs="Times New Roman"/>
          <w:color w:val="000000"/>
          <w:sz w:val="24"/>
          <w:szCs w:val="24"/>
        </w:rPr>
      </w:pPr>
    </w:p>
    <w:p w:rsidR="00566B0A" w:rsidRDefault="00566B0A" w:rsidP="007542F6">
      <w:pPr>
        <w:pStyle w:val="ConsTitle"/>
        <w:widowControl/>
        <w:ind w:left="340" w:right="340" w:firstLine="720"/>
        <w:jc w:val="center"/>
        <w:rPr>
          <w:rFonts w:ascii="Times New Roman" w:hAnsi="Times New Roman" w:cs="Times New Roman"/>
          <w:color w:val="000000"/>
          <w:sz w:val="24"/>
          <w:szCs w:val="24"/>
        </w:rPr>
      </w:pPr>
    </w:p>
    <w:p w:rsidR="00566B0A" w:rsidRPr="00063E1F" w:rsidRDefault="00566B0A" w:rsidP="007542F6">
      <w:pPr>
        <w:pStyle w:val="ConsTitle"/>
        <w:widowControl/>
        <w:ind w:left="340" w:right="340" w:firstLine="720"/>
        <w:jc w:val="center"/>
        <w:rPr>
          <w:rFonts w:ascii="Times New Roman" w:hAnsi="Times New Roman" w:cs="Times New Roman"/>
          <w:color w:val="000000"/>
          <w:sz w:val="28"/>
          <w:szCs w:val="24"/>
        </w:rPr>
      </w:pPr>
    </w:p>
    <w:p w:rsidR="00B63385" w:rsidRPr="00AC7C0D" w:rsidRDefault="00B63385" w:rsidP="00B63385">
      <w:pPr>
        <w:jc w:val="center"/>
        <w:rPr>
          <w:b/>
        </w:rPr>
      </w:pPr>
      <w:r>
        <w:rPr>
          <w:b/>
        </w:rPr>
        <w:t>ИЗМЕНЕНИЯ И ДОПОЛНЕНИЯ № 1</w:t>
      </w:r>
      <w:r w:rsidR="007E6855">
        <w:rPr>
          <w:b/>
        </w:rPr>
        <w:t>1</w:t>
      </w:r>
    </w:p>
    <w:p w:rsidR="00B63385" w:rsidRPr="00AC7C0D" w:rsidRDefault="00B63385" w:rsidP="00B63385">
      <w:pPr>
        <w:jc w:val="center"/>
        <w:rPr>
          <w:b/>
        </w:rPr>
      </w:pPr>
      <w:r>
        <w:rPr>
          <w:b/>
        </w:rPr>
        <w:t>в</w:t>
      </w:r>
      <w:r w:rsidRPr="00AC7C0D">
        <w:rPr>
          <w:b/>
        </w:rPr>
        <w:t xml:space="preserve"> </w:t>
      </w:r>
      <w:r>
        <w:rPr>
          <w:b/>
        </w:rPr>
        <w:t>Правила</w:t>
      </w:r>
      <w:r w:rsidRPr="00AC7C0D">
        <w:rPr>
          <w:b/>
        </w:rPr>
        <w:t xml:space="preserve"> </w:t>
      </w:r>
      <w:r>
        <w:rPr>
          <w:b/>
        </w:rPr>
        <w:t>доверительного</w:t>
      </w:r>
      <w:r w:rsidRPr="00AC7C0D">
        <w:rPr>
          <w:b/>
        </w:rPr>
        <w:t xml:space="preserve"> </w:t>
      </w:r>
      <w:r>
        <w:rPr>
          <w:b/>
        </w:rPr>
        <w:t xml:space="preserve">управления </w:t>
      </w:r>
      <w:r w:rsidRPr="00AC7C0D">
        <w:rPr>
          <w:b/>
        </w:rPr>
        <w:t xml:space="preserve">Открытым паевым инвестиционным фондом </w:t>
      </w:r>
    </w:p>
    <w:p w:rsidR="00B63385" w:rsidRPr="00AC7C0D" w:rsidRDefault="00B63385" w:rsidP="00B63385">
      <w:pPr>
        <w:jc w:val="center"/>
        <w:rPr>
          <w:b/>
        </w:rPr>
      </w:pPr>
      <w:r w:rsidRPr="00AC7C0D">
        <w:rPr>
          <w:b/>
        </w:rPr>
        <w:t xml:space="preserve">рыночных финансовых инструментов </w:t>
      </w:r>
      <w:r>
        <w:rPr>
          <w:b/>
        </w:rPr>
        <w:t>«</w:t>
      </w:r>
      <w:r w:rsidRPr="00545F6C">
        <w:rPr>
          <w:b/>
        </w:rPr>
        <w:t>АК БАРС – Консервативный</w:t>
      </w:r>
      <w:r>
        <w:rPr>
          <w:b/>
        </w:rPr>
        <w:t>»</w:t>
      </w:r>
    </w:p>
    <w:p w:rsidR="00B63385" w:rsidRDefault="00B63385" w:rsidP="00B63385">
      <w:pPr>
        <w:jc w:val="center"/>
        <w:rPr>
          <w:b/>
        </w:rPr>
      </w:pPr>
      <w:r w:rsidRPr="00D32255">
        <w:rPr>
          <w:b/>
        </w:rPr>
        <w:t xml:space="preserve">(Регистрационный номер № </w:t>
      </w:r>
      <w:r w:rsidRPr="00545F6C">
        <w:rPr>
          <w:b/>
        </w:rPr>
        <w:t>0311-74549820</w:t>
      </w:r>
      <w:r>
        <w:rPr>
          <w:b/>
          <w:bCs/>
          <w:sz w:val="28"/>
          <w:szCs w:val="28"/>
        </w:rPr>
        <w:t xml:space="preserve"> </w:t>
      </w:r>
      <w:r w:rsidRPr="00D32255">
        <w:rPr>
          <w:b/>
        </w:rPr>
        <w:t xml:space="preserve">от </w:t>
      </w:r>
      <w:r>
        <w:rPr>
          <w:b/>
        </w:rPr>
        <w:t>19</w:t>
      </w:r>
      <w:r w:rsidRPr="00D32255">
        <w:rPr>
          <w:b/>
        </w:rPr>
        <w:t xml:space="preserve"> </w:t>
      </w:r>
      <w:r>
        <w:rPr>
          <w:b/>
        </w:rPr>
        <w:t>января</w:t>
      </w:r>
      <w:r w:rsidRPr="00D32255">
        <w:rPr>
          <w:b/>
        </w:rPr>
        <w:t xml:space="preserve"> 200</w:t>
      </w:r>
      <w:r>
        <w:rPr>
          <w:b/>
        </w:rPr>
        <w:t>5</w:t>
      </w:r>
      <w:r w:rsidRPr="00D32255">
        <w:rPr>
          <w:b/>
        </w:rPr>
        <w:t xml:space="preserve"> г.)</w:t>
      </w:r>
    </w:p>
    <w:p w:rsidR="0001476F" w:rsidRDefault="0001476F" w:rsidP="00063E1F">
      <w:pPr>
        <w:ind w:firstLine="360"/>
        <w:jc w:val="center"/>
        <w:rPr>
          <w:b/>
          <w:bCs/>
          <w:color w:val="000000"/>
          <w:sz w:val="28"/>
        </w:rPr>
      </w:pPr>
    </w:p>
    <w:p w:rsidR="008D6329" w:rsidRDefault="008D6329" w:rsidP="00063E1F">
      <w:pPr>
        <w:ind w:firstLine="360"/>
        <w:jc w:val="center"/>
        <w:rPr>
          <w:color w:val="000000"/>
        </w:rPr>
      </w:pPr>
    </w:p>
    <w:p w:rsidR="0001476F" w:rsidRDefault="0001476F" w:rsidP="00063E1F">
      <w:pPr>
        <w:ind w:firstLine="360"/>
        <w:jc w:val="center"/>
        <w:rPr>
          <w:color w:val="000000"/>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962"/>
        <w:gridCol w:w="4961"/>
      </w:tblGrid>
      <w:tr w:rsidR="008D6329" w:rsidRPr="00AA7EDA" w:rsidTr="00BD77EF">
        <w:trPr>
          <w:trHeight w:val="273"/>
        </w:trPr>
        <w:tc>
          <w:tcPr>
            <w:tcW w:w="709" w:type="dxa"/>
          </w:tcPr>
          <w:p w:rsidR="008D6329" w:rsidRPr="00CD1F1C" w:rsidRDefault="008D6329" w:rsidP="004A026A">
            <w:pPr>
              <w:jc w:val="center"/>
            </w:pPr>
            <w:r w:rsidRPr="00CD1F1C">
              <w:t>№ п.п.</w:t>
            </w:r>
          </w:p>
        </w:tc>
        <w:tc>
          <w:tcPr>
            <w:tcW w:w="4962" w:type="dxa"/>
          </w:tcPr>
          <w:p w:rsidR="008D6329" w:rsidRPr="00AA7EDA" w:rsidRDefault="008D6329" w:rsidP="004A026A">
            <w:pPr>
              <w:ind w:firstLine="225"/>
              <w:jc w:val="center"/>
            </w:pPr>
            <w:r w:rsidRPr="00AA7EDA">
              <w:t xml:space="preserve">Старая редакция </w:t>
            </w:r>
          </w:p>
        </w:tc>
        <w:tc>
          <w:tcPr>
            <w:tcW w:w="4961" w:type="dxa"/>
          </w:tcPr>
          <w:p w:rsidR="008D6329" w:rsidRPr="00AA7EDA" w:rsidRDefault="008D6329" w:rsidP="004A026A">
            <w:pPr>
              <w:ind w:firstLine="369"/>
              <w:jc w:val="center"/>
            </w:pPr>
            <w:r w:rsidRPr="00AA7EDA">
              <w:t>Новая редакция</w:t>
            </w:r>
          </w:p>
        </w:tc>
      </w:tr>
      <w:tr w:rsidR="00C43F48" w:rsidRPr="00AA7EDA" w:rsidTr="00BD77EF">
        <w:trPr>
          <w:trHeight w:val="273"/>
        </w:trPr>
        <w:tc>
          <w:tcPr>
            <w:tcW w:w="709" w:type="dxa"/>
          </w:tcPr>
          <w:p w:rsidR="00C43F48" w:rsidRPr="00CD1F1C" w:rsidRDefault="00C43F48" w:rsidP="004A026A">
            <w:pPr>
              <w:jc w:val="center"/>
            </w:pPr>
            <w:r>
              <w:t>1.</w:t>
            </w:r>
          </w:p>
        </w:tc>
        <w:tc>
          <w:tcPr>
            <w:tcW w:w="4962" w:type="dxa"/>
          </w:tcPr>
          <w:p w:rsidR="00C43F48" w:rsidRDefault="00C43F48" w:rsidP="00BD77EF">
            <w:pPr>
              <w:tabs>
                <w:tab w:val="left" w:pos="263"/>
              </w:tabs>
              <w:jc w:val="both"/>
            </w:pPr>
            <w:r>
              <w:t xml:space="preserve">      20.</w:t>
            </w:r>
            <w:r>
              <w:tab/>
              <w:t>Объекты инвестирования, их состав и описание.</w:t>
            </w:r>
          </w:p>
          <w:p w:rsidR="00C43F48" w:rsidRDefault="00C43F48" w:rsidP="00BD77EF">
            <w:pPr>
              <w:tabs>
                <w:tab w:val="left" w:pos="263"/>
              </w:tabs>
              <w:jc w:val="both"/>
            </w:pPr>
            <w:r>
              <w:t xml:space="preserve">      20.1. В состав активов Фонда могут входить:</w:t>
            </w:r>
          </w:p>
          <w:p w:rsidR="00C43F48" w:rsidRDefault="00C43F48" w:rsidP="00BD77EF">
            <w:pPr>
              <w:tabs>
                <w:tab w:val="left" w:pos="263"/>
              </w:tabs>
              <w:jc w:val="both"/>
            </w:pPr>
            <w:r>
              <w:t xml:space="preserve">       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утвержденный Указанием Банка России от 28 января 2016 года №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 41340, за исключением инвестиционных паев фондов для квалифицированных инвесторов:</w:t>
            </w:r>
          </w:p>
          <w:p w:rsidR="00C43F48" w:rsidRDefault="00C43F48" w:rsidP="00BD77EF">
            <w:pPr>
              <w:tabs>
                <w:tab w:val="left" w:pos="263"/>
              </w:tabs>
              <w:jc w:val="both"/>
            </w:pPr>
            <w:r>
              <w:t xml:space="preserve"> - полностью оплаченные акции российских </w:t>
            </w:r>
            <w:r>
              <w:lastRenderedPageBreak/>
              <w:t>акционерных обществ, за исключением акций акционерных инвестиционных фондов (далее - акции российских акционерных обществ);</w:t>
            </w:r>
          </w:p>
          <w:p w:rsidR="00C43F48" w:rsidRDefault="00C43F48" w:rsidP="00BD77EF">
            <w:pPr>
              <w:tabs>
                <w:tab w:val="left" w:pos="263"/>
              </w:tabs>
              <w:jc w:val="both"/>
            </w:pPr>
            <w:r>
              <w:t>-  полностью оплаченные акции иностранных акционерных обществ;</w:t>
            </w:r>
          </w:p>
          <w:p w:rsidR="00C43F48" w:rsidRDefault="00C43F48" w:rsidP="00BD77EF">
            <w:pPr>
              <w:tabs>
                <w:tab w:val="left" w:pos="263"/>
              </w:tabs>
              <w:jc w:val="both"/>
            </w:pPr>
            <w:r>
              <w:t>-  акции акционерных инвестиционных фондов и инвестиционные паи интервальных и закрытых паевых инвестиционных фондов, относящихся к категории фондов рыночных финансовых инструментов;</w:t>
            </w:r>
          </w:p>
          <w:p w:rsidR="00C43F48" w:rsidRDefault="00C43F48" w:rsidP="00BD77EF">
            <w:pPr>
              <w:tabs>
                <w:tab w:val="left" w:pos="263"/>
              </w:tabs>
              <w:jc w:val="both"/>
            </w:pPr>
            <w:r>
              <w:t>-</w:t>
            </w:r>
            <w:r>
              <w:tab/>
              <w:t>паи (акции) иностранных инвестиционных фондов, при этом:</w:t>
            </w:r>
          </w:p>
          <w:p w:rsidR="00C43F48" w:rsidRDefault="00C43F48" w:rsidP="00BD77EF">
            <w:pPr>
              <w:tabs>
                <w:tab w:val="left" w:pos="263"/>
              </w:tabs>
              <w:jc w:val="both"/>
            </w:pPr>
            <w:r>
              <w:t>-</w:t>
            </w:r>
            <w:r>
              <w:tab/>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C43F48" w:rsidRDefault="00C43F48" w:rsidP="00BD77EF">
            <w:pPr>
              <w:tabs>
                <w:tab w:val="left" w:pos="263"/>
              </w:tabs>
              <w:jc w:val="both"/>
            </w:pPr>
            <w:r>
              <w:t>или</w:t>
            </w:r>
          </w:p>
          <w:p w:rsidR="00C43F48" w:rsidRDefault="00C43F48" w:rsidP="00BD77EF">
            <w:pPr>
              <w:tabs>
                <w:tab w:val="left" w:pos="263"/>
              </w:tabs>
              <w:jc w:val="both"/>
            </w:pPr>
            <w:r>
              <w:t>-</w:t>
            </w:r>
            <w:r>
              <w:tab/>
              <w:t>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C43F48" w:rsidRDefault="00C43F48" w:rsidP="00BD77EF">
            <w:pPr>
              <w:tabs>
                <w:tab w:val="left" w:pos="263"/>
              </w:tabs>
              <w:jc w:val="both"/>
            </w:pPr>
            <w:r>
              <w:t>-</w:t>
            </w:r>
            <w:r>
              <w:tab/>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C43F48" w:rsidRDefault="00C43F48" w:rsidP="00BD77EF">
            <w:pPr>
              <w:tabs>
                <w:tab w:val="left" w:pos="263"/>
              </w:tabs>
              <w:jc w:val="both"/>
            </w:pPr>
            <w:r>
              <w:t>-</w:t>
            </w:r>
            <w:r>
              <w:tab/>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C43F48" w:rsidRDefault="00C43F48" w:rsidP="00BD77EF">
            <w:pPr>
              <w:tabs>
                <w:tab w:val="left" w:pos="263"/>
              </w:tabs>
              <w:jc w:val="both"/>
            </w:pPr>
            <w:r>
              <w:t>- облигации российских юридических лиц;</w:t>
            </w:r>
          </w:p>
          <w:p w:rsidR="00C43F48" w:rsidRDefault="00C43F48" w:rsidP="00BD77EF">
            <w:pPr>
              <w:tabs>
                <w:tab w:val="left" w:pos="263"/>
              </w:tabs>
              <w:jc w:val="both"/>
            </w:pPr>
            <w:r>
              <w:t xml:space="preserve">- биржевые облигации российских </w:t>
            </w:r>
            <w:r>
              <w:lastRenderedPageBreak/>
              <w:t>юридических лиц;</w:t>
            </w:r>
          </w:p>
          <w:p w:rsidR="00C43F48" w:rsidRDefault="00C43F48" w:rsidP="00BD77EF">
            <w:pPr>
              <w:tabs>
                <w:tab w:val="left" w:pos="263"/>
              </w:tabs>
              <w:jc w:val="both"/>
            </w:pPr>
            <w:r>
              <w:t>- государственные ценные бумаги субъектов Российской Федерации, муниципальные ценные бумаги;</w:t>
            </w:r>
          </w:p>
          <w:p w:rsidR="00C43F48" w:rsidRDefault="00C43F48" w:rsidP="00BD77EF">
            <w:pPr>
              <w:tabs>
                <w:tab w:val="left" w:pos="263"/>
              </w:tabs>
              <w:jc w:val="both"/>
            </w:pPr>
            <w:r>
              <w:t>- облигации иностранных эмитентов и международных финансовых организаций (далее вместе - облигации иностранных эмитентов);</w:t>
            </w:r>
          </w:p>
          <w:p w:rsidR="00C43F48" w:rsidRDefault="00C43F48" w:rsidP="00BD77EF">
            <w:pPr>
              <w:tabs>
                <w:tab w:val="left" w:pos="263"/>
              </w:tabs>
              <w:jc w:val="both"/>
            </w:pPr>
            <w:r>
              <w:t>-</w:t>
            </w:r>
            <w:r>
              <w:tab/>
              <w:t>производный финансовый инструмент (фьючерсные и опционные договоры (контракты)) при условии, что изменение его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rsidR="00C43F48" w:rsidRDefault="00BD77EF" w:rsidP="00BD77EF">
            <w:pPr>
              <w:tabs>
                <w:tab w:val="left" w:pos="263"/>
              </w:tabs>
              <w:jc w:val="both"/>
            </w:pPr>
            <w:r>
              <w:t xml:space="preserve">       </w:t>
            </w:r>
            <w:r w:rsidR="00C43F48">
              <w:t>2) инвестиционные паи открытых паевых инвестиционных фондов, относящихся к категории фондов рыночных финансовых инструментов;</w:t>
            </w:r>
          </w:p>
          <w:p w:rsidR="00C43F48" w:rsidRDefault="00BD77EF" w:rsidP="00BD77EF">
            <w:pPr>
              <w:tabs>
                <w:tab w:val="left" w:pos="263"/>
              </w:tabs>
              <w:jc w:val="both"/>
            </w:pPr>
            <w:r>
              <w:t xml:space="preserve">       </w:t>
            </w:r>
            <w:r w:rsidR="00C43F48">
              <w:t>3)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C43F48" w:rsidRDefault="00BD77EF" w:rsidP="00BD77EF">
            <w:pPr>
              <w:tabs>
                <w:tab w:val="left" w:pos="263"/>
              </w:tabs>
              <w:jc w:val="both"/>
            </w:pPr>
            <w:r>
              <w:t xml:space="preserve">      </w:t>
            </w:r>
            <w:r w:rsidR="00C43F48">
              <w:t>4) права требования из договоров, заключенных для целей доверительного управления в отношении активов, указанных в настоящем пункте;</w:t>
            </w:r>
          </w:p>
          <w:p w:rsidR="00C43F48" w:rsidRDefault="00BD77EF" w:rsidP="00BD77EF">
            <w:pPr>
              <w:tabs>
                <w:tab w:val="left" w:pos="263"/>
              </w:tabs>
              <w:jc w:val="both"/>
            </w:pPr>
            <w:r>
              <w:t xml:space="preserve">      </w:t>
            </w:r>
            <w:r w:rsidR="00C43F48">
              <w:t>5)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C43F48" w:rsidRDefault="00C43F48" w:rsidP="00BD77EF">
            <w:pPr>
              <w:tabs>
                <w:tab w:val="left" w:pos="263"/>
              </w:tabs>
              <w:jc w:val="both"/>
            </w:pPr>
            <w:r>
              <w:t xml:space="preserve">          20.2.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7 рабочих дней.</w:t>
            </w:r>
          </w:p>
          <w:p w:rsidR="00C43F48" w:rsidRDefault="00C43F48" w:rsidP="00BD77EF">
            <w:pPr>
              <w:tabs>
                <w:tab w:val="left" w:pos="263"/>
              </w:tabs>
              <w:jc w:val="both"/>
            </w:pPr>
            <w:r>
              <w:t>Акции, составляющие активы Фонда, могут быть как обыкновенными, так и привилегированными.</w:t>
            </w:r>
          </w:p>
          <w:p w:rsidR="00C43F48" w:rsidRDefault="00C43F48" w:rsidP="00BD77EF">
            <w:pPr>
              <w:tabs>
                <w:tab w:val="left" w:pos="263"/>
              </w:tabs>
              <w:jc w:val="both"/>
            </w:pPr>
            <w:r>
              <w:t>Лица, обязанные по акциям российских акционерных обществ, инвестиционным паям паевых инвестиционных фондов, акциям акционерных инвестиционных фондов, государственным ценным бумагам Российской Федерации, биржевым облигациям российских юридических лиц, облигациям российских юридических лиц, депозитным сертификатам российских кредитных организаций, государственным ценным бумагам субъектов Российской Федерации, муниципальным ценным бумагам, должны быть зарегистрированы в Российской Федерации.</w:t>
            </w:r>
          </w:p>
          <w:p w:rsidR="00C43F48" w:rsidRDefault="00C43F48" w:rsidP="00BD77EF">
            <w:pPr>
              <w:tabs>
                <w:tab w:val="left" w:pos="263"/>
              </w:tabs>
              <w:jc w:val="both"/>
            </w:pPr>
            <w:r>
              <w:t>Лица, обязанные по акциям иностранных акционерных обществ, паям (акциям) иностранных инвестиционных фондов,  облигациям иностранных эмитентов, должны быть зарегистрированы в в государствах, включенных в Общероссийский классификатор стран мира.</w:t>
            </w:r>
          </w:p>
          <w:p w:rsidR="00C43F48" w:rsidRDefault="00C43F48" w:rsidP="00BD77EF">
            <w:pPr>
              <w:tabs>
                <w:tab w:val="left" w:pos="263"/>
              </w:tabs>
              <w:jc w:val="both"/>
            </w:pPr>
            <w:r>
              <w:t>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указанных в подпункте 1 пункта 20.1.</w:t>
            </w:r>
          </w:p>
          <w:p w:rsidR="00C43F48" w:rsidRDefault="00C43F48" w:rsidP="00BD77EF">
            <w:pPr>
              <w:tabs>
                <w:tab w:val="left" w:pos="263"/>
              </w:tabs>
              <w:jc w:val="both"/>
            </w:pPr>
            <w:r>
              <w:t>Имущество, составляющее Фонд, может быть инвестировано в облигации, эмитентами которых могут быть:</w:t>
            </w:r>
          </w:p>
          <w:p w:rsidR="00C43F48" w:rsidRDefault="00C43F48" w:rsidP="00BD77EF">
            <w:pPr>
              <w:tabs>
                <w:tab w:val="left" w:pos="263"/>
              </w:tabs>
              <w:jc w:val="both"/>
            </w:pPr>
            <w:r>
              <w:t xml:space="preserve">1) российские органы государственной власти; </w:t>
            </w:r>
          </w:p>
          <w:p w:rsidR="00C43F48" w:rsidRDefault="00C43F48" w:rsidP="00BD77EF">
            <w:pPr>
              <w:tabs>
                <w:tab w:val="left" w:pos="263"/>
              </w:tabs>
              <w:jc w:val="both"/>
            </w:pPr>
            <w:r>
              <w:t>2) иностранные органы государственной власти;</w:t>
            </w:r>
          </w:p>
          <w:p w:rsidR="00C43F48" w:rsidRDefault="00C43F48" w:rsidP="00BD77EF">
            <w:pPr>
              <w:tabs>
                <w:tab w:val="left" w:pos="263"/>
              </w:tabs>
              <w:jc w:val="both"/>
            </w:pPr>
            <w:r>
              <w:t>3) органы местного самоуправления;</w:t>
            </w:r>
          </w:p>
          <w:p w:rsidR="00C43F48" w:rsidRDefault="00C43F48" w:rsidP="00BD77EF">
            <w:pPr>
              <w:tabs>
                <w:tab w:val="left" w:pos="263"/>
              </w:tabs>
              <w:jc w:val="both"/>
            </w:pPr>
            <w:r>
              <w:t>4) международные финансовые организации;</w:t>
            </w:r>
          </w:p>
          <w:p w:rsidR="00C43F48" w:rsidRDefault="00C43F48" w:rsidP="00BD77EF">
            <w:pPr>
              <w:tabs>
                <w:tab w:val="left" w:pos="263"/>
              </w:tabs>
              <w:jc w:val="both"/>
            </w:pPr>
            <w:r>
              <w:t>5) российские юридические лица;</w:t>
            </w:r>
          </w:p>
          <w:p w:rsidR="00C43F48" w:rsidRPr="00AA7EDA" w:rsidRDefault="00C43F48" w:rsidP="00BD77EF">
            <w:pPr>
              <w:tabs>
                <w:tab w:val="left" w:pos="263"/>
              </w:tabs>
              <w:jc w:val="both"/>
            </w:pPr>
            <w:r>
              <w:t>6) иностранные юридические лица.</w:t>
            </w:r>
          </w:p>
        </w:tc>
        <w:tc>
          <w:tcPr>
            <w:tcW w:w="4961" w:type="dxa"/>
          </w:tcPr>
          <w:p w:rsidR="00BD77EF" w:rsidRPr="006978BC" w:rsidRDefault="00BD77EF" w:rsidP="00BD77EF">
            <w:pPr>
              <w:tabs>
                <w:tab w:val="left" w:pos="263"/>
              </w:tabs>
              <w:jc w:val="both"/>
            </w:pPr>
            <w:r w:rsidRPr="006978BC">
              <w:lastRenderedPageBreak/>
              <w:t>20.</w:t>
            </w:r>
            <w:r w:rsidRPr="006978BC">
              <w:tab/>
              <w:t>Объекты инвестирования, их состав и описание.</w:t>
            </w:r>
          </w:p>
          <w:p w:rsidR="00BD77EF" w:rsidRPr="006978BC" w:rsidRDefault="00BD77EF" w:rsidP="00BD77EF">
            <w:pPr>
              <w:tabs>
                <w:tab w:val="left" w:pos="263"/>
              </w:tabs>
              <w:jc w:val="both"/>
            </w:pPr>
            <w:r w:rsidRPr="006978BC">
              <w:t xml:space="preserve">      20.1. В состав активов Фонда могут входить:</w:t>
            </w:r>
          </w:p>
          <w:p w:rsidR="00BD77EF" w:rsidRPr="006978BC" w:rsidRDefault="00BD77EF" w:rsidP="00BD77EF">
            <w:pPr>
              <w:tabs>
                <w:tab w:val="left" w:pos="263"/>
              </w:tabs>
              <w:jc w:val="both"/>
            </w:pPr>
            <w:r w:rsidRPr="006978BC">
              <w:t xml:space="preserve">       1) </w:t>
            </w:r>
            <w:r w:rsidRPr="000472F7">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w:t>
            </w:r>
            <w:r w:rsidR="006978BC">
              <w:t>включенных в перечень иностранных бирж</w:t>
            </w:r>
            <w:r w:rsidR="006978BC" w:rsidRPr="00BF0EF6">
              <w:rPr>
                <w:sz w:val="22"/>
                <w:szCs w:val="22"/>
              </w:rPr>
              <w:t xml:space="preserve">, </w:t>
            </w:r>
            <w:r w:rsidR="006978BC" w:rsidRPr="006837C9">
              <w:rPr>
                <w:bCs/>
                <w:sz w:val="22"/>
                <w:szCs w:val="22"/>
              </w:rPr>
              <w:t xml:space="preserve">предусмотренный </w:t>
            </w:r>
            <w:hyperlink r:id="rId11" w:history="1">
              <w:r w:rsidR="006978BC" w:rsidRPr="006837C9">
                <w:rPr>
                  <w:bCs/>
                  <w:sz w:val="22"/>
                  <w:szCs w:val="22"/>
                </w:rPr>
                <w:t>пунктом 4 статьи 51.1</w:t>
              </w:r>
            </w:hyperlink>
            <w:r w:rsidR="006978BC" w:rsidRPr="006837C9">
              <w:rPr>
                <w:bCs/>
                <w:sz w:val="22"/>
                <w:szCs w:val="22"/>
              </w:rPr>
              <w:t xml:space="preserve"> Федерального закона от 22 апреля 1996 года № 39-ФЗ «О рынке ценных бумаг» (Собрание законодательства Российской Федерации, 1996, № 17, ст. 1918; 2002, № 52, ст. 5141; 2018, № 53, ст. 8440)</w:t>
            </w:r>
            <w:r w:rsidRPr="000472F7">
              <w:t>, за исключением инвестиционных паев фондов для квалифицированных инвесторов:</w:t>
            </w:r>
          </w:p>
          <w:p w:rsidR="00BD77EF" w:rsidRPr="006978BC" w:rsidRDefault="00BD77EF" w:rsidP="00BD77EF">
            <w:pPr>
              <w:tabs>
                <w:tab w:val="left" w:pos="263"/>
              </w:tabs>
              <w:jc w:val="both"/>
            </w:pPr>
            <w:r w:rsidRPr="006978BC">
              <w:t xml:space="preserve"> - полностью оплаченные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BD77EF" w:rsidRPr="006978BC" w:rsidRDefault="00BD77EF" w:rsidP="00BD77EF">
            <w:pPr>
              <w:tabs>
                <w:tab w:val="left" w:pos="263"/>
              </w:tabs>
              <w:jc w:val="both"/>
            </w:pPr>
            <w:r w:rsidRPr="006978BC">
              <w:t>-  полностью оплаченные акции иностранных акционерных обществ;</w:t>
            </w:r>
          </w:p>
          <w:p w:rsidR="00BD77EF" w:rsidRPr="006978BC" w:rsidRDefault="00BD77EF" w:rsidP="00BD77EF">
            <w:pPr>
              <w:tabs>
                <w:tab w:val="left" w:pos="263"/>
              </w:tabs>
              <w:jc w:val="both"/>
            </w:pPr>
            <w:r w:rsidRPr="006978BC">
              <w:t>-  акции акционерных инвестиционных фондов и инвестиционные паи интервальных и закрытых паевых инвестиционных фондов, относящихся к категории фондов рыночных финансовых инструментов;</w:t>
            </w:r>
          </w:p>
          <w:p w:rsidR="00BD77EF" w:rsidRPr="006978BC" w:rsidRDefault="00BD77EF" w:rsidP="00BD77EF">
            <w:pPr>
              <w:tabs>
                <w:tab w:val="left" w:pos="263"/>
              </w:tabs>
              <w:jc w:val="both"/>
            </w:pPr>
            <w:r w:rsidRPr="006978BC">
              <w:t>-</w:t>
            </w:r>
            <w:r w:rsidRPr="006978BC">
              <w:tab/>
              <w:t>паи (акции) иностранных инвестиционных фондов, при этом:</w:t>
            </w:r>
          </w:p>
          <w:p w:rsidR="00BD77EF" w:rsidRPr="006978BC" w:rsidRDefault="00BD77EF" w:rsidP="00BD77EF">
            <w:pPr>
              <w:tabs>
                <w:tab w:val="left" w:pos="263"/>
              </w:tabs>
              <w:jc w:val="both"/>
            </w:pPr>
            <w:r w:rsidRPr="006978BC">
              <w:lastRenderedPageBreak/>
              <w:t>-</w:t>
            </w:r>
            <w:r w:rsidRPr="006978BC">
              <w:tab/>
              <w:t>а) если код CFI указанным паям (акциям) присвоен в соответствии с международным стандартом ISO 10962:2001, то он должен иметь следующие значения: первая буква – значение «Е», вторая буква – значение «U», третья буква - значение «O» или значение «С», пятая буква - значение «R» или «S», или «М», или «С», или «D», за исключением случаев, когда шестая буква имеет значение «Z» или «A»;</w:t>
            </w:r>
          </w:p>
          <w:p w:rsidR="00BD77EF" w:rsidRPr="006978BC" w:rsidRDefault="00BD77EF" w:rsidP="00BD77EF">
            <w:pPr>
              <w:tabs>
                <w:tab w:val="left" w:pos="263"/>
              </w:tabs>
              <w:jc w:val="both"/>
            </w:pPr>
            <w:r w:rsidRPr="006978BC">
              <w:t>или</w:t>
            </w:r>
          </w:p>
          <w:p w:rsidR="00BD77EF" w:rsidRPr="006978BC" w:rsidRDefault="00BD77EF" w:rsidP="00BD77EF">
            <w:pPr>
              <w:tabs>
                <w:tab w:val="left" w:pos="263"/>
              </w:tabs>
              <w:jc w:val="both"/>
            </w:pPr>
            <w:r w:rsidRPr="006978BC">
              <w:t>-</w:t>
            </w:r>
            <w:r w:rsidRPr="006978BC">
              <w:tab/>
              <w:t>б) если код CFI указанным паям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«X»;</w:t>
            </w:r>
          </w:p>
          <w:p w:rsidR="00BD77EF" w:rsidRPr="006978BC" w:rsidRDefault="00BD77EF" w:rsidP="00BD77EF">
            <w:pPr>
              <w:tabs>
                <w:tab w:val="left" w:pos="263"/>
              </w:tabs>
              <w:jc w:val="both"/>
            </w:pPr>
            <w:r w:rsidRPr="006978BC">
              <w:t>-</w:t>
            </w:r>
            <w:r w:rsidRPr="006978BC">
              <w:tab/>
              <w:t>в) если код CFI указанным паям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«U» или «Y»;</w:t>
            </w:r>
          </w:p>
          <w:p w:rsidR="00BD77EF" w:rsidRPr="006978BC" w:rsidRDefault="00BD77EF" w:rsidP="00BD77EF">
            <w:pPr>
              <w:tabs>
                <w:tab w:val="left" w:pos="263"/>
              </w:tabs>
              <w:jc w:val="both"/>
            </w:pPr>
            <w:r w:rsidRPr="006978BC">
              <w:t>-</w:t>
            </w:r>
            <w:r w:rsidRPr="006978BC">
              <w:tab/>
              <w:t>г) если код CFI указанным акциям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«Е», или «V», или «L», или «С», или «D», или «F», при условии, что шестая буква имеет значение «S» или «Q»;</w:t>
            </w:r>
          </w:p>
          <w:p w:rsidR="00BD77EF" w:rsidRPr="006978BC" w:rsidRDefault="00BD77EF" w:rsidP="00BD77EF">
            <w:pPr>
              <w:tabs>
                <w:tab w:val="left" w:pos="263"/>
              </w:tabs>
              <w:jc w:val="both"/>
            </w:pPr>
            <w:r w:rsidRPr="006978BC">
              <w:t>- облигации российских юридических лиц;</w:t>
            </w:r>
          </w:p>
          <w:p w:rsidR="00BD77EF" w:rsidRPr="006978BC" w:rsidRDefault="00BD77EF" w:rsidP="00BD77EF">
            <w:pPr>
              <w:tabs>
                <w:tab w:val="left" w:pos="263"/>
              </w:tabs>
              <w:jc w:val="both"/>
            </w:pPr>
            <w:r w:rsidRPr="006978BC">
              <w:t>- биржевые облигации российских юридических лиц;</w:t>
            </w:r>
          </w:p>
          <w:p w:rsidR="00BD77EF" w:rsidRPr="006978BC" w:rsidRDefault="00BD77EF" w:rsidP="00BD77EF">
            <w:pPr>
              <w:tabs>
                <w:tab w:val="left" w:pos="263"/>
              </w:tabs>
              <w:jc w:val="both"/>
            </w:pPr>
            <w:r w:rsidRPr="006978BC">
              <w:t>- государственные ценные бумаги субъектов Российской Федерации, муниципальные ценные бумаги;</w:t>
            </w:r>
          </w:p>
          <w:p w:rsidR="00BD77EF" w:rsidRPr="006978BC" w:rsidRDefault="00BD77EF" w:rsidP="00BD77EF">
            <w:pPr>
              <w:tabs>
                <w:tab w:val="left" w:pos="263"/>
              </w:tabs>
              <w:jc w:val="both"/>
            </w:pPr>
            <w:r w:rsidRPr="006978BC">
              <w:t>- облигации иностранных эмитентов и международных финансовых организаций (далее вместе - облигации иностранных эмитентов);</w:t>
            </w:r>
          </w:p>
          <w:p w:rsidR="00BD77EF" w:rsidRPr="006978BC" w:rsidRDefault="00BD77EF" w:rsidP="00BD77EF">
            <w:pPr>
              <w:tabs>
                <w:tab w:val="left" w:pos="263"/>
              </w:tabs>
              <w:jc w:val="both"/>
            </w:pPr>
            <w:r w:rsidRPr="006978BC">
              <w:t>-</w:t>
            </w:r>
            <w:r w:rsidRPr="006978BC">
              <w:tab/>
              <w:t xml:space="preserve">производный финансовый инструмент (фьючерсные и опционные договоры (контракты)) при условии, что изменение его стоимости зависит от изменения стоимости </w:t>
            </w:r>
            <w:r w:rsidRPr="006978BC">
              <w:lastRenderedPageBreak/>
              <w:t>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rsidR="00BD77EF" w:rsidRPr="006978BC" w:rsidRDefault="00BD77EF" w:rsidP="00BD77EF">
            <w:pPr>
              <w:tabs>
                <w:tab w:val="left" w:pos="263"/>
              </w:tabs>
              <w:jc w:val="both"/>
            </w:pPr>
            <w:r w:rsidRPr="006978BC">
              <w:t xml:space="preserve">       2) инвестиционные паи открытых паевых инвестиционных фондов, относящихся к категории фондов рыночных финансовых инструментов;</w:t>
            </w:r>
          </w:p>
          <w:p w:rsidR="00BD77EF" w:rsidRPr="006978BC" w:rsidRDefault="00BD77EF" w:rsidP="00BD77EF">
            <w:pPr>
              <w:tabs>
                <w:tab w:val="left" w:pos="263"/>
              </w:tabs>
              <w:jc w:val="both"/>
            </w:pPr>
            <w:r w:rsidRPr="006978BC">
              <w:t xml:space="preserve">       3)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BD77EF" w:rsidRPr="006978BC" w:rsidRDefault="00BD77EF" w:rsidP="00BD77EF">
            <w:pPr>
              <w:tabs>
                <w:tab w:val="left" w:pos="263"/>
              </w:tabs>
              <w:jc w:val="both"/>
            </w:pPr>
            <w:r w:rsidRPr="006978BC">
              <w:t xml:space="preserve">      4) права требования из договоров, заключенных для целей доверительного управления в отношении активов, указанных в настоящем пункте;</w:t>
            </w:r>
          </w:p>
          <w:p w:rsidR="00BD77EF" w:rsidRPr="006978BC" w:rsidRDefault="00BD77EF" w:rsidP="00BD77EF">
            <w:pPr>
              <w:tabs>
                <w:tab w:val="left" w:pos="263"/>
              </w:tabs>
              <w:jc w:val="both"/>
            </w:pPr>
            <w:r w:rsidRPr="006978BC">
              <w:t xml:space="preserve">      5)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BD77EF" w:rsidRPr="006978BC" w:rsidRDefault="00BD77EF" w:rsidP="00BD77EF">
            <w:pPr>
              <w:tabs>
                <w:tab w:val="left" w:pos="263"/>
              </w:tabs>
              <w:jc w:val="both"/>
            </w:pPr>
            <w:r w:rsidRPr="006978BC">
              <w:t xml:space="preserve">          20.2.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7 рабочих дней.</w:t>
            </w:r>
          </w:p>
          <w:p w:rsidR="00BD77EF" w:rsidRPr="006978BC" w:rsidRDefault="00BD77EF" w:rsidP="00BD77EF">
            <w:pPr>
              <w:tabs>
                <w:tab w:val="left" w:pos="263"/>
              </w:tabs>
              <w:jc w:val="both"/>
            </w:pPr>
            <w:r w:rsidRPr="006978BC">
              <w:t>Акции, составляющие активы Фонда, могут быть как обыкновенными, так и привилегированными.</w:t>
            </w:r>
          </w:p>
          <w:p w:rsidR="00BD77EF" w:rsidRPr="006978BC" w:rsidRDefault="00BD77EF" w:rsidP="00BD77EF">
            <w:pPr>
              <w:tabs>
                <w:tab w:val="left" w:pos="263"/>
              </w:tabs>
              <w:jc w:val="both"/>
            </w:pPr>
            <w:r w:rsidRPr="006978BC">
              <w:t>Лица, обязанные по акциям российских акционерных обществ, инвестиционным паям паевых инвестиционных фондов, акциям акционерных инвестиционных фондов, государственным ценным бумагам Российской Федерации, биржевым облигациям российских юридических лиц, облигациям российских юридических лиц, депозитным сертификатам российских кредитных организаций, государственным ценным бумагам субъектов Российской Федерации, муниципальным ценным бумагам, должны быть зарегистрированы в Российской Федерации.</w:t>
            </w:r>
          </w:p>
          <w:p w:rsidR="00BD77EF" w:rsidRPr="006978BC" w:rsidRDefault="00BD77EF" w:rsidP="00BD77EF">
            <w:pPr>
              <w:tabs>
                <w:tab w:val="left" w:pos="263"/>
              </w:tabs>
              <w:jc w:val="both"/>
            </w:pPr>
            <w:r w:rsidRPr="006978BC">
              <w:t>Лица, обязанные по акциям иностранных акционерных обществ, паям (акциям) иностранных инвестиционных фондов,  облигациям иностранных эмитентов, должны быть зарегистрированы в государствах, включенных в Общероссийский классификатор стран мира.</w:t>
            </w:r>
          </w:p>
          <w:p w:rsidR="00BD77EF" w:rsidRPr="006978BC" w:rsidRDefault="00BD77EF" w:rsidP="00BD77EF">
            <w:pPr>
              <w:tabs>
                <w:tab w:val="left" w:pos="263"/>
              </w:tabs>
              <w:jc w:val="both"/>
            </w:pPr>
            <w:r w:rsidRPr="006978BC">
              <w:t>Лица, обязанные по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указанных в подпункте 1 пункта 20.1.</w:t>
            </w:r>
          </w:p>
          <w:p w:rsidR="00BD77EF" w:rsidRPr="006978BC" w:rsidRDefault="00BD77EF" w:rsidP="00BD77EF">
            <w:pPr>
              <w:tabs>
                <w:tab w:val="left" w:pos="263"/>
              </w:tabs>
              <w:jc w:val="both"/>
            </w:pPr>
            <w:r w:rsidRPr="006978BC">
              <w:t>Имущество, составляющее Фонд, может быть инвестировано в облигации, эмитентами которых могут быть:</w:t>
            </w:r>
          </w:p>
          <w:p w:rsidR="00BD77EF" w:rsidRPr="006978BC" w:rsidRDefault="00BD77EF" w:rsidP="00BD77EF">
            <w:pPr>
              <w:tabs>
                <w:tab w:val="left" w:pos="263"/>
              </w:tabs>
              <w:jc w:val="both"/>
            </w:pPr>
            <w:r w:rsidRPr="006978BC">
              <w:t xml:space="preserve">1) российские органы государственной власти; </w:t>
            </w:r>
          </w:p>
          <w:p w:rsidR="00BD77EF" w:rsidRPr="006978BC" w:rsidRDefault="00BD77EF" w:rsidP="00BD77EF">
            <w:pPr>
              <w:tabs>
                <w:tab w:val="left" w:pos="263"/>
              </w:tabs>
              <w:jc w:val="both"/>
            </w:pPr>
            <w:r w:rsidRPr="006978BC">
              <w:t>2) иностранные органы государственной власти;</w:t>
            </w:r>
          </w:p>
          <w:p w:rsidR="00BD77EF" w:rsidRPr="006978BC" w:rsidRDefault="00BD77EF" w:rsidP="00BD77EF">
            <w:pPr>
              <w:tabs>
                <w:tab w:val="left" w:pos="263"/>
              </w:tabs>
              <w:jc w:val="both"/>
            </w:pPr>
            <w:r w:rsidRPr="006978BC">
              <w:t>3) органы местного самоуправления;</w:t>
            </w:r>
          </w:p>
          <w:p w:rsidR="00BD77EF" w:rsidRPr="006978BC" w:rsidRDefault="00BD77EF" w:rsidP="00BD77EF">
            <w:pPr>
              <w:tabs>
                <w:tab w:val="left" w:pos="263"/>
              </w:tabs>
              <w:jc w:val="both"/>
            </w:pPr>
            <w:r w:rsidRPr="006978BC">
              <w:t>4) международные финансовые организации;</w:t>
            </w:r>
          </w:p>
          <w:p w:rsidR="00BD77EF" w:rsidRPr="006978BC" w:rsidRDefault="00BD77EF" w:rsidP="00BD77EF">
            <w:pPr>
              <w:tabs>
                <w:tab w:val="left" w:pos="263"/>
              </w:tabs>
              <w:jc w:val="both"/>
            </w:pPr>
            <w:r w:rsidRPr="006978BC">
              <w:t>5) российские юридические лица;</w:t>
            </w:r>
          </w:p>
          <w:p w:rsidR="00C43F48" w:rsidRPr="006978BC" w:rsidRDefault="00BD77EF" w:rsidP="00BD77EF">
            <w:pPr>
              <w:tabs>
                <w:tab w:val="left" w:pos="263"/>
              </w:tabs>
              <w:jc w:val="both"/>
            </w:pPr>
            <w:r w:rsidRPr="006978BC">
              <w:t>6) иностранные юридические лица.</w:t>
            </w:r>
          </w:p>
        </w:tc>
      </w:tr>
      <w:tr w:rsidR="008D6329" w:rsidRPr="001E179C" w:rsidTr="00BD77EF">
        <w:trPr>
          <w:trHeight w:val="3833"/>
        </w:trPr>
        <w:tc>
          <w:tcPr>
            <w:tcW w:w="709" w:type="dxa"/>
          </w:tcPr>
          <w:p w:rsidR="008D6329" w:rsidRPr="00CD1F1C" w:rsidRDefault="00C43F48" w:rsidP="004A026A">
            <w:pPr>
              <w:jc w:val="center"/>
            </w:pPr>
            <w:r>
              <w:lastRenderedPageBreak/>
              <w:t>2</w:t>
            </w:r>
            <w:r w:rsidR="008D6329">
              <w:t>.</w:t>
            </w:r>
          </w:p>
        </w:tc>
        <w:tc>
          <w:tcPr>
            <w:tcW w:w="4962" w:type="dxa"/>
          </w:tcPr>
          <w:p w:rsidR="008D6329" w:rsidRDefault="0043627D" w:rsidP="004A026A">
            <w:pPr>
              <w:tabs>
                <w:tab w:val="left" w:pos="263"/>
              </w:tabs>
              <w:jc w:val="both"/>
            </w:pPr>
            <w:r>
              <w:t xml:space="preserve">      </w:t>
            </w:r>
            <w:r w:rsidR="004A026A">
              <w:t xml:space="preserve">  </w:t>
            </w:r>
            <w:r w:rsidR="008D6329">
              <w:t>21. Структура активов Фонда.</w:t>
            </w:r>
          </w:p>
          <w:p w:rsidR="008D6329" w:rsidRDefault="0043627D" w:rsidP="004A026A">
            <w:pPr>
              <w:tabs>
                <w:tab w:val="left" w:pos="263"/>
              </w:tabs>
              <w:jc w:val="both"/>
            </w:pPr>
            <w:r>
              <w:t xml:space="preserve">      </w:t>
            </w:r>
            <w:r w:rsidR="004A026A">
              <w:t xml:space="preserve">  </w:t>
            </w:r>
            <w:r w:rsidR="008D6329">
              <w:t xml:space="preserve">21.1.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w:t>
            </w:r>
            <w:r w:rsidR="002073FF">
              <w:t xml:space="preserve">долгосрочной кредитоспособности </w:t>
            </w:r>
            <w:r w:rsidR="008D6329">
              <w:t>выпуска(при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Указании Банка России от 05.09.2016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rsidR="008D6329" w:rsidRDefault="002073FF" w:rsidP="004A026A">
            <w:pPr>
              <w:tabs>
                <w:tab w:val="left" w:pos="263"/>
              </w:tabs>
              <w:jc w:val="both"/>
            </w:pPr>
            <w:r>
              <w:t xml:space="preserve">         </w:t>
            </w:r>
            <w:r w:rsidR="008D6329">
              <w:t>1) пять процентов;</w:t>
            </w:r>
          </w:p>
          <w:p w:rsidR="008D6329" w:rsidRDefault="002073FF" w:rsidP="004A026A">
            <w:pPr>
              <w:tabs>
                <w:tab w:val="left" w:pos="263"/>
              </w:tabs>
              <w:jc w:val="both"/>
            </w:pPr>
            <w:r>
              <w:t xml:space="preserve">         </w:t>
            </w:r>
            <w:r w:rsidR="008D6329">
              <w:t>2)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8D6329" w:rsidRDefault="004A026A" w:rsidP="004A026A">
            <w:pPr>
              <w:tabs>
                <w:tab w:val="left" w:pos="263"/>
              </w:tabs>
              <w:jc w:val="both"/>
            </w:pPr>
            <w:r>
              <w:t xml:space="preserve">        </w:t>
            </w:r>
            <w:r w:rsidR="008D6329">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8D6329" w:rsidRDefault="004A026A" w:rsidP="004A026A">
            <w:pPr>
              <w:tabs>
                <w:tab w:val="left" w:pos="263"/>
              </w:tabs>
              <w:jc w:val="both"/>
            </w:pPr>
            <w:r>
              <w:t xml:space="preserve">         </w:t>
            </w:r>
            <w:r w:rsidR="008D6329">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8D6329" w:rsidRDefault="002073FF" w:rsidP="004A026A">
            <w:pPr>
              <w:tabs>
                <w:tab w:val="left" w:pos="263"/>
              </w:tabs>
              <w:jc w:val="both"/>
            </w:pPr>
            <w:r>
              <w:t xml:space="preserve">        </w:t>
            </w:r>
            <w:r w:rsidR="008D6329">
              <w:t>21.2.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8D6329" w:rsidRDefault="008D6329" w:rsidP="004A026A">
            <w:pPr>
              <w:tabs>
                <w:tab w:val="left" w:pos="263"/>
              </w:tabs>
              <w:jc w:val="both"/>
            </w:pPr>
            <w: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w:t>
            </w:r>
          </w:p>
          <w:p w:rsidR="008D6329" w:rsidRDefault="008D6329" w:rsidP="004A026A">
            <w:pPr>
              <w:tabs>
                <w:tab w:val="left" w:pos="263"/>
              </w:tabs>
              <w:jc w:val="both"/>
            </w:pPr>
            <w: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8D6329" w:rsidRDefault="008D6329" w:rsidP="004A026A">
            <w:pPr>
              <w:tabs>
                <w:tab w:val="left" w:pos="263"/>
              </w:tabs>
              <w:jc w:val="both"/>
            </w:pPr>
            <w: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w:t>
            </w:r>
          </w:p>
          <w:p w:rsidR="008D6329" w:rsidRDefault="008D6329" w:rsidP="004A026A">
            <w:pPr>
              <w:tabs>
                <w:tab w:val="left" w:pos="263"/>
              </w:tabs>
              <w:jc w:val="both"/>
            </w:pPr>
            <w:r>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8D6329" w:rsidRDefault="008D6329" w:rsidP="004A026A">
            <w:pPr>
              <w:tabs>
                <w:tab w:val="left" w:pos="263"/>
              </w:tabs>
              <w:jc w:val="both"/>
            </w:pPr>
            <w: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8D6329" w:rsidRDefault="008D6329" w:rsidP="004A026A">
            <w:pPr>
              <w:tabs>
                <w:tab w:val="left" w:pos="263"/>
              </w:tabs>
              <w:jc w:val="both"/>
            </w:pPr>
            <w: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8D6329" w:rsidRDefault="008D6329" w:rsidP="004A026A">
            <w:pPr>
              <w:tabs>
                <w:tab w:val="left" w:pos="263"/>
              </w:tabs>
              <w:jc w:val="both"/>
            </w:pPr>
            <w: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8D6329" w:rsidRDefault="008D6329" w:rsidP="004A026A">
            <w:pPr>
              <w:tabs>
                <w:tab w:val="left" w:pos="263"/>
              </w:tabs>
              <w:jc w:val="both"/>
            </w:pPr>
            <w: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8D6329" w:rsidRDefault="008D6329" w:rsidP="004A026A">
            <w:pPr>
              <w:tabs>
                <w:tab w:val="left" w:pos="263"/>
              </w:tabs>
              <w:jc w:val="both"/>
            </w:pPr>
            <w:r>
              <w:t>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(Собрание законодательства Российской Федерации, 1996,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4357; 2016, N 1, ст. 50, ст. 81; N 27, ст. 4225 ; 2017, N 25, ст. 3592; N 27, ст. 3925; N 30, ст. 4444; N 48, ст. 7052; N 52, ст. 7920; 2018, N 1, ст. 65, ст. 70; N 17, ст. 2424; N 18, ст. 2560; N 32, ст. 5088; N 49, ст. 7524; N 53, ст. 8440), при условии, что предметом договора репо могут быть только активы, включаемые в состав активов Фонда, в соответствии с настоящими Правилами.</w:t>
            </w:r>
          </w:p>
          <w:p w:rsidR="008D6329" w:rsidRPr="001E179C" w:rsidRDefault="008D6329" w:rsidP="004A026A">
            <w:pPr>
              <w:tabs>
                <w:tab w:val="left" w:pos="263"/>
              </w:tabs>
              <w:jc w:val="both"/>
            </w:pPr>
            <w:r>
              <w:t>Для целей абзаца седьмого и восьмого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c>
          <w:tcPr>
            <w:tcW w:w="4961" w:type="dxa"/>
          </w:tcPr>
          <w:p w:rsidR="0043627D" w:rsidRPr="00E606C9" w:rsidRDefault="002073FF" w:rsidP="004A026A">
            <w:pPr>
              <w:tabs>
                <w:tab w:val="left" w:pos="263"/>
              </w:tabs>
              <w:jc w:val="both"/>
            </w:pPr>
            <w:r w:rsidRPr="00E606C9">
              <w:t xml:space="preserve">          </w:t>
            </w:r>
            <w:r w:rsidR="0043627D" w:rsidRPr="00E606C9">
              <w:t>21. Структура активов Фонда.</w:t>
            </w:r>
          </w:p>
          <w:p w:rsidR="0043627D" w:rsidRPr="00E606C9" w:rsidRDefault="002073FF" w:rsidP="004A026A">
            <w:pPr>
              <w:tabs>
                <w:tab w:val="left" w:pos="263"/>
              </w:tabs>
              <w:jc w:val="both"/>
            </w:pPr>
            <w:r w:rsidRPr="00E606C9">
              <w:t xml:space="preserve">          </w:t>
            </w:r>
            <w:r w:rsidR="0043627D" w:rsidRPr="00E606C9">
              <w:t>21.1.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Указании Банка России от 05.09.2016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rsidR="0043627D" w:rsidRPr="00E606C9" w:rsidRDefault="002073FF" w:rsidP="004A026A">
            <w:pPr>
              <w:tabs>
                <w:tab w:val="left" w:pos="263"/>
              </w:tabs>
              <w:jc w:val="both"/>
            </w:pPr>
            <w:r w:rsidRPr="00E606C9">
              <w:t xml:space="preserve">         </w:t>
            </w:r>
            <w:r w:rsidR="0043627D" w:rsidRPr="00E606C9">
              <w:t>1) пять процентов;</w:t>
            </w:r>
          </w:p>
          <w:p w:rsidR="0043627D" w:rsidRPr="00E606C9" w:rsidRDefault="0043627D" w:rsidP="004A026A">
            <w:pPr>
              <w:ind w:firstLine="540"/>
              <w:jc w:val="both"/>
            </w:pPr>
            <w:r w:rsidRPr="00E606C9">
              <w:t>2)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43627D" w:rsidRPr="00E606C9" w:rsidRDefault="0043627D" w:rsidP="004A026A">
            <w:pPr>
              <w:ind w:firstLine="540"/>
              <w:jc w:val="both"/>
            </w:pPr>
            <w:r w:rsidRPr="00E606C9">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43627D" w:rsidRPr="00E606C9" w:rsidRDefault="0043627D" w:rsidP="004A026A">
            <w:pPr>
              <w:ind w:firstLine="540"/>
              <w:jc w:val="both"/>
            </w:pPr>
            <w:r w:rsidRPr="00E606C9">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2073FF" w:rsidRPr="000472F7" w:rsidRDefault="0043627D" w:rsidP="004A026A">
            <w:pPr>
              <w:ind w:firstLine="540"/>
              <w:jc w:val="both"/>
            </w:pPr>
            <w:r w:rsidRPr="000472F7">
              <w:t xml:space="preserve">21.2. </w:t>
            </w:r>
            <w:r w:rsidR="002073FF" w:rsidRPr="000472F7">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073FF" w:rsidRPr="00E606C9" w:rsidRDefault="002073FF" w:rsidP="004A026A">
            <w:pPr>
              <w:ind w:firstLine="540"/>
              <w:jc w:val="both"/>
            </w:pPr>
            <w:r w:rsidRPr="000472F7">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а с 1 января 2023 года - 10 процентов стоимости активов Фонда.</w:t>
            </w:r>
          </w:p>
          <w:p w:rsidR="0043627D" w:rsidRPr="00E606C9" w:rsidRDefault="0043627D" w:rsidP="004A026A">
            <w:pPr>
              <w:ind w:firstLine="540"/>
              <w:jc w:val="both"/>
            </w:pPr>
            <w:r w:rsidRPr="00E606C9">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43627D" w:rsidRPr="00E606C9" w:rsidRDefault="0043627D" w:rsidP="004A026A">
            <w:pPr>
              <w:ind w:firstLine="540"/>
              <w:jc w:val="both"/>
            </w:pPr>
            <w:r w:rsidRPr="00E606C9">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w:t>
            </w:r>
          </w:p>
          <w:p w:rsidR="0043627D" w:rsidRPr="00E606C9" w:rsidRDefault="0043627D" w:rsidP="004A026A">
            <w:pPr>
              <w:ind w:firstLine="540"/>
              <w:jc w:val="both"/>
            </w:pPr>
            <w:r w:rsidRPr="00E606C9">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43627D" w:rsidRPr="00E606C9" w:rsidRDefault="0043627D" w:rsidP="004A026A">
            <w:pPr>
              <w:ind w:firstLine="540"/>
              <w:jc w:val="both"/>
            </w:pPr>
            <w:r w:rsidRPr="00E606C9">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43627D" w:rsidRPr="00E606C9" w:rsidRDefault="0043627D" w:rsidP="004A026A">
            <w:pPr>
              <w:ind w:firstLine="540"/>
              <w:jc w:val="both"/>
            </w:pPr>
            <w:r w:rsidRPr="00E606C9">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43627D" w:rsidRPr="00E606C9" w:rsidRDefault="0043627D" w:rsidP="004A026A">
            <w:pPr>
              <w:ind w:firstLine="540"/>
              <w:jc w:val="both"/>
            </w:pPr>
            <w:r w:rsidRPr="00E606C9">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настоящего 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43627D" w:rsidRPr="00E606C9" w:rsidRDefault="0043627D" w:rsidP="004A026A">
            <w:pPr>
              <w:ind w:firstLine="540"/>
              <w:jc w:val="both"/>
            </w:pPr>
            <w:r w:rsidRPr="00E606C9">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43627D" w:rsidRPr="00E606C9" w:rsidRDefault="0043627D" w:rsidP="004A026A">
            <w:pPr>
              <w:ind w:firstLine="540"/>
              <w:jc w:val="both"/>
            </w:pPr>
            <w:r w:rsidRPr="00E606C9">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w:t>
            </w:r>
            <w:r w:rsidRPr="000472F7">
              <w:t xml:space="preserve">рынке ценных бумаг", при условии, что предметом договора </w:t>
            </w:r>
            <w:r w:rsidRPr="00E606C9">
              <w:t>репо могут быть только активы, включаемые в состав активов Фонда, в соответствии с настоящими Правилами.</w:t>
            </w:r>
          </w:p>
          <w:p w:rsidR="008D6329" w:rsidRPr="00E606C9" w:rsidRDefault="0043627D" w:rsidP="004A026A">
            <w:pPr>
              <w:ind w:firstLine="540"/>
              <w:jc w:val="both"/>
            </w:pPr>
            <w:r w:rsidRPr="00E606C9">
              <w:t>Для целей абзаца седьмого и восьмого настоящего 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E16F1E" w:rsidRPr="001E179C" w:rsidTr="00BD77EF">
        <w:trPr>
          <w:trHeight w:val="3833"/>
        </w:trPr>
        <w:tc>
          <w:tcPr>
            <w:tcW w:w="709" w:type="dxa"/>
          </w:tcPr>
          <w:p w:rsidR="00E16F1E" w:rsidRDefault="00E16F1E" w:rsidP="004A026A">
            <w:pPr>
              <w:jc w:val="center"/>
            </w:pPr>
            <w:r>
              <w:t>3.</w:t>
            </w:r>
          </w:p>
        </w:tc>
        <w:tc>
          <w:tcPr>
            <w:tcW w:w="4962" w:type="dxa"/>
          </w:tcPr>
          <w:p w:rsidR="00E16F1E" w:rsidRPr="004F716C" w:rsidRDefault="00E16F1E" w:rsidP="000472F7">
            <w:pPr>
              <w:tabs>
                <w:tab w:val="num" w:pos="1080"/>
              </w:tabs>
              <w:ind w:left="34" w:firstLine="425"/>
              <w:jc w:val="both"/>
              <w:rPr>
                <w:color w:val="000000"/>
              </w:rPr>
            </w:pPr>
            <w:r>
              <w:rPr>
                <w:color w:val="000000"/>
              </w:rPr>
              <w:t xml:space="preserve">25. </w:t>
            </w:r>
            <w:r w:rsidRPr="004F716C">
              <w:rPr>
                <w:color w:val="000000"/>
              </w:rPr>
              <w:t>Управляющая компания обязана:</w:t>
            </w:r>
          </w:p>
          <w:p w:rsidR="00E16F1E" w:rsidRPr="004F716C" w:rsidRDefault="00E16F1E" w:rsidP="000472F7">
            <w:pPr>
              <w:ind w:left="34" w:firstLine="425"/>
              <w:jc w:val="both"/>
              <w:rPr>
                <w:color w:val="000000"/>
              </w:rPr>
            </w:pPr>
            <w:r w:rsidRPr="004F716C">
              <w:rPr>
                <w:color w:val="00000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E16F1E" w:rsidRPr="004F716C" w:rsidRDefault="00E16F1E" w:rsidP="000472F7">
            <w:pPr>
              <w:ind w:left="34" w:firstLine="425"/>
              <w:jc w:val="both"/>
              <w:rPr>
                <w:color w:val="000000"/>
              </w:rPr>
            </w:pPr>
            <w:r w:rsidRPr="004F716C">
              <w:rPr>
                <w:color w:val="000000"/>
              </w:rPr>
              <w:t>2) при осуществлении доверительного управления Фондом действовать разумно и добросовестно в интересах владельцев инвестиционных паев;</w:t>
            </w:r>
          </w:p>
          <w:p w:rsidR="00E16F1E" w:rsidRPr="004F716C" w:rsidRDefault="00E16F1E" w:rsidP="000472F7">
            <w:pPr>
              <w:ind w:left="34" w:firstLine="425"/>
              <w:jc w:val="both"/>
              <w:rPr>
                <w:color w:val="000000"/>
              </w:rPr>
            </w:pPr>
            <w:r w:rsidRPr="004F716C">
              <w:rPr>
                <w:color w:val="000000"/>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E16F1E" w:rsidRPr="004F716C" w:rsidRDefault="00E16F1E" w:rsidP="000472F7">
            <w:pPr>
              <w:ind w:left="34" w:firstLine="425"/>
              <w:jc w:val="both"/>
              <w:rPr>
                <w:color w:val="000000"/>
              </w:rPr>
            </w:pPr>
            <w:r w:rsidRPr="004F716C">
              <w:rPr>
                <w:color w:val="000000"/>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E16F1E" w:rsidRPr="004F716C" w:rsidRDefault="00E16F1E" w:rsidP="000472F7">
            <w:pPr>
              <w:ind w:left="34" w:firstLine="425"/>
              <w:jc w:val="both"/>
              <w:rPr>
                <w:color w:val="000000"/>
              </w:rPr>
            </w:pPr>
            <w:r w:rsidRPr="004F716C">
              <w:rPr>
                <w:color w:val="000000"/>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E16F1E" w:rsidRPr="004F716C" w:rsidRDefault="00E16F1E" w:rsidP="000472F7">
            <w:pPr>
              <w:ind w:left="34" w:firstLine="425"/>
              <w:jc w:val="both"/>
              <w:rPr>
                <w:color w:val="000000"/>
              </w:rPr>
            </w:pPr>
            <w:r w:rsidRPr="004F716C">
              <w:rPr>
                <w:color w:val="000000"/>
              </w:rPr>
              <w:t xml:space="preserve">6) раскрывать отчеты, требования к которым устанавливаются Банком России. </w:t>
            </w:r>
          </w:p>
          <w:p w:rsidR="00E16F1E" w:rsidRPr="00A50E8C" w:rsidRDefault="00E16F1E" w:rsidP="000472F7">
            <w:pPr>
              <w:tabs>
                <w:tab w:val="left" w:pos="263"/>
              </w:tabs>
              <w:ind w:left="34" w:firstLine="425"/>
              <w:jc w:val="both"/>
            </w:pPr>
          </w:p>
        </w:tc>
        <w:tc>
          <w:tcPr>
            <w:tcW w:w="4961" w:type="dxa"/>
          </w:tcPr>
          <w:p w:rsidR="00E16F1E" w:rsidRPr="004F716C" w:rsidRDefault="00E16F1E" w:rsidP="000472F7">
            <w:pPr>
              <w:tabs>
                <w:tab w:val="num" w:pos="1080"/>
              </w:tabs>
              <w:ind w:left="33" w:firstLine="567"/>
              <w:jc w:val="both"/>
              <w:rPr>
                <w:color w:val="000000"/>
              </w:rPr>
            </w:pPr>
            <w:r>
              <w:rPr>
                <w:color w:val="000000"/>
              </w:rPr>
              <w:t xml:space="preserve">25. </w:t>
            </w:r>
            <w:r w:rsidRPr="004F716C">
              <w:rPr>
                <w:color w:val="000000"/>
              </w:rPr>
              <w:t>Управляющая компания обязана:</w:t>
            </w:r>
          </w:p>
          <w:p w:rsidR="00E16F1E" w:rsidRDefault="00E16F1E" w:rsidP="000472F7">
            <w:pPr>
              <w:ind w:left="33" w:firstLine="567"/>
              <w:jc w:val="both"/>
              <w:rPr>
                <w:color w:val="000000"/>
              </w:rPr>
            </w:pPr>
            <w:r w:rsidRPr="004F716C">
              <w:rPr>
                <w:color w:val="00000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9B157D" w:rsidRPr="006837C9" w:rsidRDefault="009B157D" w:rsidP="000472F7">
            <w:pPr>
              <w:ind w:left="33" w:firstLine="567"/>
              <w:jc w:val="both"/>
              <w:rPr>
                <w:color w:val="000000"/>
              </w:rPr>
            </w:pPr>
            <w:r w:rsidRPr="000472F7">
              <w:t>1.1) при осуществлении своей деятельности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в соответствии с Федеральным законом «Об инвестиционных фондах»;</w:t>
            </w:r>
          </w:p>
          <w:p w:rsidR="00E16F1E" w:rsidRPr="004F716C" w:rsidRDefault="00E16F1E" w:rsidP="000472F7">
            <w:pPr>
              <w:ind w:left="33" w:firstLine="567"/>
              <w:jc w:val="both"/>
              <w:rPr>
                <w:color w:val="000000"/>
              </w:rPr>
            </w:pPr>
            <w:r w:rsidRPr="004F716C">
              <w:rPr>
                <w:color w:val="000000"/>
              </w:rPr>
              <w:t>2) при осуществлении доверительного управления Фондом действовать разумно и добросовестно в интересах владельцев инвестиционных паев;</w:t>
            </w:r>
          </w:p>
          <w:p w:rsidR="00E16F1E" w:rsidRPr="004F716C" w:rsidRDefault="00E16F1E" w:rsidP="000472F7">
            <w:pPr>
              <w:ind w:left="33" w:firstLine="567"/>
              <w:jc w:val="both"/>
              <w:rPr>
                <w:color w:val="000000"/>
              </w:rPr>
            </w:pPr>
            <w:r w:rsidRPr="004F716C">
              <w:rPr>
                <w:color w:val="000000"/>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E16F1E" w:rsidRPr="004F716C" w:rsidRDefault="00E16F1E" w:rsidP="000472F7">
            <w:pPr>
              <w:ind w:left="33" w:firstLine="567"/>
              <w:jc w:val="both"/>
              <w:rPr>
                <w:color w:val="000000"/>
              </w:rPr>
            </w:pPr>
            <w:r w:rsidRPr="004F716C">
              <w:rPr>
                <w:color w:val="000000"/>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E16F1E" w:rsidRPr="004F716C" w:rsidRDefault="00E16F1E" w:rsidP="000472F7">
            <w:pPr>
              <w:ind w:left="33" w:firstLine="567"/>
              <w:jc w:val="both"/>
              <w:rPr>
                <w:color w:val="000000"/>
              </w:rPr>
            </w:pPr>
            <w:r w:rsidRPr="004F716C">
              <w:rPr>
                <w:color w:val="000000"/>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E16F1E" w:rsidRPr="004F716C" w:rsidRDefault="00E16F1E" w:rsidP="000472F7">
            <w:pPr>
              <w:ind w:left="33" w:firstLine="567"/>
              <w:jc w:val="both"/>
              <w:rPr>
                <w:color w:val="000000"/>
              </w:rPr>
            </w:pPr>
            <w:r w:rsidRPr="004F716C">
              <w:rPr>
                <w:color w:val="000000"/>
              </w:rPr>
              <w:t xml:space="preserve">6) раскрывать отчеты, требования к которым устанавливаются Банком России. </w:t>
            </w:r>
          </w:p>
          <w:p w:rsidR="00E16F1E" w:rsidRPr="003C750E" w:rsidRDefault="00E16F1E" w:rsidP="000472F7">
            <w:pPr>
              <w:tabs>
                <w:tab w:val="left" w:pos="263"/>
              </w:tabs>
              <w:ind w:left="33" w:firstLine="567"/>
              <w:jc w:val="both"/>
            </w:pPr>
          </w:p>
        </w:tc>
      </w:tr>
      <w:tr w:rsidR="00BD77EF" w:rsidRPr="001E179C" w:rsidTr="00BD77EF">
        <w:trPr>
          <w:trHeight w:val="3833"/>
        </w:trPr>
        <w:tc>
          <w:tcPr>
            <w:tcW w:w="709" w:type="dxa"/>
          </w:tcPr>
          <w:p w:rsidR="00BD77EF" w:rsidRDefault="00E16F1E" w:rsidP="004A026A">
            <w:pPr>
              <w:jc w:val="center"/>
            </w:pPr>
            <w:r>
              <w:t>4</w:t>
            </w:r>
            <w:r w:rsidR="00BD77EF">
              <w:t>.</w:t>
            </w:r>
          </w:p>
        </w:tc>
        <w:tc>
          <w:tcPr>
            <w:tcW w:w="4962" w:type="dxa"/>
          </w:tcPr>
          <w:p w:rsidR="00BD77EF" w:rsidRDefault="00A50E8C" w:rsidP="004A026A">
            <w:pPr>
              <w:tabs>
                <w:tab w:val="left" w:pos="263"/>
              </w:tabs>
              <w:jc w:val="both"/>
            </w:pPr>
            <w:r w:rsidRPr="00A50E8C">
              <w:t>89.</w:t>
            </w:r>
            <w:r w:rsidRPr="00A50E8C">
              <w:tab/>
              <w:t>За счет имущества, составляющего Фонд, выплачивается вознаграждение Управляющей компании в размере 1 (Одного) процента среднегодовой стоимости чистых активов Фонда, а также Специализированному депозитарию, Регистратору в размере не более 0,25 (Ноля целых двадцати пяти сотых) процента среднегодовой стоимости чистых активов Фонда.</w:t>
            </w:r>
          </w:p>
        </w:tc>
        <w:tc>
          <w:tcPr>
            <w:tcW w:w="4961" w:type="dxa"/>
          </w:tcPr>
          <w:p w:rsidR="00BD77EF" w:rsidRPr="009B157D" w:rsidRDefault="003C750E" w:rsidP="004A026A">
            <w:pPr>
              <w:tabs>
                <w:tab w:val="left" w:pos="263"/>
              </w:tabs>
              <w:jc w:val="both"/>
            </w:pPr>
            <w:r w:rsidRPr="009B157D">
              <w:t>89.</w:t>
            </w:r>
            <w:r w:rsidRPr="009B157D">
              <w:tab/>
              <w:t>За счет имущества, составляющего Фонд, выплачивается вознаграждение Управляющей компании в размере 1,3 (Одно</w:t>
            </w:r>
            <w:r w:rsidR="009B157D">
              <w:t>й</w:t>
            </w:r>
            <w:r w:rsidRPr="000472F7">
              <w:t xml:space="preserve"> цело</w:t>
            </w:r>
            <w:r w:rsidR="009B157D">
              <w:t>й</w:t>
            </w:r>
            <w:r w:rsidRPr="000472F7">
              <w:t xml:space="preserve"> трех десятых) процента среднегодовой стоимости чистых активов Фонда, а также Специализированному депозитарию, Регистратору в размере не более 0,25 (Ноля целых двадцати пяти сотых) процента среднегодовой стоимости чистых активов Фонда.</w:t>
            </w:r>
          </w:p>
        </w:tc>
      </w:tr>
      <w:tr w:rsidR="003C750E" w:rsidRPr="001E179C" w:rsidTr="00BD77EF">
        <w:trPr>
          <w:trHeight w:val="3833"/>
        </w:trPr>
        <w:tc>
          <w:tcPr>
            <w:tcW w:w="709" w:type="dxa"/>
          </w:tcPr>
          <w:p w:rsidR="003C750E" w:rsidRDefault="00E16F1E" w:rsidP="004A026A">
            <w:pPr>
              <w:jc w:val="center"/>
            </w:pPr>
            <w:r>
              <w:t>5</w:t>
            </w:r>
            <w:r w:rsidR="00A50E8C">
              <w:t>.</w:t>
            </w:r>
          </w:p>
        </w:tc>
        <w:tc>
          <w:tcPr>
            <w:tcW w:w="4962" w:type="dxa"/>
          </w:tcPr>
          <w:p w:rsidR="003C750E" w:rsidRDefault="00A50E8C" w:rsidP="004A026A">
            <w:pPr>
              <w:tabs>
                <w:tab w:val="left" w:pos="263"/>
              </w:tabs>
              <w:jc w:val="both"/>
            </w:pPr>
            <w:r w:rsidRPr="00A50E8C">
              <w:t>93.</w:t>
            </w:r>
            <w:r w:rsidRPr="00A50E8C">
              <w:tab/>
              <w:t>Расходы, не предусмотренные пунктом 92 настоящих Правил, а  также вознаграждения в части превышения размеров, указанных в пункте 89 настоящих Правил, или 1,25 (Одной целой двадцать пять сотых) процента среднегодовой стоимости чистых активов Фонда, определяемой в порядке, установленном нормативными актами в сфере финансовых рынков, выплачиваются Управляющей компанией за счет своих собственных средств.</w:t>
            </w:r>
          </w:p>
        </w:tc>
        <w:tc>
          <w:tcPr>
            <w:tcW w:w="4961" w:type="dxa"/>
          </w:tcPr>
          <w:p w:rsidR="003C750E" w:rsidRPr="003C750E" w:rsidRDefault="00A50E8C" w:rsidP="00A50E8C">
            <w:pPr>
              <w:tabs>
                <w:tab w:val="left" w:pos="263"/>
              </w:tabs>
              <w:jc w:val="both"/>
            </w:pPr>
            <w:r w:rsidRPr="00A50E8C">
              <w:t>93.</w:t>
            </w:r>
            <w:r w:rsidRPr="00A50E8C">
              <w:tab/>
              <w:t xml:space="preserve">Расходы, не предусмотренные пунктом 92 настоящих Правил, а  также вознаграждения в части превышения размеров, указанных в пункте 89 настоящих Правил, </w:t>
            </w:r>
            <w:r w:rsidRPr="006D572D">
              <w:t xml:space="preserve">или 1,55 (Одной целой </w:t>
            </w:r>
            <w:r w:rsidRPr="000472F7">
              <w:t>пятьдесят</w:t>
            </w:r>
            <w:r w:rsidR="000855BC">
              <w:t>и</w:t>
            </w:r>
            <w:r w:rsidRPr="000472F7">
              <w:t xml:space="preserve"> пят</w:t>
            </w:r>
            <w:r w:rsidR="000855BC">
              <w:t>и</w:t>
            </w:r>
            <w:r w:rsidRPr="000472F7">
              <w:t xml:space="preserve"> сотых) процента среднегодовой стоимости чистых</w:t>
            </w:r>
            <w:r w:rsidRPr="00A50E8C">
              <w:t xml:space="preserve"> активов Фонда, определяемой в порядке, установленном нормативными актами в сфере финансовых рынков, выплачиваются Управляющей компанией за счет своих собственных средств.</w:t>
            </w:r>
          </w:p>
        </w:tc>
      </w:tr>
    </w:tbl>
    <w:p w:rsidR="00063E1F" w:rsidRDefault="00063E1F" w:rsidP="00063E1F">
      <w:pPr>
        <w:ind w:firstLine="360"/>
        <w:jc w:val="center"/>
        <w:rPr>
          <w:color w:val="000000"/>
        </w:rPr>
      </w:pPr>
    </w:p>
    <w:p w:rsidR="00F043AD" w:rsidRDefault="00F043AD" w:rsidP="00063E1F">
      <w:pPr>
        <w:ind w:firstLine="360"/>
        <w:jc w:val="center"/>
        <w:rPr>
          <w:color w:val="000000"/>
        </w:rPr>
      </w:pPr>
    </w:p>
    <w:p w:rsidR="00F043AD" w:rsidRDefault="00F043AD" w:rsidP="00063E1F">
      <w:pPr>
        <w:ind w:firstLine="360"/>
        <w:jc w:val="center"/>
        <w:rPr>
          <w:color w:val="000000"/>
        </w:rPr>
      </w:pPr>
    </w:p>
    <w:p w:rsidR="00F043AD" w:rsidRPr="004F716C" w:rsidRDefault="00F043AD" w:rsidP="00F043AD">
      <w:pPr>
        <w:pStyle w:val="HTML"/>
        <w:jc w:val="both"/>
        <w:rPr>
          <w:rFonts w:ascii="Times New Roman" w:hAnsi="Times New Roman" w:cs="Times New Roman"/>
          <w:b/>
          <w:bCs/>
          <w:color w:val="000000"/>
          <w:sz w:val="24"/>
          <w:szCs w:val="24"/>
        </w:rPr>
      </w:pPr>
      <w:r w:rsidRPr="004F716C">
        <w:rPr>
          <w:rFonts w:ascii="Times New Roman" w:hAnsi="Times New Roman" w:cs="Times New Roman"/>
          <w:b/>
          <w:bCs/>
          <w:color w:val="000000"/>
          <w:sz w:val="24"/>
          <w:szCs w:val="24"/>
        </w:rPr>
        <w:t xml:space="preserve">Генеральный директор    </w:t>
      </w:r>
    </w:p>
    <w:p w:rsidR="00F043AD" w:rsidRPr="002D31B9" w:rsidRDefault="00F043AD" w:rsidP="00F043AD">
      <w:pPr>
        <w:pStyle w:val="HTML"/>
        <w:jc w:val="both"/>
        <w:rPr>
          <w:rFonts w:ascii="Times New Roman" w:hAnsi="Times New Roman" w:cs="Times New Roman"/>
          <w:b/>
          <w:bCs/>
          <w:color w:val="000000"/>
          <w:sz w:val="24"/>
          <w:szCs w:val="24"/>
        </w:rPr>
      </w:pPr>
      <w:r w:rsidRPr="004F716C">
        <w:rPr>
          <w:rFonts w:ascii="Times New Roman" w:hAnsi="Times New Roman" w:cs="Times New Roman"/>
          <w:b/>
          <w:bCs/>
          <w:color w:val="000000"/>
          <w:sz w:val="24"/>
          <w:szCs w:val="24"/>
        </w:rPr>
        <w:t xml:space="preserve">ООО УК «АК БАРС КАПИТАЛ»                                                                    </w:t>
      </w:r>
      <w:bookmarkStart w:id="0" w:name="p_1"/>
      <w:bookmarkStart w:id="1" w:name="p_2"/>
      <w:bookmarkStart w:id="2" w:name="p_3"/>
      <w:bookmarkStart w:id="3" w:name="p_4"/>
      <w:bookmarkStart w:id="4" w:name="p_5"/>
      <w:bookmarkStart w:id="5" w:name="p_6"/>
      <w:bookmarkStart w:id="6" w:name="p_7"/>
      <w:bookmarkStart w:id="7" w:name="p_8"/>
      <w:bookmarkStart w:id="8" w:name="p_9"/>
      <w:bookmarkStart w:id="9" w:name="p_10"/>
      <w:bookmarkStart w:id="10" w:name="p_11"/>
      <w:bookmarkStart w:id="11" w:name="p_12"/>
      <w:bookmarkStart w:id="12" w:name="p_13"/>
      <w:bookmarkStart w:id="13" w:name="p_14"/>
      <w:bookmarkStart w:id="14" w:name="p_15"/>
      <w:bookmarkStart w:id="15" w:name="p_16"/>
      <w:bookmarkStart w:id="16" w:name="p_17"/>
      <w:bookmarkStart w:id="17" w:name="p_18"/>
      <w:bookmarkStart w:id="18" w:name="p_19"/>
      <w:bookmarkStart w:id="19" w:name="p_21"/>
      <w:bookmarkStart w:id="20" w:name="p_22"/>
      <w:bookmarkStart w:id="21" w:name="p_23"/>
      <w:bookmarkStart w:id="22" w:name="p_26"/>
      <w:bookmarkStart w:id="23" w:name="p_27"/>
      <w:bookmarkStart w:id="24" w:name="p_28"/>
      <w:bookmarkStart w:id="25" w:name="p_29"/>
      <w:bookmarkStart w:id="26" w:name="p_30"/>
      <w:bookmarkStart w:id="27" w:name="p_31"/>
      <w:bookmarkStart w:id="28" w:name="p_32"/>
      <w:bookmarkStart w:id="29" w:name="p_33"/>
      <w:bookmarkStart w:id="30" w:name="Закладка_13_05_2008"/>
      <w:bookmarkStart w:id="31" w:name="p_34"/>
      <w:bookmarkStart w:id="32" w:name="p_400"/>
      <w:bookmarkStart w:id="33" w:name="p_35"/>
      <w:bookmarkStart w:id="34" w:name="p_36"/>
      <w:bookmarkStart w:id="35" w:name="p_37"/>
      <w:bookmarkStart w:id="36" w:name="p_38"/>
      <w:bookmarkStart w:id="37" w:name="p_39"/>
      <w:bookmarkStart w:id="38" w:name="p_40"/>
      <w:bookmarkStart w:id="39" w:name="p_41"/>
      <w:bookmarkStart w:id="40" w:name="p_42"/>
      <w:bookmarkStart w:id="41" w:name="p_43"/>
      <w:bookmarkStart w:id="42" w:name="p_25"/>
      <w:bookmarkStart w:id="43" w:name="p_44"/>
      <w:bookmarkStart w:id="44" w:name="p_45"/>
      <w:bookmarkStart w:id="45" w:name="p_200"/>
      <w:bookmarkStart w:id="46" w:name="p_500"/>
      <w:bookmarkStart w:id="47" w:name="p_600"/>
      <w:bookmarkStart w:id="48" w:name="p_46"/>
      <w:bookmarkStart w:id="49" w:name="p_47"/>
      <w:bookmarkStart w:id="50" w:name="p_64"/>
      <w:bookmarkStart w:id="51" w:name="p_51"/>
      <w:bookmarkStart w:id="52" w:name="p_52"/>
      <w:bookmarkStart w:id="53" w:name="p_53"/>
      <w:bookmarkStart w:id="54" w:name="p_54"/>
      <w:bookmarkStart w:id="55" w:name="p_55"/>
      <w:bookmarkStart w:id="56" w:name="p_56"/>
      <w:bookmarkStart w:id="57" w:name="p_24"/>
      <w:bookmarkStart w:id="58" w:name="Закладка_14_05_2008"/>
      <w:bookmarkStart w:id="59" w:name="p_57"/>
      <w:bookmarkStart w:id="60" w:name="p_65"/>
      <w:bookmarkStart w:id="61" w:name="p_66"/>
      <w:bookmarkStart w:id="62" w:name="p_67"/>
      <w:bookmarkStart w:id="63" w:name="p_68"/>
      <w:bookmarkStart w:id="64" w:name="p_69"/>
      <w:bookmarkStart w:id="65" w:name="p_70"/>
      <w:bookmarkStart w:id="66" w:name="p_71"/>
      <w:bookmarkStart w:id="67" w:name="p_72"/>
      <w:bookmarkStart w:id="68" w:name="p_73"/>
      <w:bookmarkStart w:id="69" w:name="p_74"/>
      <w:bookmarkStart w:id="70" w:name="p_75"/>
      <w:bookmarkStart w:id="71" w:name="p_77"/>
      <w:bookmarkStart w:id="72" w:name="Закладка_20_05_2008"/>
      <w:bookmarkStart w:id="73" w:name="p_78"/>
      <w:bookmarkStart w:id="74" w:name="p_800"/>
      <w:bookmarkStart w:id="75" w:name="p_79"/>
      <w:bookmarkStart w:id="76" w:name="p_81"/>
      <w:bookmarkStart w:id="77" w:name="p_82"/>
      <w:bookmarkStart w:id="78" w:name="p_83"/>
      <w:bookmarkStart w:id="79" w:name="p_85"/>
      <w:bookmarkStart w:id="80" w:name="p_84"/>
      <w:bookmarkStart w:id="81" w:name="p_900"/>
      <w:bookmarkStart w:id="82" w:name="p_86"/>
      <w:bookmarkStart w:id="83" w:name="p_1010"/>
      <w:bookmarkStart w:id="84" w:name="p_88"/>
      <w:bookmarkStart w:id="85" w:name="p_89"/>
      <w:bookmarkStart w:id="86" w:name="p_909"/>
      <w:bookmarkStart w:id="87" w:name="p_1011"/>
      <w:bookmarkStart w:id="88" w:name="Закладка_22_05_2008"/>
      <w:bookmarkStart w:id="89" w:name="p_91"/>
      <w:bookmarkStart w:id="90" w:name="p_92"/>
      <w:bookmarkStart w:id="91" w:name="p_93"/>
      <w:bookmarkStart w:id="92" w:name="p_94"/>
      <w:bookmarkStart w:id="93" w:name="p_95"/>
      <w:bookmarkStart w:id="94" w:name="p_96"/>
      <w:bookmarkStart w:id="95" w:name="p_1012"/>
      <w:bookmarkStart w:id="96" w:name="p_97"/>
      <w:bookmarkStart w:id="97" w:name="p_98"/>
      <w:bookmarkStart w:id="98" w:name="p_1013"/>
      <w:bookmarkStart w:id="99" w:name="p_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hAnsi="Times New Roman" w:cs="Times New Roman"/>
          <w:b/>
          <w:bCs/>
          <w:color w:val="000000"/>
          <w:sz w:val="24"/>
          <w:szCs w:val="24"/>
        </w:rPr>
        <w:t>Гайзатуллин Р.Р.</w:t>
      </w:r>
    </w:p>
    <w:p w:rsidR="00063E1F" w:rsidRDefault="00063E1F" w:rsidP="00063E1F">
      <w:pPr>
        <w:ind w:firstLine="360"/>
        <w:jc w:val="center"/>
        <w:rPr>
          <w:color w:val="000000"/>
        </w:rPr>
      </w:pPr>
    </w:p>
    <w:sectPr w:rsidR="00063E1F" w:rsidSect="00422633">
      <w:headerReference w:type="default" r:id="rId12"/>
      <w:footerReference w:type="default" r:id="rId13"/>
      <w:headerReference w:type="first" r:id="rId14"/>
      <w:footerReference w:type="first" r:id="rId15"/>
      <w:pgSz w:w="11906" w:h="16838"/>
      <w:pgMar w:top="567" w:right="567" w:bottom="567" w:left="1134"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BD" w:rsidRDefault="00940DBD" w:rsidP="00C0231F">
      <w:r>
        <w:separator/>
      </w:r>
    </w:p>
  </w:endnote>
  <w:endnote w:type="continuationSeparator" w:id="0">
    <w:p w:rsidR="00940DBD" w:rsidRDefault="00940DBD" w:rsidP="00C0231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29" w:rsidRDefault="008D6329">
    <w:pPr>
      <w:pStyle w:val="ac"/>
      <w:tabs>
        <w:tab w:val="clear" w:pos="4153"/>
        <w:tab w:val="clear" w:pos="8306"/>
        <w:tab w:val="center" w:pos="4820"/>
        <w:tab w:val="right" w:pos="9072"/>
      </w:tabs>
      <w:rPr>
        <w:rFonts w:ascii="Times New Roman" w:hAnsi="Times New Roman"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29" w:rsidRDefault="008D6329">
    <w:pPr>
      <w:pStyle w:val="ac"/>
      <w:tabs>
        <w:tab w:val="clear" w:pos="4153"/>
        <w:tab w:val="clear" w:pos="8306"/>
        <w:tab w:val="center" w:pos="4820"/>
        <w:tab w:val="right" w:pos="9072"/>
      </w:tabs>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BD" w:rsidRDefault="00940DBD" w:rsidP="00C0231F">
      <w:r>
        <w:separator/>
      </w:r>
    </w:p>
  </w:footnote>
  <w:footnote w:type="continuationSeparator" w:id="0">
    <w:p w:rsidR="00940DBD" w:rsidRDefault="00940DBD" w:rsidP="00C02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29" w:rsidRPr="00422633" w:rsidRDefault="008D6329">
    <w:pPr>
      <w:pStyle w:val="aa"/>
      <w:jc w:val="center"/>
      <w:rPr>
        <w:sz w:val="18"/>
      </w:rPr>
    </w:pPr>
    <w:r w:rsidRPr="00422633">
      <w:rPr>
        <w:sz w:val="20"/>
      </w:rPr>
      <w:fldChar w:fldCharType="begin"/>
    </w:r>
    <w:r w:rsidRPr="00422633">
      <w:rPr>
        <w:sz w:val="20"/>
      </w:rPr>
      <w:instrText xml:space="preserve"> PAGE   \* MERGEFORMAT </w:instrText>
    </w:r>
    <w:r w:rsidRPr="00422633">
      <w:rPr>
        <w:sz w:val="20"/>
      </w:rPr>
      <w:fldChar w:fldCharType="separate"/>
    </w:r>
    <w:r w:rsidR="00E566AC">
      <w:rPr>
        <w:noProof/>
        <w:sz w:val="20"/>
      </w:rPr>
      <w:t>12</w:t>
    </w:r>
    <w:r w:rsidRPr="00422633">
      <w:rPr>
        <w:sz w:val="20"/>
      </w:rPr>
      <w:fldChar w:fldCharType="end"/>
    </w:r>
  </w:p>
  <w:p w:rsidR="008D6329" w:rsidRDefault="008D6329" w:rsidP="00FC2945">
    <w:pPr>
      <w:pStyle w:val="aa"/>
      <w:tabs>
        <w:tab w:val="clear" w:pos="4153"/>
        <w:tab w:val="clear" w:pos="8306"/>
      </w:tabs>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29" w:rsidRDefault="008D6329">
    <w:pPr>
      <w:pStyle w:val="aa"/>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14C2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E8BA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CAC9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29C97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2E09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564D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5863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E4FC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2AE3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0AE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46A09D4"/>
    <w:multiLevelType w:val="hybridMultilevel"/>
    <w:tmpl w:val="5526EF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07655331"/>
    <w:multiLevelType w:val="hybridMultilevel"/>
    <w:tmpl w:val="2C227770"/>
    <w:lvl w:ilvl="0" w:tplc="04190013">
      <w:start w:val="1"/>
      <w:numFmt w:val="upperRoman"/>
      <w:lvlText w:val="%1."/>
      <w:lvlJc w:val="right"/>
      <w:pPr>
        <w:tabs>
          <w:tab w:val="num" w:pos="720"/>
        </w:tabs>
        <w:ind w:left="720" w:hanging="180"/>
      </w:pPr>
      <w:rPr>
        <w:rFonts w:cs="Times New Roman"/>
      </w:rPr>
    </w:lvl>
    <w:lvl w:ilvl="1" w:tplc="86665BEE">
      <w:start w:val="21"/>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0D2325C6"/>
    <w:multiLevelType w:val="hybridMultilevel"/>
    <w:tmpl w:val="99AA9026"/>
    <w:lvl w:ilvl="0" w:tplc="04190013">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0F0E2C42"/>
    <w:multiLevelType w:val="hybridMultilevel"/>
    <w:tmpl w:val="F7D072B2"/>
    <w:lvl w:ilvl="0" w:tplc="1302AFAE">
      <w:start w:val="5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3EC6DAA"/>
    <w:multiLevelType w:val="hybridMultilevel"/>
    <w:tmpl w:val="E052395C"/>
    <w:lvl w:ilvl="0" w:tplc="04190001">
      <w:start w:val="1"/>
      <w:numFmt w:val="bullet"/>
      <w:lvlText w:val=""/>
      <w:lvlJc w:val="left"/>
      <w:pPr>
        <w:tabs>
          <w:tab w:val="num" w:pos="1440"/>
        </w:tabs>
        <w:ind w:left="1440" w:hanging="360"/>
      </w:pPr>
      <w:rPr>
        <w:rFonts w:ascii="Symbol" w:hAnsi="Symbol" w:hint="default"/>
        <w:b w:val="0"/>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E125FFE"/>
    <w:multiLevelType w:val="hybridMultilevel"/>
    <w:tmpl w:val="C2C8295E"/>
    <w:lvl w:ilvl="0" w:tplc="4DA8A55C">
      <w:start w:val="86"/>
      <w:numFmt w:val="decimal"/>
      <w:lvlText w:val="%1."/>
      <w:lvlJc w:val="left"/>
      <w:pPr>
        <w:ind w:left="90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FED0570"/>
    <w:multiLevelType w:val="hybridMultilevel"/>
    <w:tmpl w:val="96BE9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31D5336"/>
    <w:multiLevelType w:val="hybridMultilevel"/>
    <w:tmpl w:val="F4CA82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3426118"/>
    <w:multiLevelType w:val="multilevel"/>
    <w:tmpl w:val="D89EA97E"/>
    <w:lvl w:ilvl="0">
      <w:start w:val="1"/>
      <w:numFmt w:val="upperRoman"/>
      <w:lvlText w:val="%1."/>
      <w:lvlJc w:val="right"/>
      <w:pPr>
        <w:tabs>
          <w:tab w:val="num" w:pos="720"/>
        </w:tabs>
        <w:ind w:left="720" w:hanging="180"/>
      </w:pPr>
      <w:rPr>
        <w:rFonts w:cs="Times New Roman"/>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2">
    <w:nsid w:val="258101CA"/>
    <w:multiLevelType w:val="multilevel"/>
    <w:tmpl w:val="30628C56"/>
    <w:lvl w:ilvl="0">
      <w:start w:val="1"/>
      <w:numFmt w:val="decimal"/>
      <w:lvlText w:val="%1."/>
      <w:lvlJc w:val="left"/>
      <w:pPr>
        <w:tabs>
          <w:tab w:val="num" w:pos="786"/>
        </w:tabs>
        <w:ind w:left="786" w:hanging="360"/>
      </w:pPr>
      <w:rPr>
        <w:rFonts w:ascii="Times New Roman" w:hAnsi="Times New Roman" w:cs="Times New Roman" w:hint="default"/>
        <w:b w:val="0"/>
        <w:bCs w:val="0"/>
        <w:i w:val="0"/>
        <w:iCs w:val="0"/>
      </w:rPr>
    </w:lvl>
    <w:lvl w:ilvl="1">
      <w:start w:val="4"/>
      <w:numFmt w:val="decimal"/>
      <w:isLgl/>
      <w:lvlText w:val="%1.%2."/>
      <w:lvlJc w:val="left"/>
      <w:pPr>
        <w:ind w:left="156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3">
    <w:nsid w:val="287B2A2F"/>
    <w:multiLevelType w:val="hybridMultilevel"/>
    <w:tmpl w:val="2F16A656"/>
    <w:lvl w:ilvl="0" w:tplc="6684715A">
      <w:start w:val="1"/>
      <w:numFmt w:val="bullet"/>
      <w:lvlText w:val=""/>
      <w:lvlJc w:val="left"/>
      <w:pPr>
        <w:tabs>
          <w:tab w:val="num" w:pos="1042"/>
        </w:tabs>
        <w:ind w:left="1042"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29457CF6"/>
    <w:multiLevelType w:val="hybridMultilevel"/>
    <w:tmpl w:val="F82EC450"/>
    <w:lvl w:ilvl="0" w:tplc="F86CF0BC">
      <w:start w:val="6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2EF36A7F"/>
    <w:multiLevelType w:val="hybridMultilevel"/>
    <w:tmpl w:val="85F69F36"/>
    <w:lvl w:ilvl="0" w:tplc="6E3A067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7">
    <w:nsid w:val="2FF04647"/>
    <w:multiLevelType w:val="hybridMultilevel"/>
    <w:tmpl w:val="C8F4B320"/>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28">
    <w:nsid w:val="309A2EF5"/>
    <w:multiLevelType w:val="hybridMultilevel"/>
    <w:tmpl w:val="AF9A457A"/>
    <w:lvl w:ilvl="0" w:tplc="04190001">
      <w:start w:val="1"/>
      <w:numFmt w:val="bullet"/>
      <w:lvlText w:val=""/>
      <w:lvlJc w:val="left"/>
      <w:pPr>
        <w:tabs>
          <w:tab w:val="num" w:pos="1380"/>
        </w:tabs>
        <w:ind w:left="1380" w:hanging="360"/>
      </w:pPr>
      <w:rPr>
        <w:rFonts w:ascii="Symbol" w:hAnsi="Symbol" w:hint="default"/>
        <w:sz w:val="24"/>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29">
    <w:nsid w:val="31ED17D3"/>
    <w:multiLevelType w:val="hybridMultilevel"/>
    <w:tmpl w:val="77986480"/>
    <w:lvl w:ilvl="0" w:tplc="E5EC4862">
      <w:start w:val="89"/>
      <w:numFmt w:val="decimal"/>
      <w:lvlText w:val="%1."/>
      <w:lvlJc w:val="left"/>
      <w:pPr>
        <w:ind w:left="928"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586129B"/>
    <w:multiLevelType w:val="hybridMultilevel"/>
    <w:tmpl w:val="10D4EC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38F13255"/>
    <w:multiLevelType w:val="hybridMultilevel"/>
    <w:tmpl w:val="52F61FBC"/>
    <w:lvl w:ilvl="0" w:tplc="B6F2E128">
      <w:start w:val="87"/>
      <w:numFmt w:val="decimal"/>
      <w:lvlText w:val="%1."/>
      <w:lvlJc w:val="left"/>
      <w:pPr>
        <w:ind w:left="90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8FF504E"/>
    <w:multiLevelType w:val="hybridMultilevel"/>
    <w:tmpl w:val="249863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1076A28"/>
    <w:multiLevelType w:val="hybridMultilevel"/>
    <w:tmpl w:val="C25CD478"/>
    <w:lvl w:ilvl="0" w:tplc="897CD0AA">
      <w:start w:val="9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4942B19"/>
    <w:multiLevelType w:val="hybridMultilevel"/>
    <w:tmpl w:val="4E9E8B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82500A6"/>
    <w:multiLevelType w:val="hybridMultilevel"/>
    <w:tmpl w:val="0E064D62"/>
    <w:lvl w:ilvl="0" w:tplc="49D00296">
      <w:start w:val="6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82A26E5"/>
    <w:multiLevelType w:val="hybridMultilevel"/>
    <w:tmpl w:val="AE266308"/>
    <w:lvl w:ilvl="0" w:tplc="04190011">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487447E7"/>
    <w:multiLevelType w:val="hybridMultilevel"/>
    <w:tmpl w:val="6212DA28"/>
    <w:lvl w:ilvl="0" w:tplc="AF723FA8">
      <w:start w:val="90"/>
      <w:numFmt w:val="decimal"/>
      <w:lvlText w:val="%1."/>
      <w:lvlJc w:val="left"/>
      <w:pPr>
        <w:ind w:left="90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94226D8"/>
    <w:multiLevelType w:val="hybridMultilevel"/>
    <w:tmpl w:val="89284874"/>
    <w:lvl w:ilvl="0" w:tplc="2C8C45A0">
      <w:start w:val="1"/>
      <w:numFmt w:val="upperRoman"/>
      <w:lvlText w:val="%1."/>
      <w:lvlJc w:val="left"/>
      <w:pPr>
        <w:tabs>
          <w:tab w:val="num" w:pos="780"/>
        </w:tabs>
        <w:ind w:left="780" w:hanging="72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39">
    <w:nsid w:val="4D6E3C57"/>
    <w:multiLevelType w:val="hybridMultilevel"/>
    <w:tmpl w:val="22A20AA0"/>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0">
    <w:nsid w:val="4F2E5200"/>
    <w:multiLevelType w:val="hybridMultilevel"/>
    <w:tmpl w:val="786E9C56"/>
    <w:lvl w:ilvl="0" w:tplc="42701516">
      <w:start w:val="1"/>
      <w:numFmt w:val="upperRoman"/>
      <w:lvlText w:val="%1."/>
      <w:lvlJc w:val="left"/>
      <w:pPr>
        <w:tabs>
          <w:tab w:val="num" w:pos="1080"/>
        </w:tabs>
        <w:ind w:left="1080" w:hanging="720"/>
      </w:pPr>
      <w:rPr>
        <w:rFonts w:cs="Times New Roman" w:hint="default"/>
      </w:rPr>
    </w:lvl>
    <w:lvl w:ilvl="1" w:tplc="CAFCCA3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4F5820C8"/>
    <w:multiLevelType w:val="multilevel"/>
    <w:tmpl w:val="FB9E9A1C"/>
    <w:lvl w:ilvl="0">
      <w:start w:val="22"/>
      <w:numFmt w:val="decimal"/>
      <w:lvlText w:val="%1."/>
      <w:lvlJc w:val="left"/>
      <w:pPr>
        <w:tabs>
          <w:tab w:val="num" w:pos="786"/>
        </w:tabs>
        <w:ind w:left="786" w:hanging="360"/>
      </w:pPr>
      <w:rPr>
        <w:rFonts w:ascii="Times New Roman" w:hAnsi="Times New Roman" w:cs="Times New Roman" w:hint="default"/>
        <w:b w:val="0"/>
        <w:bCs w:val="0"/>
        <w:i w:val="0"/>
        <w:iCs w:val="0"/>
        <w:sz w:val="24"/>
      </w:rPr>
    </w:lvl>
    <w:lvl w:ilvl="1">
      <w:start w:val="4"/>
      <w:numFmt w:val="decimal"/>
      <w:isLgl/>
      <w:lvlText w:val="%1.%2."/>
      <w:lvlJc w:val="left"/>
      <w:pPr>
        <w:ind w:left="156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2">
    <w:nsid w:val="581265B0"/>
    <w:multiLevelType w:val="hybridMultilevel"/>
    <w:tmpl w:val="BEB84C98"/>
    <w:lvl w:ilvl="0" w:tplc="D30887A0">
      <w:start w:val="1"/>
      <w:numFmt w:val="bullet"/>
      <w:lvlText w:val=""/>
      <w:lvlJc w:val="left"/>
      <w:pPr>
        <w:tabs>
          <w:tab w:val="num" w:pos="1042"/>
        </w:tabs>
        <w:ind w:left="1042"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3">
    <w:nsid w:val="599319D9"/>
    <w:multiLevelType w:val="multilevel"/>
    <w:tmpl w:val="A10497D2"/>
    <w:lvl w:ilvl="0">
      <w:start w:val="1"/>
      <w:numFmt w:val="bullet"/>
      <w:lvlText w:val=""/>
      <w:lvlJc w:val="left"/>
      <w:pPr>
        <w:tabs>
          <w:tab w:val="num" w:pos="1068"/>
        </w:tabs>
        <w:ind w:left="1068" w:hanging="360"/>
      </w:pPr>
      <w:rPr>
        <w:rFonts w:ascii="Symbol" w:hAnsi="Symbol" w:hint="default"/>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59FD0AFA"/>
    <w:multiLevelType w:val="hybridMultilevel"/>
    <w:tmpl w:val="6226AD08"/>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5">
    <w:nsid w:val="5B213D2A"/>
    <w:multiLevelType w:val="multilevel"/>
    <w:tmpl w:val="7194DE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E7C181B"/>
    <w:multiLevelType w:val="hybridMultilevel"/>
    <w:tmpl w:val="0B889F9A"/>
    <w:lvl w:ilvl="0" w:tplc="DFC29E7C">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5F3E0F24"/>
    <w:multiLevelType w:val="hybridMultilevel"/>
    <w:tmpl w:val="1B54CECC"/>
    <w:lvl w:ilvl="0" w:tplc="DFC29E7C">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F56365C"/>
    <w:multiLevelType w:val="hybridMultilevel"/>
    <w:tmpl w:val="5202A1D0"/>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9">
    <w:nsid w:val="60CE02F3"/>
    <w:multiLevelType w:val="multilevel"/>
    <w:tmpl w:val="2F16A656"/>
    <w:lvl w:ilvl="0">
      <w:start w:val="1"/>
      <w:numFmt w:val="bullet"/>
      <w:lvlText w:val=""/>
      <w:lvlJc w:val="left"/>
      <w:pPr>
        <w:tabs>
          <w:tab w:val="num" w:pos="1042"/>
        </w:tabs>
        <w:ind w:left="1042"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0">
    <w:nsid w:val="63E228F3"/>
    <w:multiLevelType w:val="multilevel"/>
    <w:tmpl w:val="73BA2A54"/>
    <w:lvl w:ilvl="0">
      <w:start w:val="1"/>
      <w:numFmt w:val="bullet"/>
      <w:lvlText w:val=""/>
      <w:lvlJc w:val="left"/>
      <w:pPr>
        <w:tabs>
          <w:tab w:val="num" w:pos="502"/>
        </w:tabs>
        <w:ind w:left="502" w:hanging="360"/>
      </w:pPr>
      <w:rPr>
        <w:rFonts w:ascii="Symbol" w:hAnsi="Symbol" w:hint="default"/>
      </w:rPr>
    </w:lvl>
    <w:lvl w:ilvl="1">
      <w:start w:val="1"/>
      <w:numFmt w:val="bullet"/>
      <w:lvlText w:val="o"/>
      <w:lvlJc w:val="left"/>
      <w:pPr>
        <w:tabs>
          <w:tab w:val="num" w:pos="1222"/>
        </w:tabs>
        <w:ind w:left="1222" w:hanging="360"/>
      </w:pPr>
      <w:rPr>
        <w:rFonts w:ascii="Courier New" w:hAnsi="Courier New"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51">
    <w:nsid w:val="76835591"/>
    <w:multiLevelType w:val="hybridMultilevel"/>
    <w:tmpl w:val="CBEEFD64"/>
    <w:lvl w:ilvl="0" w:tplc="91620AD4">
      <w:start w:val="88"/>
      <w:numFmt w:val="decimal"/>
      <w:lvlText w:val="%1."/>
      <w:lvlJc w:val="left"/>
      <w:pPr>
        <w:ind w:left="90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8122BDC"/>
    <w:multiLevelType w:val="hybridMultilevel"/>
    <w:tmpl w:val="8C7882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3">
    <w:nsid w:val="7D2C4E77"/>
    <w:multiLevelType w:val="hybridMultilevel"/>
    <w:tmpl w:val="E10E53C8"/>
    <w:lvl w:ilvl="0" w:tplc="DF80CB7C">
      <w:numFmt w:val="bullet"/>
      <w:lvlText w:val=""/>
      <w:lvlJc w:val="left"/>
      <w:pPr>
        <w:tabs>
          <w:tab w:val="num" w:pos="2520"/>
        </w:tabs>
        <w:ind w:left="2520" w:hanging="900"/>
      </w:pPr>
      <w:rPr>
        <w:rFonts w:ascii="Wingdings" w:eastAsia="Times New Roman" w:hAnsi="Wingdings"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num w:numId="1">
    <w:abstractNumId w:val="45"/>
  </w:num>
  <w:num w:numId="2">
    <w:abstractNumId w:val="32"/>
  </w:num>
  <w:num w:numId="3">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39"/>
  </w:num>
  <w:num w:numId="7">
    <w:abstractNumId w:val="18"/>
  </w:num>
  <w:num w:numId="8">
    <w:abstractNumId w:val="26"/>
  </w:num>
  <w:num w:numId="9">
    <w:abstractNumId w:val="21"/>
  </w:num>
  <w:num w:numId="10">
    <w:abstractNumId w:val="27"/>
  </w:num>
  <w:num w:numId="11">
    <w:abstractNumId w:val="28"/>
  </w:num>
  <w:num w:numId="12">
    <w:abstractNumId w:val="34"/>
  </w:num>
  <w:num w:numId="13">
    <w:abstractNumId w:val="14"/>
  </w:num>
  <w:num w:numId="14">
    <w:abstractNumId w:val="36"/>
  </w:num>
  <w:num w:numId="15">
    <w:abstractNumId w:val="19"/>
  </w:num>
  <w:num w:numId="16">
    <w:abstractNumId w:val="13"/>
  </w:num>
  <w:num w:numId="17">
    <w:abstractNumId w:val="3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40"/>
  </w:num>
  <w:num w:numId="30">
    <w:abstractNumId w:val="20"/>
  </w:num>
  <w:num w:numId="31">
    <w:abstractNumId w:val="22"/>
  </w:num>
  <w:num w:numId="32">
    <w:abstractNumId w:val="16"/>
  </w:num>
  <w:num w:numId="33">
    <w:abstractNumId w:val="23"/>
  </w:num>
  <w:num w:numId="34">
    <w:abstractNumId w:val="49"/>
  </w:num>
  <w:num w:numId="35">
    <w:abstractNumId w:val="42"/>
  </w:num>
  <w:num w:numId="36">
    <w:abstractNumId w:val="25"/>
  </w:num>
  <w:num w:numId="37">
    <w:abstractNumId w:val="44"/>
  </w:num>
  <w:num w:numId="38">
    <w:abstractNumId w:val="53"/>
  </w:num>
  <w:num w:numId="39">
    <w:abstractNumId w:val="24"/>
  </w:num>
  <w:num w:numId="40">
    <w:abstractNumId w:val="33"/>
  </w:num>
  <w:num w:numId="41">
    <w:abstractNumId w:val="29"/>
  </w:num>
  <w:num w:numId="42">
    <w:abstractNumId w:val="41"/>
  </w:num>
  <w:num w:numId="43">
    <w:abstractNumId w:val="30"/>
  </w:num>
  <w:num w:numId="44">
    <w:abstractNumId w:val="47"/>
  </w:num>
  <w:num w:numId="45">
    <w:abstractNumId w:val="46"/>
  </w:num>
  <w:num w:numId="46">
    <w:abstractNumId w:val="35"/>
  </w:num>
  <w:num w:numId="47">
    <w:abstractNumId w:val="37"/>
  </w:num>
  <w:num w:numId="48">
    <w:abstractNumId w:val="52"/>
  </w:num>
  <w:num w:numId="49">
    <w:abstractNumId w:val="51"/>
  </w:num>
  <w:num w:numId="50">
    <w:abstractNumId w:val="48"/>
  </w:num>
  <w:num w:numId="51">
    <w:abstractNumId w:val="15"/>
  </w:num>
  <w:num w:numId="52">
    <w:abstractNumId w:val="11"/>
  </w:num>
  <w:num w:numId="53">
    <w:abstractNumId w:val="31"/>
  </w:num>
  <w:num w:numId="54">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1476F"/>
    <w:rsid w:val="00000BF7"/>
    <w:rsid w:val="000024A6"/>
    <w:rsid w:val="000043DA"/>
    <w:rsid w:val="0001213B"/>
    <w:rsid w:val="00012477"/>
    <w:rsid w:val="0001476F"/>
    <w:rsid w:val="000236EC"/>
    <w:rsid w:val="00035957"/>
    <w:rsid w:val="00035D99"/>
    <w:rsid w:val="000472F7"/>
    <w:rsid w:val="00057B81"/>
    <w:rsid w:val="00063E1F"/>
    <w:rsid w:val="00065856"/>
    <w:rsid w:val="00070384"/>
    <w:rsid w:val="00085484"/>
    <w:rsid w:val="000855BC"/>
    <w:rsid w:val="00085957"/>
    <w:rsid w:val="000908A3"/>
    <w:rsid w:val="000958B3"/>
    <w:rsid w:val="000A08A1"/>
    <w:rsid w:val="000A1C1F"/>
    <w:rsid w:val="000A451B"/>
    <w:rsid w:val="000B1258"/>
    <w:rsid w:val="000B4D3B"/>
    <w:rsid w:val="000C42E7"/>
    <w:rsid w:val="000C6B47"/>
    <w:rsid w:val="000C7755"/>
    <w:rsid w:val="000D003D"/>
    <w:rsid w:val="000D56DE"/>
    <w:rsid w:val="000E1217"/>
    <w:rsid w:val="000E17C9"/>
    <w:rsid w:val="000E4C3F"/>
    <w:rsid w:val="000E54D7"/>
    <w:rsid w:val="000E5592"/>
    <w:rsid w:val="000E5D73"/>
    <w:rsid w:val="000F2ADE"/>
    <w:rsid w:val="000F4F20"/>
    <w:rsid w:val="001019D3"/>
    <w:rsid w:val="0010472C"/>
    <w:rsid w:val="00110F2A"/>
    <w:rsid w:val="00116D89"/>
    <w:rsid w:val="0012075C"/>
    <w:rsid w:val="00122E9F"/>
    <w:rsid w:val="0012337A"/>
    <w:rsid w:val="0012484C"/>
    <w:rsid w:val="0012709B"/>
    <w:rsid w:val="001278D3"/>
    <w:rsid w:val="001278E4"/>
    <w:rsid w:val="0013228B"/>
    <w:rsid w:val="00143066"/>
    <w:rsid w:val="0015490C"/>
    <w:rsid w:val="00165A5B"/>
    <w:rsid w:val="001724FF"/>
    <w:rsid w:val="001736A3"/>
    <w:rsid w:val="0017766C"/>
    <w:rsid w:val="00177E38"/>
    <w:rsid w:val="001853FE"/>
    <w:rsid w:val="001855A6"/>
    <w:rsid w:val="001876ED"/>
    <w:rsid w:val="001917BF"/>
    <w:rsid w:val="00193AEF"/>
    <w:rsid w:val="00194AF8"/>
    <w:rsid w:val="00196820"/>
    <w:rsid w:val="001A1664"/>
    <w:rsid w:val="001A4225"/>
    <w:rsid w:val="001A7410"/>
    <w:rsid w:val="001B27B7"/>
    <w:rsid w:val="001B39EF"/>
    <w:rsid w:val="001B65AB"/>
    <w:rsid w:val="001C72D2"/>
    <w:rsid w:val="001D0CA0"/>
    <w:rsid w:val="001D11AD"/>
    <w:rsid w:val="001D541F"/>
    <w:rsid w:val="001E179C"/>
    <w:rsid w:val="001E2308"/>
    <w:rsid w:val="001E3174"/>
    <w:rsid w:val="001E33FF"/>
    <w:rsid w:val="001E55CA"/>
    <w:rsid w:val="001E5F1D"/>
    <w:rsid w:val="001E63FB"/>
    <w:rsid w:val="001F35DF"/>
    <w:rsid w:val="00200CA5"/>
    <w:rsid w:val="00200D02"/>
    <w:rsid w:val="00206546"/>
    <w:rsid w:val="002073FF"/>
    <w:rsid w:val="002075A9"/>
    <w:rsid w:val="00207EAE"/>
    <w:rsid w:val="002111B9"/>
    <w:rsid w:val="00212405"/>
    <w:rsid w:val="002201A7"/>
    <w:rsid w:val="00221ACD"/>
    <w:rsid w:val="00225D78"/>
    <w:rsid w:val="00230D1C"/>
    <w:rsid w:val="00240EC7"/>
    <w:rsid w:val="002544B5"/>
    <w:rsid w:val="002551ED"/>
    <w:rsid w:val="00260CA7"/>
    <w:rsid w:val="00262DA0"/>
    <w:rsid w:val="00262ED9"/>
    <w:rsid w:val="00264070"/>
    <w:rsid w:val="00266750"/>
    <w:rsid w:val="00266E2E"/>
    <w:rsid w:val="00271961"/>
    <w:rsid w:val="00274D78"/>
    <w:rsid w:val="00276A0F"/>
    <w:rsid w:val="002879AB"/>
    <w:rsid w:val="002918F6"/>
    <w:rsid w:val="00293E27"/>
    <w:rsid w:val="0029636E"/>
    <w:rsid w:val="00297769"/>
    <w:rsid w:val="002A09DC"/>
    <w:rsid w:val="002A5F45"/>
    <w:rsid w:val="002B0C5E"/>
    <w:rsid w:val="002B0D05"/>
    <w:rsid w:val="002B44E5"/>
    <w:rsid w:val="002B63BC"/>
    <w:rsid w:val="002C0248"/>
    <w:rsid w:val="002C3DBB"/>
    <w:rsid w:val="002C5512"/>
    <w:rsid w:val="002C5589"/>
    <w:rsid w:val="002D31B9"/>
    <w:rsid w:val="002D32F7"/>
    <w:rsid w:val="002E039B"/>
    <w:rsid w:val="002E3466"/>
    <w:rsid w:val="002E3EC0"/>
    <w:rsid w:val="002E5852"/>
    <w:rsid w:val="002F3B58"/>
    <w:rsid w:val="002F714E"/>
    <w:rsid w:val="00301FF4"/>
    <w:rsid w:val="003048E4"/>
    <w:rsid w:val="00312855"/>
    <w:rsid w:val="00320669"/>
    <w:rsid w:val="003223F1"/>
    <w:rsid w:val="00322A81"/>
    <w:rsid w:val="00331D57"/>
    <w:rsid w:val="00333622"/>
    <w:rsid w:val="00336166"/>
    <w:rsid w:val="00347F2E"/>
    <w:rsid w:val="00350B9A"/>
    <w:rsid w:val="003522FF"/>
    <w:rsid w:val="00356187"/>
    <w:rsid w:val="00356710"/>
    <w:rsid w:val="003635A7"/>
    <w:rsid w:val="00371243"/>
    <w:rsid w:val="00373E7F"/>
    <w:rsid w:val="0037726D"/>
    <w:rsid w:val="0038423E"/>
    <w:rsid w:val="003906CE"/>
    <w:rsid w:val="003951A7"/>
    <w:rsid w:val="003A6AC3"/>
    <w:rsid w:val="003A758D"/>
    <w:rsid w:val="003B169F"/>
    <w:rsid w:val="003B3424"/>
    <w:rsid w:val="003C4304"/>
    <w:rsid w:val="003C750E"/>
    <w:rsid w:val="003D101D"/>
    <w:rsid w:val="003D2249"/>
    <w:rsid w:val="003D28A3"/>
    <w:rsid w:val="003E48AB"/>
    <w:rsid w:val="003E4E8F"/>
    <w:rsid w:val="003F0B70"/>
    <w:rsid w:val="003F28FB"/>
    <w:rsid w:val="003F76FC"/>
    <w:rsid w:val="00404275"/>
    <w:rsid w:val="004109FB"/>
    <w:rsid w:val="004123A5"/>
    <w:rsid w:val="0041350A"/>
    <w:rsid w:val="00413A57"/>
    <w:rsid w:val="00413B7F"/>
    <w:rsid w:val="00414DE8"/>
    <w:rsid w:val="00416C0B"/>
    <w:rsid w:val="00416C5C"/>
    <w:rsid w:val="00422633"/>
    <w:rsid w:val="004236B1"/>
    <w:rsid w:val="00427DD2"/>
    <w:rsid w:val="0043021B"/>
    <w:rsid w:val="004344E7"/>
    <w:rsid w:val="0043627D"/>
    <w:rsid w:val="00442AE6"/>
    <w:rsid w:val="00443B0D"/>
    <w:rsid w:val="00443CA6"/>
    <w:rsid w:val="004515F6"/>
    <w:rsid w:val="0045784C"/>
    <w:rsid w:val="00465CD1"/>
    <w:rsid w:val="00472311"/>
    <w:rsid w:val="004723F6"/>
    <w:rsid w:val="004741E7"/>
    <w:rsid w:val="0047604E"/>
    <w:rsid w:val="004821DB"/>
    <w:rsid w:val="00484BB0"/>
    <w:rsid w:val="00486B7C"/>
    <w:rsid w:val="00487311"/>
    <w:rsid w:val="004956EA"/>
    <w:rsid w:val="004A0098"/>
    <w:rsid w:val="004A026A"/>
    <w:rsid w:val="004A18B1"/>
    <w:rsid w:val="004A2D02"/>
    <w:rsid w:val="004A6690"/>
    <w:rsid w:val="004A6CD1"/>
    <w:rsid w:val="004B49DF"/>
    <w:rsid w:val="004B7C10"/>
    <w:rsid w:val="004C2B6B"/>
    <w:rsid w:val="004C2ECE"/>
    <w:rsid w:val="004C349C"/>
    <w:rsid w:val="004C3D47"/>
    <w:rsid w:val="004C3F75"/>
    <w:rsid w:val="004C4A94"/>
    <w:rsid w:val="004D355F"/>
    <w:rsid w:val="004D7F72"/>
    <w:rsid w:val="004E031E"/>
    <w:rsid w:val="004E4E8D"/>
    <w:rsid w:val="004F3BBE"/>
    <w:rsid w:val="004F48EB"/>
    <w:rsid w:val="004F53E0"/>
    <w:rsid w:val="004F716C"/>
    <w:rsid w:val="005013F8"/>
    <w:rsid w:val="005022AC"/>
    <w:rsid w:val="005025AB"/>
    <w:rsid w:val="005036B4"/>
    <w:rsid w:val="0050452A"/>
    <w:rsid w:val="00506B59"/>
    <w:rsid w:val="005169E4"/>
    <w:rsid w:val="005207F2"/>
    <w:rsid w:val="00522130"/>
    <w:rsid w:val="005267AD"/>
    <w:rsid w:val="005269AC"/>
    <w:rsid w:val="00530FBA"/>
    <w:rsid w:val="005401CE"/>
    <w:rsid w:val="005408F9"/>
    <w:rsid w:val="0054496B"/>
    <w:rsid w:val="00545F6C"/>
    <w:rsid w:val="00553CC5"/>
    <w:rsid w:val="00554E74"/>
    <w:rsid w:val="00556FFD"/>
    <w:rsid w:val="00561593"/>
    <w:rsid w:val="00563059"/>
    <w:rsid w:val="00564142"/>
    <w:rsid w:val="00566B0A"/>
    <w:rsid w:val="005707CE"/>
    <w:rsid w:val="00580D75"/>
    <w:rsid w:val="00584EF3"/>
    <w:rsid w:val="00595081"/>
    <w:rsid w:val="005950DA"/>
    <w:rsid w:val="005A2443"/>
    <w:rsid w:val="005A5023"/>
    <w:rsid w:val="005A578C"/>
    <w:rsid w:val="005B0C7F"/>
    <w:rsid w:val="005B55E3"/>
    <w:rsid w:val="005C096D"/>
    <w:rsid w:val="005C2C6D"/>
    <w:rsid w:val="005C4F08"/>
    <w:rsid w:val="005D27F3"/>
    <w:rsid w:val="005D2D81"/>
    <w:rsid w:val="005E17F2"/>
    <w:rsid w:val="005E25EA"/>
    <w:rsid w:val="005F3640"/>
    <w:rsid w:val="005F4646"/>
    <w:rsid w:val="005F4A31"/>
    <w:rsid w:val="005F5A62"/>
    <w:rsid w:val="005F784F"/>
    <w:rsid w:val="00600AD0"/>
    <w:rsid w:val="00601522"/>
    <w:rsid w:val="00604C30"/>
    <w:rsid w:val="006167F7"/>
    <w:rsid w:val="006204AE"/>
    <w:rsid w:val="00624922"/>
    <w:rsid w:val="00624F8E"/>
    <w:rsid w:val="006264F3"/>
    <w:rsid w:val="00630065"/>
    <w:rsid w:val="00630A0C"/>
    <w:rsid w:val="00631486"/>
    <w:rsid w:val="00640D95"/>
    <w:rsid w:val="00642EF3"/>
    <w:rsid w:val="00643500"/>
    <w:rsid w:val="00645544"/>
    <w:rsid w:val="00645991"/>
    <w:rsid w:val="00647278"/>
    <w:rsid w:val="00647C71"/>
    <w:rsid w:val="00652146"/>
    <w:rsid w:val="00653EE0"/>
    <w:rsid w:val="00654D2F"/>
    <w:rsid w:val="00656714"/>
    <w:rsid w:val="006569A8"/>
    <w:rsid w:val="00667E4C"/>
    <w:rsid w:val="006713D5"/>
    <w:rsid w:val="00672A94"/>
    <w:rsid w:val="00676454"/>
    <w:rsid w:val="0068233F"/>
    <w:rsid w:val="006837C9"/>
    <w:rsid w:val="006852B3"/>
    <w:rsid w:val="00693D8F"/>
    <w:rsid w:val="0069416E"/>
    <w:rsid w:val="006978BC"/>
    <w:rsid w:val="006A6B27"/>
    <w:rsid w:val="006A7488"/>
    <w:rsid w:val="006C1D9E"/>
    <w:rsid w:val="006C21CC"/>
    <w:rsid w:val="006C4A0F"/>
    <w:rsid w:val="006C4BFC"/>
    <w:rsid w:val="006C5AC6"/>
    <w:rsid w:val="006D0BC5"/>
    <w:rsid w:val="006D146E"/>
    <w:rsid w:val="006D40F3"/>
    <w:rsid w:val="006D4D6F"/>
    <w:rsid w:val="006D572D"/>
    <w:rsid w:val="006F06A6"/>
    <w:rsid w:val="006F489A"/>
    <w:rsid w:val="006F50FF"/>
    <w:rsid w:val="006F593B"/>
    <w:rsid w:val="006F68AA"/>
    <w:rsid w:val="006F7999"/>
    <w:rsid w:val="006F7AA9"/>
    <w:rsid w:val="007070F3"/>
    <w:rsid w:val="00707668"/>
    <w:rsid w:val="0071177F"/>
    <w:rsid w:val="007117EF"/>
    <w:rsid w:val="00712463"/>
    <w:rsid w:val="007374F4"/>
    <w:rsid w:val="0074727F"/>
    <w:rsid w:val="007505BC"/>
    <w:rsid w:val="007542F6"/>
    <w:rsid w:val="00754E18"/>
    <w:rsid w:val="00771DEA"/>
    <w:rsid w:val="0077567C"/>
    <w:rsid w:val="00775E43"/>
    <w:rsid w:val="007829B1"/>
    <w:rsid w:val="00787E9B"/>
    <w:rsid w:val="00792F23"/>
    <w:rsid w:val="007A3B92"/>
    <w:rsid w:val="007A4DA0"/>
    <w:rsid w:val="007A685C"/>
    <w:rsid w:val="007B27E3"/>
    <w:rsid w:val="007B6411"/>
    <w:rsid w:val="007C0609"/>
    <w:rsid w:val="007C100D"/>
    <w:rsid w:val="007C60CD"/>
    <w:rsid w:val="007D135A"/>
    <w:rsid w:val="007D325F"/>
    <w:rsid w:val="007D590F"/>
    <w:rsid w:val="007D7BE8"/>
    <w:rsid w:val="007E3799"/>
    <w:rsid w:val="007E4F71"/>
    <w:rsid w:val="007E6855"/>
    <w:rsid w:val="00810DE5"/>
    <w:rsid w:val="00813398"/>
    <w:rsid w:val="0081370F"/>
    <w:rsid w:val="008156EF"/>
    <w:rsid w:val="00820525"/>
    <w:rsid w:val="008213F0"/>
    <w:rsid w:val="0082711D"/>
    <w:rsid w:val="00832F6C"/>
    <w:rsid w:val="00840264"/>
    <w:rsid w:val="00843E7B"/>
    <w:rsid w:val="008531D7"/>
    <w:rsid w:val="00856A18"/>
    <w:rsid w:val="00863BE7"/>
    <w:rsid w:val="008662CD"/>
    <w:rsid w:val="00882A13"/>
    <w:rsid w:val="00884E4D"/>
    <w:rsid w:val="008A18F0"/>
    <w:rsid w:val="008B53A1"/>
    <w:rsid w:val="008B7A46"/>
    <w:rsid w:val="008B7CEB"/>
    <w:rsid w:val="008C112D"/>
    <w:rsid w:val="008D47B7"/>
    <w:rsid w:val="008D62B5"/>
    <w:rsid w:val="008D6329"/>
    <w:rsid w:val="008E3799"/>
    <w:rsid w:val="008E533E"/>
    <w:rsid w:val="008E7BFF"/>
    <w:rsid w:val="008F03EE"/>
    <w:rsid w:val="008F2193"/>
    <w:rsid w:val="008F46BC"/>
    <w:rsid w:val="00901069"/>
    <w:rsid w:val="009062F4"/>
    <w:rsid w:val="00911523"/>
    <w:rsid w:val="009145CA"/>
    <w:rsid w:val="009208C0"/>
    <w:rsid w:val="00931260"/>
    <w:rsid w:val="009322B7"/>
    <w:rsid w:val="00932946"/>
    <w:rsid w:val="00936B2E"/>
    <w:rsid w:val="00940DBD"/>
    <w:rsid w:val="00942399"/>
    <w:rsid w:val="00945A6C"/>
    <w:rsid w:val="00945D4B"/>
    <w:rsid w:val="009470CE"/>
    <w:rsid w:val="009479E5"/>
    <w:rsid w:val="00955D66"/>
    <w:rsid w:val="00960926"/>
    <w:rsid w:val="009610C8"/>
    <w:rsid w:val="00965F25"/>
    <w:rsid w:val="00973EC0"/>
    <w:rsid w:val="0098225A"/>
    <w:rsid w:val="00982BBF"/>
    <w:rsid w:val="00987D61"/>
    <w:rsid w:val="009920CE"/>
    <w:rsid w:val="00992E14"/>
    <w:rsid w:val="00994C0B"/>
    <w:rsid w:val="009968DF"/>
    <w:rsid w:val="00996BB0"/>
    <w:rsid w:val="009972A3"/>
    <w:rsid w:val="009A234B"/>
    <w:rsid w:val="009A34A0"/>
    <w:rsid w:val="009A477E"/>
    <w:rsid w:val="009B157D"/>
    <w:rsid w:val="009B2EA8"/>
    <w:rsid w:val="009C0FA4"/>
    <w:rsid w:val="009C15F2"/>
    <w:rsid w:val="009C1F8C"/>
    <w:rsid w:val="009C6F10"/>
    <w:rsid w:val="009D17CB"/>
    <w:rsid w:val="009D6D79"/>
    <w:rsid w:val="009E78BD"/>
    <w:rsid w:val="009F0733"/>
    <w:rsid w:val="009F08FF"/>
    <w:rsid w:val="009F21FA"/>
    <w:rsid w:val="009F5930"/>
    <w:rsid w:val="009F7F13"/>
    <w:rsid w:val="00A01865"/>
    <w:rsid w:val="00A02072"/>
    <w:rsid w:val="00A02845"/>
    <w:rsid w:val="00A069CB"/>
    <w:rsid w:val="00A07E6C"/>
    <w:rsid w:val="00A11729"/>
    <w:rsid w:val="00A12407"/>
    <w:rsid w:val="00A13822"/>
    <w:rsid w:val="00A16848"/>
    <w:rsid w:val="00A17A32"/>
    <w:rsid w:val="00A17CA5"/>
    <w:rsid w:val="00A207F6"/>
    <w:rsid w:val="00A215BE"/>
    <w:rsid w:val="00A231D5"/>
    <w:rsid w:val="00A2336F"/>
    <w:rsid w:val="00A23944"/>
    <w:rsid w:val="00A253BA"/>
    <w:rsid w:val="00A3146F"/>
    <w:rsid w:val="00A3325B"/>
    <w:rsid w:val="00A36E66"/>
    <w:rsid w:val="00A45198"/>
    <w:rsid w:val="00A45FF9"/>
    <w:rsid w:val="00A50A40"/>
    <w:rsid w:val="00A50E8C"/>
    <w:rsid w:val="00A6274D"/>
    <w:rsid w:val="00A627BA"/>
    <w:rsid w:val="00A66C15"/>
    <w:rsid w:val="00A74010"/>
    <w:rsid w:val="00A75198"/>
    <w:rsid w:val="00A75FE7"/>
    <w:rsid w:val="00A7606B"/>
    <w:rsid w:val="00A764B2"/>
    <w:rsid w:val="00A81A5C"/>
    <w:rsid w:val="00A84DC0"/>
    <w:rsid w:val="00A87597"/>
    <w:rsid w:val="00A87A90"/>
    <w:rsid w:val="00AA1EB1"/>
    <w:rsid w:val="00AA2E9F"/>
    <w:rsid w:val="00AA49E9"/>
    <w:rsid w:val="00AA572C"/>
    <w:rsid w:val="00AA6CD7"/>
    <w:rsid w:val="00AA7EDA"/>
    <w:rsid w:val="00AB0D76"/>
    <w:rsid w:val="00AB1813"/>
    <w:rsid w:val="00AC0950"/>
    <w:rsid w:val="00AC5888"/>
    <w:rsid w:val="00AC7C0D"/>
    <w:rsid w:val="00AC7D09"/>
    <w:rsid w:val="00AD0B12"/>
    <w:rsid w:val="00AD341A"/>
    <w:rsid w:val="00AE26A5"/>
    <w:rsid w:val="00AE695E"/>
    <w:rsid w:val="00AE7D3D"/>
    <w:rsid w:val="00AF7F19"/>
    <w:rsid w:val="00B02CB0"/>
    <w:rsid w:val="00B10F07"/>
    <w:rsid w:val="00B16DAC"/>
    <w:rsid w:val="00B16E48"/>
    <w:rsid w:val="00B204BD"/>
    <w:rsid w:val="00B21990"/>
    <w:rsid w:val="00B22D00"/>
    <w:rsid w:val="00B2535B"/>
    <w:rsid w:val="00B25AB4"/>
    <w:rsid w:val="00B317EE"/>
    <w:rsid w:val="00B348A5"/>
    <w:rsid w:val="00B34E3E"/>
    <w:rsid w:val="00B3641F"/>
    <w:rsid w:val="00B42380"/>
    <w:rsid w:val="00B433B4"/>
    <w:rsid w:val="00B439A2"/>
    <w:rsid w:val="00B6137F"/>
    <w:rsid w:val="00B63385"/>
    <w:rsid w:val="00B66C37"/>
    <w:rsid w:val="00B7461C"/>
    <w:rsid w:val="00B7730C"/>
    <w:rsid w:val="00B8479A"/>
    <w:rsid w:val="00B85ECB"/>
    <w:rsid w:val="00B93355"/>
    <w:rsid w:val="00BA13B0"/>
    <w:rsid w:val="00BA28B7"/>
    <w:rsid w:val="00BA2FFA"/>
    <w:rsid w:val="00BA6FF8"/>
    <w:rsid w:val="00BA784F"/>
    <w:rsid w:val="00BB24D0"/>
    <w:rsid w:val="00BB2AFD"/>
    <w:rsid w:val="00BB2D4E"/>
    <w:rsid w:val="00BB2E02"/>
    <w:rsid w:val="00BB360C"/>
    <w:rsid w:val="00BB3A82"/>
    <w:rsid w:val="00BD3747"/>
    <w:rsid w:val="00BD5DE8"/>
    <w:rsid w:val="00BD6DF9"/>
    <w:rsid w:val="00BD77EF"/>
    <w:rsid w:val="00BE22A6"/>
    <w:rsid w:val="00BF0EF6"/>
    <w:rsid w:val="00BF1252"/>
    <w:rsid w:val="00BF7A9F"/>
    <w:rsid w:val="00C00F96"/>
    <w:rsid w:val="00C01D6B"/>
    <w:rsid w:val="00C0231F"/>
    <w:rsid w:val="00C05464"/>
    <w:rsid w:val="00C1249C"/>
    <w:rsid w:val="00C163EE"/>
    <w:rsid w:val="00C16F37"/>
    <w:rsid w:val="00C17080"/>
    <w:rsid w:val="00C205B4"/>
    <w:rsid w:val="00C21128"/>
    <w:rsid w:val="00C244B2"/>
    <w:rsid w:val="00C31C17"/>
    <w:rsid w:val="00C348FE"/>
    <w:rsid w:val="00C357F1"/>
    <w:rsid w:val="00C401CF"/>
    <w:rsid w:val="00C43F48"/>
    <w:rsid w:val="00C47A9C"/>
    <w:rsid w:val="00C51F32"/>
    <w:rsid w:val="00C5463D"/>
    <w:rsid w:val="00C546FE"/>
    <w:rsid w:val="00C5665A"/>
    <w:rsid w:val="00C56A0E"/>
    <w:rsid w:val="00C70368"/>
    <w:rsid w:val="00C774A6"/>
    <w:rsid w:val="00C9733E"/>
    <w:rsid w:val="00C976F8"/>
    <w:rsid w:val="00CA3738"/>
    <w:rsid w:val="00CA5B5D"/>
    <w:rsid w:val="00CA61FF"/>
    <w:rsid w:val="00CB1DE4"/>
    <w:rsid w:val="00CC10F6"/>
    <w:rsid w:val="00CC2F4A"/>
    <w:rsid w:val="00CC5E0D"/>
    <w:rsid w:val="00CC6504"/>
    <w:rsid w:val="00CC7CF8"/>
    <w:rsid w:val="00CD1F1C"/>
    <w:rsid w:val="00CD2FD8"/>
    <w:rsid w:val="00CE3E35"/>
    <w:rsid w:val="00CE547F"/>
    <w:rsid w:val="00CF1E81"/>
    <w:rsid w:val="00CF4701"/>
    <w:rsid w:val="00D03DD2"/>
    <w:rsid w:val="00D102CB"/>
    <w:rsid w:val="00D103E4"/>
    <w:rsid w:val="00D11935"/>
    <w:rsid w:val="00D163AC"/>
    <w:rsid w:val="00D17715"/>
    <w:rsid w:val="00D1786A"/>
    <w:rsid w:val="00D17AE3"/>
    <w:rsid w:val="00D23F77"/>
    <w:rsid w:val="00D32255"/>
    <w:rsid w:val="00D347E2"/>
    <w:rsid w:val="00D45704"/>
    <w:rsid w:val="00D534B7"/>
    <w:rsid w:val="00D55570"/>
    <w:rsid w:val="00D70994"/>
    <w:rsid w:val="00D7258F"/>
    <w:rsid w:val="00D777ED"/>
    <w:rsid w:val="00D81358"/>
    <w:rsid w:val="00D82658"/>
    <w:rsid w:val="00D852D4"/>
    <w:rsid w:val="00D87144"/>
    <w:rsid w:val="00D87887"/>
    <w:rsid w:val="00D92B89"/>
    <w:rsid w:val="00D965C2"/>
    <w:rsid w:val="00DA3153"/>
    <w:rsid w:val="00DA5D01"/>
    <w:rsid w:val="00DA70BD"/>
    <w:rsid w:val="00DB0607"/>
    <w:rsid w:val="00DC044B"/>
    <w:rsid w:val="00DC0DB7"/>
    <w:rsid w:val="00DC2080"/>
    <w:rsid w:val="00DC74DD"/>
    <w:rsid w:val="00DE3988"/>
    <w:rsid w:val="00DE6FEA"/>
    <w:rsid w:val="00DE785B"/>
    <w:rsid w:val="00DF1BF9"/>
    <w:rsid w:val="00DF38D4"/>
    <w:rsid w:val="00DF74A2"/>
    <w:rsid w:val="00E00207"/>
    <w:rsid w:val="00E03E38"/>
    <w:rsid w:val="00E11F9C"/>
    <w:rsid w:val="00E12C4E"/>
    <w:rsid w:val="00E14949"/>
    <w:rsid w:val="00E16F1E"/>
    <w:rsid w:val="00E300B1"/>
    <w:rsid w:val="00E34877"/>
    <w:rsid w:val="00E35109"/>
    <w:rsid w:val="00E426CA"/>
    <w:rsid w:val="00E44143"/>
    <w:rsid w:val="00E45788"/>
    <w:rsid w:val="00E508B7"/>
    <w:rsid w:val="00E510F8"/>
    <w:rsid w:val="00E51D6D"/>
    <w:rsid w:val="00E52237"/>
    <w:rsid w:val="00E566AC"/>
    <w:rsid w:val="00E6046B"/>
    <w:rsid w:val="00E606C9"/>
    <w:rsid w:val="00E6323A"/>
    <w:rsid w:val="00E63757"/>
    <w:rsid w:val="00E649CF"/>
    <w:rsid w:val="00E6562D"/>
    <w:rsid w:val="00E746FA"/>
    <w:rsid w:val="00E84016"/>
    <w:rsid w:val="00E93F43"/>
    <w:rsid w:val="00E94BF8"/>
    <w:rsid w:val="00EA2985"/>
    <w:rsid w:val="00EA2A4F"/>
    <w:rsid w:val="00EB31EC"/>
    <w:rsid w:val="00EB4079"/>
    <w:rsid w:val="00EC2746"/>
    <w:rsid w:val="00EC4B8D"/>
    <w:rsid w:val="00ED4ACA"/>
    <w:rsid w:val="00ED5FF3"/>
    <w:rsid w:val="00EF0EDE"/>
    <w:rsid w:val="00F02564"/>
    <w:rsid w:val="00F043AD"/>
    <w:rsid w:val="00F04B78"/>
    <w:rsid w:val="00F06D0F"/>
    <w:rsid w:val="00F120DC"/>
    <w:rsid w:val="00F13FC6"/>
    <w:rsid w:val="00F143ED"/>
    <w:rsid w:val="00F2325B"/>
    <w:rsid w:val="00F2390F"/>
    <w:rsid w:val="00F2696E"/>
    <w:rsid w:val="00F2759E"/>
    <w:rsid w:val="00F277CB"/>
    <w:rsid w:val="00F35706"/>
    <w:rsid w:val="00F37252"/>
    <w:rsid w:val="00F43AB5"/>
    <w:rsid w:val="00F46364"/>
    <w:rsid w:val="00F560FF"/>
    <w:rsid w:val="00F56C80"/>
    <w:rsid w:val="00F57715"/>
    <w:rsid w:val="00F60E53"/>
    <w:rsid w:val="00F61877"/>
    <w:rsid w:val="00F65D25"/>
    <w:rsid w:val="00F66C53"/>
    <w:rsid w:val="00F73AF4"/>
    <w:rsid w:val="00F74325"/>
    <w:rsid w:val="00F8109F"/>
    <w:rsid w:val="00F85088"/>
    <w:rsid w:val="00F90064"/>
    <w:rsid w:val="00F930B1"/>
    <w:rsid w:val="00F9782D"/>
    <w:rsid w:val="00FA011C"/>
    <w:rsid w:val="00FA0E5F"/>
    <w:rsid w:val="00FA34C5"/>
    <w:rsid w:val="00FA3910"/>
    <w:rsid w:val="00FA5427"/>
    <w:rsid w:val="00FA6968"/>
    <w:rsid w:val="00FB2D42"/>
    <w:rsid w:val="00FB2E28"/>
    <w:rsid w:val="00FB394F"/>
    <w:rsid w:val="00FB4A58"/>
    <w:rsid w:val="00FB7B1B"/>
    <w:rsid w:val="00FC2945"/>
    <w:rsid w:val="00FC4252"/>
    <w:rsid w:val="00FD0D51"/>
    <w:rsid w:val="00FD3800"/>
    <w:rsid w:val="00FD75BD"/>
    <w:rsid w:val="00FE268E"/>
    <w:rsid w:val="00FE6395"/>
    <w:rsid w:val="00FF24EB"/>
    <w:rsid w:val="00FF3332"/>
    <w:rsid w:val="00FF4B7A"/>
    <w:rsid w:val="00FF7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476F"/>
    <w:rPr>
      <w:rFonts w:ascii="Times New Roman" w:hAnsi="Times New Roman" w:cs="Times New Roman"/>
      <w:sz w:val="24"/>
      <w:szCs w:val="24"/>
    </w:rPr>
  </w:style>
  <w:style w:type="paragraph" w:styleId="1">
    <w:name w:val="heading 1"/>
    <w:basedOn w:val="a0"/>
    <w:next w:val="a0"/>
    <w:link w:val="10"/>
    <w:uiPriority w:val="99"/>
    <w:qFormat/>
    <w:rsid w:val="00C0231F"/>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C0231F"/>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0231F"/>
    <w:rPr>
      <w:rFonts w:ascii="Arial" w:hAnsi="Arial"/>
      <w:b/>
      <w:kern w:val="32"/>
      <w:sz w:val="32"/>
    </w:rPr>
  </w:style>
  <w:style w:type="character" w:customStyle="1" w:styleId="20">
    <w:name w:val="Заголовок 2 Знак"/>
    <w:basedOn w:val="a1"/>
    <w:link w:val="2"/>
    <w:uiPriority w:val="99"/>
    <w:locked/>
    <w:rsid w:val="00C0231F"/>
    <w:rPr>
      <w:rFonts w:ascii="Arial" w:hAnsi="Arial"/>
      <w:b/>
      <w:i/>
      <w:sz w:val="28"/>
    </w:rPr>
  </w:style>
  <w:style w:type="paragraph" w:customStyle="1" w:styleId="ConsTitle">
    <w:name w:val="ConsTitle"/>
    <w:uiPriority w:val="99"/>
    <w:rsid w:val="0001476F"/>
    <w:pPr>
      <w:widowControl w:val="0"/>
    </w:pPr>
    <w:rPr>
      <w:rFonts w:ascii="Arial" w:hAnsi="Arial" w:cs="Arial"/>
      <w:b/>
      <w:bCs/>
      <w:sz w:val="16"/>
      <w:szCs w:val="16"/>
    </w:rPr>
  </w:style>
  <w:style w:type="paragraph" w:customStyle="1" w:styleId="ConsNonformat">
    <w:name w:val="ConsNonformat"/>
    <w:uiPriority w:val="99"/>
    <w:rsid w:val="00C0231F"/>
    <w:pPr>
      <w:autoSpaceDE w:val="0"/>
      <w:autoSpaceDN w:val="0"/>
    </w:pPr>
    <w:rPr>
      <w:rFonts w:ascii="Courier New" w:hAnsi="Courier New" w:cs="Courier New"/>
    </w:rPr>
  </w:style>
  <w:style w:type="paragraph" w:customStyle="1" w:styleId="ConsNormal">
    <w:name w:val="ConsNormal"/>
    <w:uiPriority w:val="99"/>
    <w:rsid w:val="00C0231F"/>
    <w:pPr>
      <w:widowControl w:val="0"/>
      <w:autoSpaceDE w:val="0"/>
      <w:autoSpaceDN w:val="0"/>
      <w:ind w:firstLine="720"/>
    </w:pPr>
    <w:rPr>
      <w:rFonts w:ascii="Arial" w:hAnsi="Arial" w:cs="Arial"/>
    </w:rPr>
  </w:style>
  <w:style w:type="paragraph" w:customStyle="1" w:styleId="Bulleted">
    <w:name w:val="Bulleted"/>
    <w:basedOn w:val="a0"/>
    <w:uiPriority w:val="99"/>
    <w:rsid w:val="00C0231F"/>
    <w:pPr>
      <w:autoSpaceDE w:val="0"/>
      <w:autoSpaceDN w:val="0"/>
      <w:ind w:left="927" w:hanging="360"/>
    </w:pPr>
    <w:rPr>
      <w:sz w:val="22"/>
      <w:szCs w:val="22"/>
    </w:rPr>
  </w:style>
  <w:style w:type="character" w:styleId="a4">
    <w:name w:val="annotation reference"/>
    <w:basedOn w:val="a1"/>
    <w:uiPriority w:val="99"/>
    <w:semiHidden/>
    <w:rsid w:val="00C0231F"/>
    <w:rPr>
      <w:sz w:val="16"/>
    </w:rPr>
  </w:style>
  <w:style w:type="paragraph" w:styleId="a5">
    <w:name w:val="annotation text"/>
    <w:basedOn w:val="a0"/>
    <w:link w:val="a6"/>
    <w:uiPriority w:val="99"/>
    <w:semiHidden/>
    <w:rsid w:val="00C0231F"/>
    <w:pPr>
      <w:spacing w:line="360" w:lineRule="atLeast"/>
      <w:jc w:val="both"/>
    </w:pPr>
    <w:rPr>
      <w:rFonts w:ascii="Times New Roman CYR" w:hAnsi="Times New Roman CYR" w:cs="Times New Roman CYR"/>
      <w:sz w:val="20"/>
      <w:szCs w:val="20"/>
    </w:rPr>
  </w:style>
  <w:style w:type="character" w:customStyle="1" w:styleId="a6">
    <w:name w:val="Текст примечания Знак"/>
    <w:basedOn w:val="a1"/>
    <w:link w:val="a5"/>
    <w:uiPriority w:val="99"/>
    <w:locked/>
    <w:rsid w:val="00C0231F"/>
    <w:rPr>
      <w:rFonts w:ascii="Times New Roman CYR" w:hAnsi="Times New Roman CYR"/>
    </w:rPr>
  </w:style>
  <w:style w:type="paragraph" w:styleId="21">
    <w:name w:val="Body Text Indent 2"/>
    <w:basedOn w:val="a0"/>
    <w:link w:val="22"/>
    <w:uiPriority w:val="99"/>
    <w:rsid w:val="00C0231F"/>
    <w:pPr>
      <w:autoSpaceDE w:val="0"/>
      <w:autoSpaceDN w:val="0"/>
      <w:ind w:left="567"/>
      <w:jc w:val="both"/>
    </w:pPr>
    <w:rPr>
      <w:sz w:val="22"/>
      <w:szCs w:val="22"/>
    </w:rPr>
  </w:style>
  <w:style w:type="character" w:customStyle="1" w:styleId="22">
    <w:name w:val="Основной текст с отступом 2 Знак"/>
    <w:basedOn w:val="a1"/>
    <w:link w:val="21"/>
    <w:uiPriority w:val="99"/>
    <w:locked/>
    <w:rsid w:val="00C0231F"/>
    <w:rPr>
      <w:rFonts w:ascii="Times New Roman" w:hAnsi="Times New Roman"/>
      <w:sz w:val="22"/>
    </w:rPr>
  </w:style>
  <w:style w:type="paragraph" w:customStyle="1" w:styleId="BodyNum">
    <w:name w:val="Body Num"/>
    <w:basedOn w:val="a0"/>
    <w:uiPriority w:val="99"/>
    <w:rsid w:val="00C0231F"/>
    <w:pPr>
      <w:autoSpaceDE w:val="0"/>
      <w:autoSpaceDN w:val="0"/>
      <w:spacing w:after="120"/>
      <w:jc w:val="both"/>
    </w:pPr>
  </w:style>
  <w:style w:type="paragraph" w:styleId="HTML">
    <w:name w:val="HTML Preformatted"/>
    <w:basedOn w:val="a0"/>
    <w:link w:val="HTML0"/>
    <w:uiPriority w:val="99"/>
    <w:rsid w:val="00C02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0231F"/>
    <w:rPr>
      <w:rFonts w:ascii="Courier New" w:hAnsi="Courier New"/>
    </w:rPr>
  </w:style>
  <w:style w:type="paragraph" w:styleId="a7">
    <w:name w:val="List Paragraph"/>
    <w:basedOn w:val="a0"/>
    <w:uiPriority w:val="99"/>
    <w:qFormat/>
    <w:rsid w:val="00C0231F"/>
    <w:pPr>
      <w:ind w:left="720"/>
    </w:pPr>
  </w:style>
  <w:style w:type="paragraph" w:styleId="a8">
    <w:name w:val="Balloon Text"/>
    <w:basedOn w:val="a0"/>
    <w:link w:val="a9"/>
    <w:uiPriority w:val="99"/>
    <w:semiHidden/>
    <w:rsid w:val="00C0231F"/>
    <w:rPr>
      <w:rFonts w:ascii="Tahoma" w:hAnsi="Tahoma" w:cs="Tahoma"/>
      <w:sz w:val="16"/>
      <w:szCs w:val="16"/>
    </w:rPr>
  </w:style>
  <w:style w:type="character" w:customStyle="1" w:styleId="a9">
    <w:name w:val="Текст выноски Знак"/>
    <w:basedOn w:val="a1"/>
    <w:link w:val="a8"/>
    <w:uiPriority w:val="99"/>
    <w:semiHidden/>
    <w:locked/>
    <w:rsid w:val="00C0231F"/>
    <w:rPr>
      <w:rFonts w:ascii="Tahoma" w:hAnsi="Tahoma"/>
      <w:sz w:val="16"/>
    </w:rPr>
  </w:style>
  <w:style w:type="paragraph" w:styleId="aa">
    <w:name w:val="header"/>
    <w:basedOn w:val="a0"/>
    <w:link w:val="ab"/>
    <w:uiPriority w:val="99"/>
    <w:rsid w:val="00C0231F"/>
    <w:pPr>
      <w:tabs>
        <w:tab w:val="center" w:pos="4153"/>
        <w:tab w:val="right" w:pos="8306"/>
      </w:tabs>
      <w:spacing w:line="360" w:lineRule="atLeast"/>
      <w:jc w:val="both"/>
    </w:pPr>
    <w:rPr>
      <w:rFonts w:ascii="Times New Roman CYR" w:hAnsi="Times New Roman CYR" w:cs="Times New Roman CYR"/>
      <w:sz w:val="28"/>
      <w:szCs w:val="28"/>
    </w:rPr>
  </w:style>
  <w:style w:type="character" w:customStyle="1" w:styleId="ab">
    <w:name w:val="Верхний колонтитул Знак"/>
    <w:basedOn w:val="a1"/>
    <w:link w:val="aa"/>
    <w:uiPriority w:val="99"/>
    <w:locked/>
    <w:rsid w:val="00C0231F"/>
    <w:rPr>
      <w:rFonts w:ascii="Times New Roman CYR" w:hAnsi="Times New Roman CYR"/>
      <w:sz w:val="28"/>
    </w:rPr>
  </w:style>
  <w:style w:type="paragraph" w:styleId="ac">
    <w:name w:val="footer"/>
    <w:basedOn w:val="a0"/>
    <w:link w:val="ad"/>
    <w:uiPriority w:val="99"/>
    <w:rsid w:val="00C0231F"/>
    <w:pPr>
      <w:tabs>
        <w:tab w:val="center" w:pos="4153"/>
        <w:tab w:val="right" w:pos="8306"/>
      </w:tabs>
      <w:spacing w:line="360" w:lineRule="atLeast"/>
      <w:jc w:val="both"/>
    </w:pPr>
    <w:rPr>
      <w:rFonts w:ascii="Times New Roman CYR" w:hAnsi="Times New Roman CYR" w:cs="Times New Roman CYR"/>
      <w:sz w:val="28"/>
      <w:szCs w:val="28"/>
    </w:rPr>
  </w:style>
  <w:style w:type="character" w:customStyle="1" w:styleId="ad">
    <w:name w:val="Нижний колонтитул Знак"/>
    <w:basedOn w:val="a1"/>
    <w:link w:val="ac"/>
    <w:uiPriority w:val="99"/>
    <w:locked/>
    <w:rsid w:val="00C0231F"/>
    <w:rPr>
      <w:rFonts w:ascii="Times New Roman CYR" w:hAnsi="Times New Roman CYR"/>
      <w:sz w:val="28"/>
    </w:rPr>
  </w:style>
  <w:style w:type="character" w:styleId="ae">
    <w:name w:val="page number"/>
    <w:basedOn w:val="a1"/>
    <w:uiPriority w:val="99"/>
    <w:rsid w:val="00C0231F"/>
  </w:style>
  <w:style w:type="paragraph" w:customStyle="1" w:styleId="23">
    <w:name w:val="Вертикальный отступ 2"/>
    <w:basedOn w:val="a0"/>
    <w:uiPriority w:val="99"/>
    <w:rsid w:val="00C0231F"/>
    <w:pPr>
      <w:jc w:val="center"/>
    </w:pPr>
    <w:rPr>
      <w:b/>
      <w:bCs/>
      <w:sz w:val="32"/>
      <w:szCs w:val="32"/>
    </w:rPr>
  </w:style>
  <w:style w:type="character" w:styleId="af">
    <w:name w:val="footnote reference"/>
    <w:basedOn w:val="a1"/>
    <w:uiPriority w:val="99"/>
    <w:semiHidden/>
    <w:rsid w:val="00C0231F"/>
    <w:rPr>
      <w:vertAlign w:val="superscript"/>
    </w:rPr>
  </w:style>
  <w:style w:type="paragraph" w:styleId="af0">
    <w:name w:val="footnote text"/>
    <w:basedOn w:val="a0"/>
    <w:link w:val="af1"/>
    <w:uiPriority w:val="99"/>
    <w:semiHidden/>
    <w:rsid w:val="00C0231F"/>
    <w:rPr>
      <w:sz w:val="20"/>
      <w:szCs w:val="20"/>
    </w:rPr>
  </w:style>
  <w:style w:type="character" w:customStyle="1" w:styleId="af1">
    <w:name w:val="Текст сноски Знак"/>
    <w:basedOn w:val="a1"/>
    <w:link w:val="af0"/>
    <w:uiPriority w:val="99"/>
    <w:semiHidden/>
    <w:locked/>
    <w:rsid w:val="00C0231F"/>
    <w:rPr>
      <w:rFonts w:ascii="Times New Roman" w:hAnsi="Times New Roman"/>
    </w:rPr>
  </w:style>
  <w:style w:type="paragraph" w:styleId="af2">
    <w:name w:val="Body Text Indent"/>
    <w:basedOn w:val="a0"/>
    <w:link w:val="af3"/>
    <w:uiPriority w:val="99"/>
    <w:rsid w:val="00D11935"/>
    <w:pPr>
      <w:spacing w:after="120"/>
      <w:ind w:left="283"/>
    </w:pPr>
  </w:style>
  <w:style w:type="character" w:customStyle="1" w:styleId="af3">
    <w:name w:val="Основной текст с отступом Знак"/>
    <w:basedOn w:val="a1"/>
    <w:link w:val="af2"/>
    <w:uiPriority w:val="99"/>
    <w:locked/>
    <w:rsid w:val="00D11935"/>
    <w:rPr>
      <w:rFonts w:ascii="Times New Roman" w:hAnsi="Times New Roman"/>
      <w:sz w:val="24"/>
    </w:rPr>
  </w:style>
  <w:style w:type="paragraph" w:styleId="af4">
    <w:name w:val="annotation subject"/>
    <w:basedOn w:val="a5"/>
    <w:next w:val="a5"/>
    <w:link w:val="af5"/>
    <w:uiPriority w:val="99"/>
    <w:semiHidden/>
    <w:rsid w:val="00D17AE3"/>
    <w:pPr>
      <w:spacing w:line="240" w:lineRule="auto"/>
      <w:jc w:val="left"/>
    </w:pPr>
    <w:rPr>
      <w:rFonts w:ascii="Times New Roman" w:hAnsi="Times New Roman" w:cs="Times New Roman"/>
      <w:b/>
      <w:bCs/>
    </w:rPr>
  </w:style>
  <w:style w:type="character" w:customStyle="1" w:styleId="af5">
    <w:name w:val="Тема примечания Знак"/>
    <w:basedOn w:val="a6"/>
    <w:link w:val="af4"/>
    <w:uiPriority w:val="99"/>
    <w:semiHidden/>
    <w:locked/>
    <w:rsid w:val="00D17AE3"/>
    <w:rPr>
      <w:rFonts w:ascii="Times New Roman" w:hAnsi="Times New Roman"/>
      <w:b/>
    </w:rPr>
  </w:style>
  <w:style w:type="paragraph" w:customStyle="1" w:styleId="prg3">
    <w:name w:val="prg3"/>
    <w:basedOn w:val="a0"/>
    <w:uiPriority w:val="99"/>
    <w:rsid w:val="00AA6CD7"/>
    <w:pPr>
      <w:numPr>
        <w:ilvl w:val="2"/>
        <w:numId w:val="9"/>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lang w:eastAsia="en-US"/>
    </w:rPr>
  </w:style>
  <w:style w:type="paragraph" w:styleId="a">
    <w:name w:val="Normal Indent"/>
    <w:basedOn w:val="a0"/>
    <w:uiPriority w:val="99"/>
    <w:rsid w:val="00AA6CD7"/>
    <w:pPr>
      <w:numPr>
        <w:ilvl w:val="4"/>
        <w:numId w:val="9"/>
      </w:numPr>
    </w:pPr>
    <w:rPr>
      <w:sz w:val="20"/>
      <w:szCs w:val="20"/>
      <w:lang w:val="en-US" w:eastAsia="en-US"/>
    </w:rPr>
  </w:style>
  <w:style w:type="paragraph" w:customStyle="1" w:styleId="ConsPlusNormal">
    <w:name w:val="ConsPlusNormal"/>
    <w:rsid w:val="00F56C80"/>
    <w:pPr>
      <w:widowControl w:val="0"/>
      <w:autoSpaceDE w:val="0"/>
      <w:autoSpaceDN w:val="0"/>
      <w:adjustRightInd w:val="0"/>
      <w:ind w:firstLine="720"/>
    </w:pPr>
    <w:rPr>
      <w:rFonts w:ascii="Arial" w:hAnsi="Arial" w:cs="Arial"/>
    </w:rPr>
  </w:style>
  <w:style w:type="paragraph" w:styleId="24">
    <w:name w:val="Body Text 2"/>
    <w:basedOn w:val="a0"/>
    <w:link w:val="25"/>
    <w:uiPriority w:val="99"/>
    <w:rsid w:val="00F56C80"/>
    <w:pPr>
      <w:spacing w:after="120" w:line="480" w:lineRule="auto"/>
      <w:jc w:val="both"/>
    </w:pPr>
    <w:rPr>
      <w:rFonts w:ascii="Times New Roman CYR" w:hAnsi="Times New Roman CYR" w:cs="Times New Roman CYR"/>
      <w:sz w:val="28"/>
      <w:szCs w:val="28"/>
    </w:rPr>
  </w:style>
  <w:style w:type="character" w:customStyle="1" w:styleId="25">
    <w:name w:val="Основной текст 2 Знак"/>
    <w:basedOn w:val="a1"/>
    <w:link w:val="24"/>
    <w:uiPriority w:val="99"/>
    <w:locked/>
    <w:rsid w:val="00F56C80"/>
    <w:rPr>
      <w:rFonts w:ascii="Times New Roman CYR" w:hAnsi="Times New Roman CYR"/>
      <w:sz w:val="28"/>
    </w:rPr>
  </w:style>
  <w:style w:type="character" w:styleId="af6">
    <w:name w:val="Hyperlink"/>
    <w:basedOn w:val="a1"/>
    <w:uiPriority w:val="99"/>
    <w:rsid w:val="009470CE"/>
    <w:rPr>
      <w:color w:val="0000FF"/>
      <w:u w:val="single"/>
    </w:rPr>
  </w:style>
  <w:style w:type="paragraph" w:styleId="3">
    <w:name w:val="Body Text Indent 3"/>
    <w:basedOn w:val="a0"/>
    <w:link w:val="30"/>
    <w:uiPriority w:val="99"/>
    <w:rsid w:val="00D87144"/>
    <w:pPr>
      <w:spacing w:after="120" w:line="360" w:lineRule="atLeast"/>
      <w:ind w:left="283"/>
      <w:jc w:val="both"/>
    </w:pPr>
    <w:rPr>
      <w:rFonts w:ascii="Times New Roman CYR" w:hAnsi="Times New Roman CYR" w:cs="Times New Roman CYR"/>
      <w:sz w:val="16"/>
      <w:szCs w:val="16"/>
      <w:lang w:eastAsia="zh-CN"/>
    </w:rPr>
  </w:style>
  <w:style w:type="character" w:customStyle="1" w:styleId="30">
    <w:name w:val="Основной текст с отступом 3 Знак"/>
    <w:basedOn w:val="a1"/>
    <w:link w:val="3"/>
    <w:uiPriority w:val="99"/>
    <w:locked/>
    <w:rsid w:val="00D87144"/>
    <w:rPr>
      <w:rFonts w:ascii="Times New Roman CYR" w:hAnsi="Times New Roman CYR"/>
      <w:sz w:val="16"/>
      <w:lang w:eastAsia="zh-CN"/>
    </w:rPr>
  </w:style>
  <w:style w:type="paragraph" w:customStyle="1" w:styleId="af7">
    <w:name w:val="Стиль"/>
    <w:basedOn w:val="a0"/>
    <w:uiPriority w:val="99"/>
    <w:rsid w:val="009D6D79"/>
    <w:pPr>
      <w:spacing w:after="160" w:line="240" w:lineRule="exact"/>
    </w:pPr>
    <w:rPr>
      <w:rFonts w:ascii="Verdana" w:hAnsi="Verdana" w:cs="Verdana"/>
      <w:sz w:val="20"/>
      <w:szCs w:val="20"/>
      <w:lang w:val="en-US" w:eastAsia="en-US"/>
    </w:rPr>
  </w:style>
  <w:style w:type="character" w:customStyle="1" w:styleId="af8">
    <w:name w:val="Основной шрифт"/>
    <w:uiPriority w:val="99"/>
    <w:rsid w:val="009D6D79"/>
  </w:style>
  <w:style w:type="paragraph" w:customStyle="1" w:styleId="ConsPlusNonformat">
    <w:name w:val="ConsPlusNonformat"/>
    <w:uiPriority w:val="99"/>
    <w:rsid w:val="00D555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55570"/>
    <w:pPr>
      <w:widowControl w:val="0"/>
      <w:autoSpaceDE w:val="0"/>
      <w:autoSpaceDN w:val="0"/>
      <w:adjustRightInd w:val="0"/>
    </w:pPr>
    <w:rPr>
      <w:rFonts w:ascii="Arial" w:hAnsi="Arial" w:cs="Arial"/>
      <w:b/>
      <w:bCs/>
    </w:rPr>
  </w:style>
  <w:style w:type="paragraph" w:customStyle="1" w:styleId="ConsPlusCell">
    <w:name w:val="ConsPlusCell"/>
    <w:uiPriority w:val="99"/>
    <w:rsid w:val="00D55570"/>
    <w:pPr>
      <w:widowControl w:val="0"/>
      <w:autoSpaceDE w:val="0"/>
      <w:autoSpaceDN w:val="0"/>
      <w:adjustRightInd w:val="0"/>
    </w:pPr>
    <w:rPr>
      <w:rFonts w:ascii="Arial" w:hAnsi="Arial" w:cs="Arial"/>
    </w:rPr>
  </w:style>
  <w:style w:type="paragraph" w:customStyle="1" w:styleId="fielddata">
    <w:name w:val="field_data"/>
    <w:basedOn w:val="a0"/>
    <w:uiPriority w:val="99"/>
    <w:rsid w:val="00973EC0"/>
    <w:pPr>
      <w:spacing w:before="45" w:after="45"/>
    </w:pPr>
    <w:rPr>
      <w:rFonts w:ascii="Arial" w:hAnsi="Arial" w:cs="Arial"/>
      <w:sz w:val="16"/>
      <w:szCs w:val="16"/>
      <w:lang w:val="en-US" w:eastAsia="en-US"/>
    </w:rPr>
  </w:style>
  <w:style w:type="paragraph" w:customStyle="1" w:styleId="fieldname">
    <w:name w:val="field_name"/>
    <w:basedOn w:val="a0"/>
    <w:uiPriority w:val="99"/>
    <w:rsid w:val="00973EC0"/>
    <w:pPr>
      <w:spacing w:before="45" w:after="45"/>
      <w:jc w:val="right"/>
    </w:pPr>
    <w:rPr>
      <w:rFonts w:ascii="Arial" w:hAnsi="Arial" w:cs="Arial"/>
      <w:b/>
      <w:bCs/>
      <w:sz w:val="16"/>
      <w:szCs w:val="16"/>
      <w:lang w:val="en-US" w:eastAsia="en-US"/>
    </w:rPr>
  </w:style>
  <w:style w:type="character" w:customStyle="1" w:styleId="fieldcomment1">
    <w:name w:val="field_comment1"/>
    <w:basedOn w:val="a1"/>
    <w:uiPriority w:val="99"/>
    <w:rsid w:val="00973EC0"/>
    <w:rPr>
      <w:rFonts w:cs="Times New Roman"/>
      <w:sz w:val="9"/>
      <w:szCs w:val="9"/>
    </w:rPr>
  </w:style>
</w:styles>
</file>

<file path=word/webSettings.xml><?xml version="1.0" encoding="utf-8"?>
<w:webSettings xmlns:r="http://schemas.openxmlformats.org/officeDocument/2006/relationships" xmlns:w="http://schemas.openxmlformats.org/wordprocessingml/2006/main">
  <w:divs>
    <w:div w:id="847870880">
      <w:marLeft w:val="0"/>
      <w:marRight w:val="0"/>
      <w:marTop w:val="0"/>
      <w:marBottom w:val="0"/>
      <w:divBdr>
        <w:top w:val="none" w:sz="0" w:space="0" w:color="auto"/>
        <w:left w:val="none" w:sz="0" w:space="0" w:color="auto"/>
        <w:bottom w:val="none" w:sz="0" w:space="0" w:color="auto"/>
        <w:right w:val="none" w:sz="0" w:space="0" w:color="auto"/>
      </w:divBdr>
    </w:div>
    <w:div w:id="847870881">
      <w:marLeft w:val="0"/>
      <w:marRight w:val="0"/>
      <w:marTop w:val="0"/>
      <w:marBottom w:val="0"/>
      <w:divBdr>
        <w:top w:val="none" w:sz="0" w:space="0" w:color="auto"/>
        <w:left w:val="none" w:sz="0" w:space="0" w:color="auto"/>
        <w:bottom w:val="none" w:sz="0" w:space="0" w:color="auto"/>
        <w:right w:val="none" w:sz="0" w:space="0" w:color="auto"/>
      </w:divBdr>
    </w:div>
    <w:div w:id="847870882">
      <w:marLeft w:val="0"/>
      <w:marRight w:val="0"/>
      <w:marTop w:val="0"/>
      <w:marBottom w:val="0"/>
      <w:divBdr>
        <w:top w:val="none" w:sz="0" w:space="0" w:color="auto"/>
        <w:left w:val="none" w:sz="0" w:space="0" w:color="auto"/>
        <w:bottom w:val="none" w:sz="0" w:space="0" w:color="auto"/>
        <w:right w:val="none" w:sz="0" w:space="0" w:color="auto"/>
      </w:divBdr>
    </w:div>
    <w:div w:id="847870883">
      <w:marLeft w:val="0"/>
      <w:marRight w:val="0"/>
      <w:marTop w:val="0"/>
      <w:marBottom w:val="0"/>
      <w:divBdr>
        <w:top w:val="none" w:sz="0" w:space="0" w:color="auto"/>
        <w:left w:val="none" w:sz="0" w:space="0" w:color="auto"/>
        <w:bottom w:val="none" w:sz="0" w:space="0" w:color="auto"/>
        <w:right w:val="none" w:sz="0" w:space="0" w:color="auto"/>
      </w:divBdr>
    </w:div>
    <w:div w:id="847870884">
      <w:marLeft w:val="0"/>
      <w:marRight w:val="0"/>
      <w:marTop w:val="0"/>
      <w:marBottom w:val="0"/>
      <w:divBdr>
        <w:top w:val="none" w:sz="0" w:space="0" w:color="auto"/>
        <w:left w:val="none" w:sz="0" w:space="0" w:color="auto"/>
        <w:bottom w:val="none" w:sz="0" w:space="0" w:color="auto"/>
        <w:right w:val="none" w:sz="0" w:space="0" w:color="auto"/>
      </w:divBdr>
    </w:div>
    <w:div w:id="847870885">
      <w:marLeft w:val="0"/>
      <w:marRight w:val="0"/>
      <w:marTop w:val="0"/>
      <w:marBottom w:val="0"/>
      <w:divBdr>
        <w:top w:val="none" w:sz="0" w:space="0" w:color="auto"/>
        <w:left w:val="none" w:sz="0" w:space="0" w:color="auto"/>
        <w:bottom w:val="none" w:sz="0" w:space="0" w:color="auto"/>
        <w:right w:val="none" w:sz="0" w:space="0" w:color="auto"/>
      </w:divBdr>
    </w:div>
    <w:div w:id="847870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F5881309309EEC1F6BC0C2E2F3F92FDB3F805FD8E947F15D9D1ED55584AAC8E268EFEA50FC30BA4FE1DE0F333E96E8A5033B5A510F56SCF8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011_частично действующая редакция</Статус_x0020_документа>
    <_EndDate xmlns="http://schemas.microsoft.com/sharepoint/v3/fields">05.10.2020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EA35-0975-4743-B6A9-E063CC8BE8FB}"/>
</file>

<file path=customXml/itemProps2.xml><?xml version="1.0" encoding="utf-8"?>
<ds:datastoreItem xmlns:ds="http://schemas.openxmlformats.org/officeDocument/2006/customXml" ds:itemID="{695CBCE1-4B12-45EE-A4F4-14B25A012799}"/>
</file>

<file path=customXml/itemProps3.xml><?xml version="1.0" encoding="utf-8"?>
<ds:datastoreItem xmlns:ds="http://schemas.openxmlformats.org/officeDocument/2006/customXml" ds:itemID="{97A6D53C-F93A-4327-BA39-20C2EF12C277}"/>
</file>

<file path=customXml/itemProps4.xml><?xml version="1.0" encoding="utf-8"?>
<ds:datastoreItem xmlns:ds="http://schemas.openxmlformats.org/officeDocument/2006/customXml" ds:itemID="{1C519923-D78A-4745-A706-B060FF7A5B9A}"/>
</file>

<file path=docProps/app.xml><?xml version="1.0" encoding="utf-8"?>
<Properties xmlns="http://schemas.openxmlformats.org/officeDocument/2006/extended-properties" xmlns:vt="http://schemas.openxmlformats.org/officeDocument/2006/docPropsVTypes">
  <Template>Normal.dotm</Template>
  <TotalTime>1</TotalTime>
  <Pages>12</Pages>
  <Words>5216</Words>
  <Characters>34274</Characters>
  <Application>Microsoft Office Word</Application>
  <DocSecurity>0</DocSecurity>
  <Lines>285</Lines>
  <Paragraphs>78</Paragraphs>
  <ScaleCrop>false</ScaleCrop>
  <Company>ООО УК "АК БАРС КАПИТАЛ"</Company>
  <LinksUpToDate>false</LinksUpToDate>
  <CharactersWithSpaces>39412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ДОВЕРИТЕЛЬНОГО УПРАВЛЕНИЯ</dc:title>
  <dc:creator>panov</dc:creator>
  <cp:lastModifiedBy>kondratieva</cp:lastModifiedBy>
  <cp:revision>2</cp:revision>
  <cp:lastPrinted>2020-09-10T11:59:00Z</cp:lastPrinted>
  <dcterms:created xsi:type="dcterms:W3CDTF">2020-10-05T12:59:00Z</dcterms:created>
  <dcterms:modified xsi:type="dcterms:W3CDTF">2020-10-05T12:59:00Z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