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1A" w:rsidRPr="00C77EAE" w:rsidRDefault="0002721A" w:rsidP="0002721A">
      <w:pPr>
        <w:ind w:left="5400"/>
        <w:rPr>
          <w:sz w:val="20"/>
          <w:szCs w:val="20"/>
        </w:rPr>
      </w:pPr>
      <w:r w:rsidRPr="00C77EAE">
        <w:rPr>
          <w:sz w:val="20"/>
          <w:szCs w:val="20"/>
        </w:rPr>
        <w:t>УТВЕРЖДЕНО</w:t>
      </w:r>
    </w:p>
    <w:p w:rsidR="0002721A" w:rsidRPr="00C77EAE" w:rsidRDefault="0002721A" w:rsidP="0002721A">
      <w:pPr>
        <w:ind w:left="5400"/>
        <w:rPr>
          <w:sz w:val="20"/>
          <w:szCs w:val="20"/>
        </w:rPr>
      </w:pPr>
      <w:r>
        <w:rPr>
          <w:sz w:val="20"/>
          <w:szCs w:val="20"/>
        </w:rPr>
        <w:t>Приказом</w:t>
      </w:r>
      <w:r w:rsidRPr="00C77EAE">
        <w:rPr>
          <w:sz w:val="20"/>
          <w:szCs w:val="20"/>
        </w:rPr>
        <w:t xml:space="preserve"> Генерального директора</w:t>
      </w:r>
    </w:p>
    <w:p w:rsidR="0002721A" w:rsidRPr="00435584" w:rsidRDefault="0002721A" w:rsidP="0002721A">
      <w:pPr>
        <w:ind w:left="5400"/>
        <w:rPr>
          <w:sz w:val="20"/>
          <w:szCs w:val="20"/>
        </w:rPr>
      </w:pPr>
      <w:r>
        <w:rPr>
          <w:sz w:val="20"/>
          <w:szCs w:val="20"/>
        </w:rPr>
        <w:t xml:space="preserve">ООО УК «АК БАРС КАПИТАЛ» </w:t>
      </w:r>
    </w:p>
    <w:p w:rsidR="0002721A" w:rsidRPr="00C77EAE" w:rsidRDefault="0002721A" w:rsidP="0002721A">
      <w:pPr>
        <w:ind w:left="5400"/>
        <w:rPr>
          <w:sz w:val="20"/>
          <w:szCs w:val="20"/>
        </w:rPr>
      </w:pPr>
      <w:r>
        <w:rPr>
          <w:sz w:val="20"/>
          <w:szCs w:val="20"/>
        </w:rPr>
        <w:t xml:space="preserve"> </w:t>
      </w:r>
      <w:r w:rsidRPr="00FA59BB">
        <w:rPr>
          <w:sz w:val="20"/>
          <w:szCs w:val="20"/>
        </w:rPr>
        <w:t xml:space="preserve">№ </w:t>
      </w:r>
      <w:r>
        <w:rPr>
          <w:sz w:val="20"/>
          <w:szCs w:val="20"/>
        </w:rPr>
        <w:t>_____</w:t>
      </w:r>
      <w:r w:rsidRPr="00FA59BB">
        <w:rPr>
          <w:sz w:val="20"/>
          <w:szCs w:val="20"/>
        </w:rPr>
        <w:t xml:space="preserve"> от </w:t>
      </w:r>
      <w:r>
        <w:rPr>
          <w:sz w:val="20"/>
          <w:szCs w:val="20"/>
        </w:rPr>
        <w:t xml:space="preserve">«_____» </w:t>
      </w:r>
      <w:r w:rsidRPr="00FA59BB">
        <w:rPr>
          <w:sz w:val="20"/>
          <w:szCs w:val="20"/>
        </w:rPr>
        <w:t>201</w:t>
      </w:r>
      <w:r>
        <w:rPr>
          <w:sz w:val="20"/>
          <w:szCs w:val="20"/>
        </w:rPr>
        <w:t xml:space="preserve">2 </w:t>
      </w:r>
      <w:r w:rsidRPr="00FA59BB">
        <w:rPr>
          <w:sz w:val="20"/>
          <w:szCs w:val="20"/>
        </w:rPr>
        <w:t>г.</w:t>
      </w:r>
    </w:p>
    <w:p w:rsidR="005D2C6A" w:rsidRPr="00B26024" w:rsidRDefault="005D2C6A" w:rsidP="00074E75">
      <w:pPr>
        <w:rPr>
          <w:sz w:val="22"/>
          <w:szCs w:val="22"/>
        </w:rPr>
      </w:pPr>
    </w:p>
    <w:p w:rsidR="00074E75" w:rsidRPr="00B26024" w:rsidRDefault="00074E75" w:rsidP="00074E75">
      <w:pPr>
        <w:rPr>
          <w:sz w:val="22"/>
          <w:szCs w:val="22"/>
        </w:rPr>
      </w:pPr>
    </w:p>
    <w:p w:rsidR="00E5556E" w:rsidRPr="00B26024" w:rsidRDefault="004C30DB" w:rsidP="00E5556E">
      <w:pPr>
        <w:jc w:val="center"/>
        <w:rPr>
          <w:b/>
          <w:bCs/>
          <w:sz w:val="22"/>
          <w:szCs w:val="22"/>
        </w:rPr>
      </w:pPr>
      <w:r>
        <w:rPr>
          <w:b/>
          <w:bCs/>
          <w:sz w:val="22"/>
          <w:szCs w:val="22"/>
        </w:rPr>
        <w:t>И</w:t>
      </w:r>
      <w:r w:rsidR="00E5556E" w:rsidRPr="00B26024">
        <w:rPr>
          <w:b/>
          <w:bCs/>
          <w:sz w:val="22"/>
          <w:szCs w:val="22"/>
        </w:rPr>
        <w:t>зменени</w:t>
      </w:r>
      <w:r>
        <w:rPr>
          <w:b/>
          <w:bCs/>
          <w:sz w:val="22"/>
          <w:szCs w:val="22"/>
        </w:rPr>
        <w:t>я</w:t>
      </w:r>
      <w:r w:rsidR="00E5556E" w:rsidRPr="00B26024">
        <w:rPr>
          <w:b/>
          <w:bCs/>
          <w:sz w:val="22"/>
          <w:szCs w:val="22"/>
        </w:rPr>
        <w:t xml:space="preserve"> и дополнени</w:t>
      </w:r>
      <w:r>
        <w:rPr>
          <w:b/>
          <w:bCs/>
          <w:sz w:val="22"/>
          <w:szCs w:val="22"/>
        </w:rPr>
        <w:t>я</w:t>
      </w:r>
      <w:r w:rsidR="00E5556E" w:rsidRPr="00B26024">
        <w:rPr>
          <w:b/>
          <w:bCs/>
          <w:sz w:val="22"/>
          <w:szCs w:val="22"/>
        </w:rPr>
        <w:t xml:space="preserve"> №</w:t>
      </w:r>
      <w:r w:rsidR="00EC78EB" w:rsidRPr="00B26024">
        <w:rPr>
          <w:b/>
          <w:bCs/>
          <w:sz w:val="22"/>
          <w:szCs w:val="22"/>
        </w:rPr>
        <w:t>3</w:t>
      </w:r>
      <w:r w:rsidR="00E5556E" w:rsidRPr="00B26024">
        <w:rPr>
          <w:b/>
          <w:bCs/>
          <w:sz w:val="22"/>
          <w:szCs w:val="22"/>
        </w:rPr>
        <w:t xml:space="preserve"> в Правила доверительного управления</w:t>
      </w:r>
    </w:p>
    <w:p w:rsidR="00E5556E" w:rsidRPr="00B26024" w:rsidRDefault="00F20399" w:rsidP="00E5556E">
      <w:pPr>
        <w:jc w:val="center"/>
        <w:rPr>
          <w:sz w:val="22"/>
          <w:szCs w:val="22"/>
        </w:rPr>
      </w:pPr>
      <w:r w:rsidRPr="00B26024">
        <w:rPr>
          <w:b/>
          <w:bCs/>
          <w:sz w:val="22"/>
          <w:szCs w:val="22"/>
        </w:rPr>
        <w:t>Ипотечн</w:t>
      </w:r>
      <w:r>
        <w:rPr>
          <w:b/>
          <w:bCs/>
          <w:sz w:val="22"/>
          <w:szCs w:val="22"/>
        </w:rPr>
        <w:t>ым</w:t>
      </w:r>
      <w:r w:rsidRPr="00B26024">
        <w:rPr>
          <w:b/>
          <w:bCs/>
          <w:sz w:val="22"/>
          <w:szCs w:val="22"/>
        </w:rPr>
        <w:t xml:space="preserve"> закрыт</w:t>
      </w:r>
      <w:r>
        <w:rPr>
          <w:b/>
          <w:bCs/>
          <w:sz w:val="22"/>
          <w:szCs w:val="22"/>
        </w:rPr>
        <w:t>ым</w:t>
      </w:r>
      <w:r w:rsidRPr="00B26024">
        <w:rPr>
          <w:b/>
          <w:bCs/>
          <w:sz w:val="22"/>
          <w:szCs w:val="22"/>
        </w:rPr>
        <w:t xml:space="preserve"> паев</w:t>
      </w:r>
      <w:r>
        <w:rPr>
          <w:b/>
          <w:bCs/>
          <w:sz w:val="22"/>
          <w:szCs w:val="22"/>
        </w:rPr>
        <w:t>ым</w:t>
      </w:r>
      <w:r w:rsidRPr="00B26024">
        <w:rPr>
          <w:b/>
          <w:bCs/>
          <w:sz w:val="22"/>
          <w:szCs w:val="22"/>
        </w:rPr>
        <w:t xml:space="preserve"> инвестиционн</w:t>
      </w:r>
      <w:r>
        <w:rPr>
          <w:b/>
          <w:bCs/>
          <w:sz w:val="22"/>
          <w:szCs w:val="22"/>
        </w:rPr>
        <w:t>ым</w:t>
      </w:r>
      <w:r w:rsidRPr="00B26024">
        <w:rPr>
          <w:b/>
          <w:bCs/>
          <w:sz w:val="22"/>
          <w:szCs w:val="22"/>
        </w:rPr>
        <w:t xml:space="preserve"> фонд</w:t>
      </w:r>
      <w:r>
        <w:rPr>
          <w:b/>
          <w:bCs/>
          <w:sz w:val="22"/>
          <w:szCs w:val="22"/>
        </w:rPr>
        <w:t>ом</w:t>
      </w:r>
      <w:r w:rsidRPr="00B26024">
        <w:rPr>
          <w:b/>
          <w:bCs/>
          <w:sz w:val="22"/>
          <w:szCs w:val="22"/>
        </w:rPr>
        <w:t xml:space="preserve"> </w:t>
      </w:r>
      <w:r w:rsidR="007D04BB" w:rsidRPr="00B26024">
        <w:rPr>
          <w:b/>
          <w:bCs/>
          <w:sz w:val="22"/>
          <w:szCs w:val="22"/>
        </w:rPr>
        <w:t>«АК БАРС – Первый Ипотечный» под управлением Общества с ограниченной ответственностью Управляющая компания «АК БАРС КАПИТАЛ»</w:t>
      </w:r>
      <w:r w:rsidR="00E5556E" w:rsidRPr="00B26024">
        <w:rPr>
          <w:b/>
          <w:bCs/>
          <w:sz w:val="22"/>
          <w:szCs w:val="22"/>
        </w:rPr>
        <w:t xml:space="preserve"> </w:t>
      </w:r>
      <w:r w:rsidR="00E5556E" w:rsidRPr="00B26024">
        <w:rPr>
          <w:sz w:val="22"/>
          <w:szCs w:val="22"/>
        </w:rPr>
        <w:t xml:space="preserve">   </w:t>
      </w:r>
    </w:p>
    <w:p w:rsidR="00E5556E" w:rsidRPr="00B26024" w:rsidRDefault="00E5556E" w:rsidP="00E5556E">
      <w:pPr>
        <w:spacing w:before="120"/>
        <w:jc w:val="center"/>
        <w:rPr>
          <w:sz w:val="22"/>
          <w:szCs w:val="22"/>
        </w:rPr>
      </w:pPr>
      <w:r w:rsidRPr="00B26024">
        <w:rPr>
          <w:sz w:val="22"/>
          <w:szCs w:val="22"/>
        </w:rPr>
        <w:t xml:space="preserve">(Правила зарегистрированы ФСФР России за  № </w:t>
      </w:r>
      <w:r w:rsidR="007D04BB" w:rsidRPr="00B26024">
        <w:rPr>
          <w:sz w:val="22"/>
          <w:szCs w:val="22"/>
        </w:rPr>
        <w:t>1598 - 94198110 от 08.10.2009 г.</w:t>
      </w:r>
      <w:r w:rsidRPr="00B26024">
        <w:rPr>
          <w:sz w:val="22"/>
          <w:szCs w:val="22"/>
        </w:rPr>
        <w:t>)</w:t>
      </w:r>
    </w:p>
    <w:p w:rsidR="00E5556E" w:rsidRPr="00B26024" w:rsidRDefault="00E5556E" w:rsidP="00E5556E">
      <w:pPr>
        <w:rPr>
          <w:sz w:val="22"/>
          <w:szCs w:val="22"/>
        </w:rPr>
      </w:pPr>
    </w:p>
    <w:p w:rsidR="00E5556E" w:rsidRPr="00B26024" w:rsidRDefault="00E5556E" w:rsidP="00E5556E">
      <w:pPr>
        <w:rPr>
          <w:sz w:val="22"/>
          <w:szCs w:val="22"/>
        </w:rPr>
      </w:pPr>
    </w:p>
    <w:p w:rsidR="00E5556E" w:rsidRPr="00B26024" w:rsidRDefault="00E5556E" w:rsidP="00E5556E">
      <w:pPr>
        <w:ind w:firstLine="708"/>
        <w:jc w:val="both"/>
        <w:rPr>
          <w:sz w:val="22"/>
          <w:szCs w:val="22"/>
        </w:rPr>
      </w:pPr>
      <w:r w:rsidRPr="00B26024">
        <w:rPr>
          <w:sz w:val="22"/>
          <w:szCs w:val="22"/>
        </w:rPr>
        <w:t xml:space="preserve">Внести в правила доверительного управления </w:t>
      </w:r>
      <w:r w:rsidR="00F20399" w:rsidRPr="00B26024">
        <w:rPr>
          <w:sz w:val="22"/>
          <w:szCs w:val="22"/>
        </w:rPr>
        <w:t>Ипотечн</w:t>
      </w:r>
      <w:r w:rsidR="00F20399">
        <w:rPr>
          <w:sz w:val="22"/>
          <w:szCs w:val="22"/>
        </w:rPr>
        <w:t>ым</w:t>
      </w:r>
      <w:r w:rsidR="00F20399" w:rsidRPr="00B26024">
        <w:rPr>
          <w:sz w:val="22"/>
          <w:szCs w:val="22"/>
        </w:rPr>
        <w:t xml:space="preserve"> закрыт</w:t>
      </w:r>
      <w:r w:rsidR="00F20399">
        <w:rPr>
          <w:sz w:val="22"/>
          <w:szCs w:val="22"/>
        </w:rPr>
        <w:t>ым</w:t>
      </w:r>
      <w:r w:rsidR="00F20399" w:rsidRPr="00B26024">
        <w:rPr>
          <w:sz w:val="22"/>
          <w:szCs w:val="22"/>
        </w:rPr>
        <w:t xml:space="preserve"> паев</w:t>
      </w:r>
      <w:r w:rsidR="00F20399">
        <w:rPr>
          <w:sz w:val="22"/>
          <w:szCs w:val="22"/>
        </w:rPr>
        <w:t>ым</w:t>
      </w:r>
      <w:r w:rsidR="00F20399" w:rsidRPr="00B26024">
        <w:rPr>
          <w:sz w:val="22"/>
          <w:szCs w:val="22"/>
        </w:rPr>
        <w:t xml:space="preserve"> инвестиционн</w:t>
      </w:r>
      <w:r w:rsidR="00F20399">
        <w:rPr>
          <w:sz w:val="22"/>
          <w:szCs w:val="22"/>
        </w:rPr>
        <w:t>ым</w:t>
      </w:r>
      <w:r w:rsidR="00F20399" w:rsidRPr="00B26024">
        <w:rPr>
          <w:sz w:val="22"/>
          <w:szCs w:val="22"/>
        </w:rPr>
        <w:t xml:space="preserve"> фонд</w:t>
      </w:r>
      <w:r w:rsidR="00F20399">
        <w:rPr>
          <w:sz w:val="22"/>
          <w:szCs w:val="22"/>
        </w:rPr>
        <w:t>ом</w:t>
      </w:r>
      <w:r w:rsidR="00F20399" w:rsidRPr="00B26024">
        <w:rPr>
          <w:sz w:val="22"/>
          <w:szCs w:val="22"/>
        </w:rPr>
        <w:t xml:space="preserve"> </w:t>
      </w:r>
      <w:r w:rsidR="007D04BB" w:rsidRPr="00B26024">
        <w:rPr>
          <w:sz w:val="22"/>
          <w:szCs w:val="22"/>
        </w:rPr>
        <w:t>«АК БАРС – Первый Ипотечный» под управлением Общества с ограниченной ответственностью Управляющая компания «АК БАРС КАПИТАЛ»</w:t>
      </w:r>
      <w:r w:rsidRPr="00B26024">
        <w:rPr>
          <w:sz w:val="22"/>
          <w:szCs w:val="22"/>
        </w:rPr>
        <w:t xml:space="preserve"> (далее – Правила Фонда) следующие изменения и дополнения:</w:t>
      </w:r>
    </w:p>
    <w:p w:rsidR="00E5556E" w:rsidRPr="00B26024" w:rsidRDefault="00E5556E" w:rsidP="00E5556E">
      <w:pPr>
        <w:jc w:val="both"/>
        <w:rPr>
          <w:sz w:val="22"/>
          <w:szCs w:val="22"/>
        </w:rPr>
      </w:pPr>
    </w:p>
    <w:p w:rsidR="00E5556E" w:rsidRPr="00B26024" w:rsidRDefault="00E5556E" w:rsidP="00E5556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3178AD" w:rsidRPr="00B26024">
        <w:trPr>
          <w:trHeight w:val="465"/>
        </w:trPr>
        <w:tc>
          <w:tcPr>
            <w:tcW w:w="4788" w:type="dxa"/>
          </w:tcPr>
          <w:p w:rsidR="003178AD" w:rsidRPr="00B26024" w:rsidRDefault="003178AD" w:rsidP="00A9284C">
            <w:pPr>
              <w:jc w:val="center"/>
              <w:rPr>
                <w:b/>
                <w:bCs/>
              </w:rPr>
            </w:pPr>
            <w:r w:rsidRPr="00B26024">
              <w:rPr>
                <w:b/>
                <w:bCs/>
                <w:sz w:val="22"/>
                <w:szCs w:val="22"/>
              </w:rPr>
              <w:t>старая редакция</w:t>
            </w:r>
          </w:p>
        </w:tc>
        <w:tc>
          <w:tcPr>
            <w:tcW w:w="4860" w:type="dxa"/>
          </w:tcPr>
          <w:p w:rsidR="003178AD" w:rsidRPr="00B26024" w:rsidRDefault="003178AD" w:rsidP="00A9284C">
            <w:pPr>
              <w:jc w:val="center"/>
              <w:rPr>
                <w:b/>
                <w:bCs/>
              </w:rPr>
            </w:pPr>
            <w:r w:rsidRPr="00B26024">
              <w:rPr>
                <w:b/>
                <w:bCs/>
                <w:sz w:val="22"/>
                <w:szCs w:val="22"/>
              </w:rPr>
              <w:t>новая редакция</w:t>
            </w:r>
          </w:p>
        </w:tc>
      </w:tr>
      <w:tr w:rsidR="003178AD" w:rsidRPr="00B26024">
        <w:trPr>
          <w:trHeight w:val="1200"/>
        </w:trPr>
        <w:tc>
          <w:tcPr>
            <w:tcW w:w="4788" w:type="dxa"/>
          </w:tcPr>
          <w:p w:rsidR="003178AD" w:rsidRPr="00B26024" w:rsidRDefault="00CD68A5" w:rsidP="00B26024">
            <w:pPr>
              <w:tabs>
                <w:tab w:val="left" w:pos="9072"/>
              </w:tabs>
            </w:pPr>
            <w:r w:rsidRPr="00B26024">
              <w:rPr>
                <w:sz w:val="22"/>
                <w:szCs w:val="22"/>
              </w:rPr>
              <w:t xml:space="preserve">1. Полное название паевого инвестиционного фонда – Ипотечный закрытый паевой инвестиционный фонд «АК БАРС – Первый Ипотечный» под управлением Общества с ограниченной ответственностью Управляющая компания «АК БАРС КАПИТАЛ»                  (далее    - фонд). </w:t>
            </w:r>
          </w:p>
        </w:tc>
        <w:tc>
          <w:tcPr>
            <w:tcW w:w="4860" w:type="dxa"/>
          </w:tcPr>
          <w:p w:rsidR="00CD68A5" w:rsidRPr="00B26024" w:rsidRDefault="00CD68A5" w:rsidP="00CD68A5">
            <w:r w:rsidRPr="00B26024">
              <w:rPr>
                <w:sz w:val="22"/>
                <w:szCs w:val="22"/>
              </w:rPr>
              <w:t xml:space="preserve">1. Полное название паевого инвестиционного фонда: Закрытый паевой инвестиционный фонд недвижимости «АК БАРС – </w:t>
            </w:r>
            <w:r w:rsidR="00BE799D">
              <w:rPr>
                <w:sz w:val="22"/>
                <w:szCs w:val="22"/>
              </w:rPr>
              <w:t>РЕСУРС</w:t>
            </w:r>
            <w:r w:rsidRPr="00B26024">
              <w:rPr>
                <w:sz w:val="22"/>
                <w:szCs w:val="22"/>
              </w:rPr>
              <w:t>» (далее - Фонд).</w:t>
            </w:r>
          </w:p>
          <w:p w:rsidR="003178AD" w:rsidRPr="00B26024" w:rsidRDefault="003178AD" w:rsidP="00CD68A5">
            <w:pPr>
              <w:autoSpaceDE w:val="0"/>
              <w:autoSpaceDN w:val="0"/>
              <w:adjustRightInd w:val="0"/>
            </w:pPr>
          </w:p>
        </w:tc>
      </w:tr>
      <w:tr w:rsidR="00CD68A5" w:rsidRPr="00B26024">
        <w:trPr>
          <w:trHeight w:val="1200"/>
        </w:trPr>
        <w:tc>
          <w:tcPr>
            <w:tcW w:w="4788" w:type="dxa"/>
          </w:tcPr>
          <w:p w:rsidR="00CD68A5" w:rsidRPr="00B26024" w:rsidRDefault="00CD68A5" w:rsidP="00CD68A5">
            <w:pPr>
              <w:tabs>
                <w:tab w:val="left" w:pos="9072"/>
              </w:tabs>
            </w:pPr>
            <w:r w:rsidRPr="00B26024">
              <w:rPr>
                <w:sz w:val="22"/>
                <w:szCs w:val="22"/>
              </w:rPr>
              <w:t>2. Краткое название фонда  - Ипотечный ЗПИФ «АК БАРС – Первый Ипотечный» под управлением ООО УК «АК БАРС КАПИТАЛ»</w:t>
            </w:r>
            <w:r w:rsidR="00B26024">
              <w:rPr>
                <w:sz w:val="22"/>
                <w:szCs w:val="22"/>
              </w:rPr>
              <w:t>.</w:t>
            </w:r>
          </w:p>
        </w:tc>
        <w:tc>
          <w:tcPr>
            <w:tcW w:w="4860" w:type="dxa"/>
          </w:tcPr>
          <w:p w:rsidR="00CD68A5" w:rsidRPr="00B26024" w:rsidRDefault="00CD68A5" w:rsidP="00EC78EB">
            <w:r w:rsidRPr="00B26024">
              <w:rPr>
                <w:sz w:val="22"/>
                <w:szCs w:val="22"/>
              </w:rPr>
              <w:t xml:space="preserve">2. Краткое название Фонда: ЗПИФ недвижимости «АК БАРС – </w:t>
            </w:r>
            <w:r w:rsidR="00BE799D">
              <w:rPr>
                <w:sz w:val="22"/>
                <w:szCs w:val="22"/>
              </w:rPr>
              <w:t>РЕСУРС</w:t>
            </w:r>
            <w:r w:rsidRPr="00B26024">
              <w:rPr>
                <w:sz w:val="22"/>
                <w:szCs w:val="22"/>
              </w:rPr>
              <w:t>».</w:t>
            </w:r>
          </w:p>
        </w:tc>
      </w:tr>
      <w:tr w:rsidR="00CD68A5" w:rsidRPr="00B26024">
        <w:trPr>
          <w:trHeight w:val="1200"/>
        </w:trPr>
        <w:tc>
          <w:tcPr>
            <w:tcW w:w="4788" w:type="dxa"/>
          </w:tcPr>
          <w:p w:rsidR="00CD68A5" w:rsidRPr="00B26024" w:rsidRDefault="00CD68A5" w:rsidP="004D5808">
            <w:pPr>
              <w:tabs>
                <w:tab w:val="left" w:pos="9072"/>
              </w:tabs>
            </w:pPr>
            <w:r w:rsidRPr="00B26024">
              <w:rPr>
                <w:sz w:val="22"/>
                <w:szCs w:val="22"/>
              </w:rPr>
              <w:t>16. Полное фирменное наименование юридических лиц, осуществляющих оценку имущества, составляющего Фонд (далее - оценщики):</w:t>
            </w:r>
          </w:p>
          <w:p w:rsidR="00CD68A5" w:rsidRPr="00B26024" w:rsidRDefault="00CD68A5" w:rsidP="004D5808">
            <w:pPr>
              <w:tabs>
                <w:tab w:val="left" w:pos="9072"/>
              </w:tabs>
            </w:pPr>
            <w:r w:rsidRPr="00B26024">
              <w:rPr>
                <w:sz w:val="22"/>
                <w:szCs w:val="22"/>
              </w:rPr>
              <w:t>16.1. Закрытое акционерное общество «Независимая консалтинговая компания «СЭНК»;</w:t>
            </w:r>
          </w:p>
          <w:p w:rsidR="00CD68A5" w:rsidRPr="00B26024" w:rsidRDefault="00CD68A5" w:rsidP="004D5808">
            <w:pPr>
              <w:tabs>
                <w:tab w:val="left" w:pos="9072"/>
              </w:tabs>
            </w:pPr>
            <w:r w:rsidRPr="00B26024">
              <w:rPr>
                <w:sz w:val="22"/>
                <w:szCs w:val="22"/>
              </w:rPr>
              <w:t>16.2 Общество с ограниченной ответственностью «НЭО Центр»;</w:t>
            </w:r>
          </w:p>
          <w:p w:rsidR="00CD68A5" w:rsidRPr="00B26024" w:rsidRDefault="00CD68A5" w:rsidP="004D5808">
            <w:pPr>
              <w:tabs>
                <w:tab w:val="left" w:pos="9072"/>
              </w:tabs>
              <w:rPr>
                <w:b/>
                <w:bCs/>
              </w:rPr>
            </w:pPr>
            <w:r w:rsidRPr="00B26024">
              <w:rPr>
                <w:sz w:val="22"/>
                <w:szCs w:val="22"/>
              </w:rPr>
              <w:t>16.3. Общество с ограниченной ответственностью «РегионБизнесКонсалтинг».</w:t>
            </w:r>
          </w:p>
        </w:tc>
        <w:tc>
          <w:tcPr>
            <w:tcW w:w="4860" w:type="dxa"/>
          </w:tcPr>
          <w:p w:rsidR="00CD68A5" w:rsidRPr="00B26024" w:rsidRDefault="00CD68A5" w:rsidP="004D5808">
            <w:r w:rsidRPr="00B26024">
              <w:rPr>
                <w:sz w:val="22"/>
                <w:szCs w:val="22"/>
              </w:rPr>
              <w:t xml:space="preserve">16. Полное фирменное наименование юридических лиц, осуществляющих оценку имущества, составляющего фонд (далее каждый по отдельности – оценщик): </w:t>
            </w:r>
          </w:p>
          <w:p w:rsidR="00CD68A5" w:rsidRPr="00B26024" w:rsidRDefault="00CD68A5" w:rsidP="004D5808">
            <w:r w:rsidRPr="00B26024">
              <w:rPr>
                <w:sz w:val="22"/>
                <w:szCs w:val="22"/>
              </w:rPr>
              <w:t>16.1. Закрытое акционерное общество «Независимая консалтинговая компания «СЭНК»;</w:t>
            </w:r>
          </w:p>
          <w:p w:rsidR="00CD68A5" w:rsidRPr="00B26024" w:rsidRDefault="00CD68A5" w:rsidP="004D5808">
            <w:r w:rsidRPr="00B26024">
              <w:rPr>
                <w:sz w:val="22"/>
                <w:szCs w:val="22"/>
              </w:rPr>
              <w:t>16.2 Общество с ограниченной ответственностью «НЭО Центр»;</w:t>
            </w:r>
          </w:p>
          <w:p w:rsidR="00CD68A5" w:rsidRPr="00B26024" w:rsidRDefault="00CD68A5" w:rsidP="004D5808">
            <w:r w:rsidRPr="00B26024">
              <w:rPr>
                <w:sz w:val="22"/>
                <w:szCs w:val="22"/>
              </w:rPr>
              <w:t>16.3. Общество с ограниченной ответственностью «РегионБизнесКонсалтинг»;</w:t>
            </w:r>
          </w:p>
          <w:p w:rsidR="00CD68A5" w:rsidRPr="00B26024" w:rsidRDefault="00CD68A5" w:rsidP="004D5808">
            <w:r w:rsidRPr="00B26024">
              <w:rPr>
                <w:sz w:val="22"/>
                <w:szCs w:val="22"/>
              </w:rPr>
              <w:t>16.4. Общество с ограниченной ответственностью «Центр независимой оценки «Эксперт»</w:t>
            </w:r>
          </w:p>
        </w:tc>
      </w:tr>
      <w:tr w:rsidR="00CD68A5" w:rsidRPr="00B26024">
        <w:trPr>
          <w:trHeight w:val="1200"/>
        </w:trPr>
        <w:tc>
          <w:tcPr>
            <w:tcW w:w="4788" w:type="dxa"/>
          </w:tcPr>
          <w:p w:rsidR="00CD68A5" w:rsidRPr="00B26024" w:rsidRDefault="00CD68A5" w:rsidP="004D5808">
            <w:r w:rsidRPr="00B26024">
              <w:rPr>
                <w:sz w:val="22"/>
                <w:szCs w:val="22"/>
              </w:rPr>
              <w:t>17. Место нахождения оценщиков:</w:t>
            </w:r>
          </w:p>
          <w:p w:rsidR="00CD68A5" w:rsidRPr="00B26024" w:rsidRDefault="00CD68A5" w:rsidP="004D5808">
            <w:r w:rsidRPr="00B26024">
              <w:rPr>
                <w:sz w:val="22"/>
                <w:szCs w:val="22"/>
              </w:rPr>
              <w:t>17.1. Закрытое акционерное общество «Независимая консалтинговая компания «СЭНК» - 420111, Республика Татарстан, г. Казань, ул. Лево-Булачная, д. 24;</w:t>
            </w:r>
          </w:p>
          <w:p w:rsidR="00CD68A5" w:rsidRPr="00B26024" w:rsidRDefault="00CD68A5" w:rsidP="004D5808">
            <w:r w:rsidRPr="00B26024">
              <w:rPr>
                <w:sz w:val="22"/>
                <w:szCs w:val="22"/>
              </w:rPr>
              <w:t>17.2. Общество с ограниченной ответственностью «НЭО Центр» - 420107, Республика Татарстан, г. Казань, ул. Спартаковская, д. 6;</w:t>
            </w:r>
          </w:p>
          <w:p w:rsidR="00CD68A5" w:rsidRPr="00B26024" w:rsidRDefault="00CD68A5" w:rsidP="004D5808">
            <w:r w:rsidRPr="00B26024">
              <w:rPr>
                <w:sz w:val="22"/>
                <w:szCs w:val="22"/>
              </w:rPr>
              <w:t xml:space="preserve">17.3. Общество с ограниченной ответственностью «РегионБизнесКонсалтинг» - </w:t>
            </w:r>
            <w:r w:rsidRPr="00B26024">
              <w:rPr>
                <w:sz w:val="22"/>
                <w:szCs w:val="22"/>
              </w:rPr>
              <w:lastRenderedPageBreak/>
              <w:t>420124, РТ, г. Казань, ул. Чистопольская, д. 20/12.</w:t>
            </w:r>
          </w:p>
          <w:p w:rsidR="00CD68A5" w:rsidRPr="00B26024" w:rsidRDefault="00CD68A5" w:rsidP="004D5808">
            <w:pPr>
              <w:tabs>
                <w:tab w:val="left" w:pos="9072"/>
              </w:tabs>
              <w:ind w:firstLine="318"/>
            </w:pPr>
          </w:p>
        </w:tc>
        <w:tc>
          <w:tcPr>
            <w:tcW w:w="4860" w:type="dxa"/>
          </w:tcPr>
          <w:p w:rsidR="00CD68A5" w:rsidRPr="00B26024" w:rsidRDefault="00CD68A5" w:rsidP="004D5808">
            <w:r w:rsidRPr="00B26024">
              <w:rPr>
                <w:sz w:val="22"/>
                <w:szCs w:val="22"/>
              </w:rPr>
              <w:lastRenderedPageBreak/>
              <w:t>17. Место нахождения оценщика:</w:t>
            </w:r>
          </w:p>
          <w:p w:rsidR="00CD68A5" w:rsidRPr="00B26024" w:rsidRDefault="00CD68A5" w:rsidP="004D5808">
            <w:r w:rsidRPr="00B26024">
              <w:rPr>
                <w:sz w:val="22"/>
                <w:szCs w:val="22"/>
              </w:rPr>
              <w:t>17.1. Закрытое акционерное общество «Независимая консалтинговая компания «СЭНК» - 420111, Республика Татарстан, г. Казань, ул. Лево-Булачная, д. 24;</w:t>
            </w:r>
          </w:p>
          <w:p w:rsidR="00CD68A5" w:rsidRPr="00B26024" w:rsidRDefault="00CD68A5" w:rsidP="004D5808">
            <w:r w:rsidRPr="00B26024">
              <w:rPr>
                <w:sz w:val="22"/>
                <w:szCs w:val="22"/>
              </w:rPr>
              <w:t>17.2. Общество с ограниченной ответственностью «НЭО Центр» - 420107, Республика Татарстан, г. Казань, ул. Спартаковская, д. 6;</w:t>
            </w:r>
          </w:p>
          <w:p w:rsidR="00CD68A5" w:rsidRPr="00B26024" w:rsidRDefault="00CD68A5" w:rsidP="004D5808">
            <w:r w:rsidRPr="00B26024">
              <w:rPr>
                <w:sz w:val="22"/>
                <w:szCs w:val="22"/>
              </w:rPr>
              <w:t xml:space="preserve">17.3. Общество с ограниченной ответственностью «РегионБизнесКонсалтинг» - </w:t>
            </w:r>
            <w:r w:rsidRPr="00B26024">
              <w:rPr>
                <w:sz w:val="22"/>
                <w:szCs w:val="22"/>
              </w:rPr>
              <w:lastRenderedPageBreak/>
              <w:t>420124, РТ, г. Казань, ул. Чистопольская, д. 20/12</w:t>
            </w:r>
            <w:r w:rsidR="00B26024">
              <w:rPr>
                <w:sz w:val="22"/>
                <w:szCs w:val="22"/>
              </w:rPr>
              <w:t>.</w:t>
            </w:r>
          </w:p>
          <w:p w:rsidR="00CD68A5" w:rsidRPr="00B26024" w:rsidRDefault="00CD68A5" w:rsidP="004D5808">
            <w:r w:rsidRPr="00B26024">
              <w:rPr>
                <w:sz w:val="22"/>
                <w:szCs w:val="22"/>
              </w:rPr>
              <w:t>17.4. Общество с ограниченной ответственностью «Центр независимой оценки «Эксперт» - 420073, г.</w:t>
            </w:r>
            <w:r w:rsidR="00EC78EB" w:rsidRPr="00B26024">
              <w:rPr>
                <w:sz w:val="22"/>
                <w:szCs w:val="22"/>
              </w:rPr>
              <w:t xml:space="preserve"> </w:t>
            </w:r>
            <w:r w:rsidRPr="00B26024">
              <w:rPr>
                <w:sz w:val="22"/>
                <w:szCs w:val="22"/>
              </w:rPr>
              <w:t>Казань, ул.</w:t>
            </w:r>
            <w:r w:rsidR="00C877E8" w:rsidRPr="00B26024">
              <w:rPr>
                <w:sz w:val="22"/>
                <w:szCs w:val="22"/>
              </w:rPr>
              <w:t xml:space="preserve"> </w:t>
            </w:r>
            <w:r w:rsidRPr="00B26024">
              <w:rPr>
                <w:sz w:val="22"/>
                <w:szCs w:val="22"/>
              </w:rPr>
              <w:t>Аделя Кутуя, д.44А</w:t>
            </w:r>
            <w:r w:rsidR="00B26024">
              <w:rPr>
                <w:sz w:val="22"/>
                <w:szCs w:val="22"/>
              </w:rPr>
              <w:t>.</w:t>
            </w:r>
          </w:p>
        </w:tc>
      </w:tr>
      <w:tr w:rsidR="006E4A05" w:rsidRPr="00B26024">
        <w:trPr>
          <w:trHeight w:val="1200"/>
        </w:trPr>
        <w:tc>
          <w:tcPr>
            <w:tcW w:w="4788" w:type="dxa"/>
          </w:tcPr>
          <w:p w:rsidR="006E4A05" w:rsidRPr="001F3EE3" w:rsidRDefault="006E4A05" w:rsidP="006E4A05">
            <w:pPr>
              <w:tabs>
                <w:tab w:val="left" w:pos="9072"/>
              </w:tabs>
              <w:ind w:firstLine="720"/>
            </w:pPr>
            <w:r w:rsidRPr="001F3EE3">
              <w:rPr>
                <w:sz w:val="22"/>
                <w:szCs w:val="22"/>
              </w:rPr>
              <w:lastRenderedPageBreak/>
              <w:t>24. Инвестиционной политикой Управляющей компании </w:t>
            </w:r>
            <w:bookmarkStart w:id="0" w:name="p_27"/>
            <w:bookmarkEnd w:id="0"/>
            <w:r w:rsidRPr="001F3EE3">
              <w:rPr>
                <w:sz w:val="22"/>
                <w:szCs w:val="22"/>
              </w:rPr>
              <w:t>является долгосрочное вложение средств в ценные бумаги и денежные требования по обеспеченным ипотекой обязательствам из кредитных договоров для достижения прироста имущества, составляющего фонд.</w:t>
            </w:r>
          </w:p>
          <w:p w:rsidR="006E4A05" w:rsidRPr="001F3EE3" w:rsidRDefault="006E4A05" w:rsidP="006E4A05">
            <w:pPr>
              <w:tabs>
                <w:tab w:val="left" w:pos="9072"/>
              </w:tabs>
              <w:ind w:firstLine="720"/>
            </w:pPr>
            <w:r w:rsidRPr="001F3EE3">
              <w:rPr>
                <w:sz w:val="22"/>
                <w:szCs w:val="22"/>
              </w:rPr>
              <w:t>25. Объекты инвестирования, их состав и описание.</w:t>
            </w:r>
          </w:p>
          <w:p w:rsidR="006E4A05" w:rsidRPr="001F3EE3" w:rsidRDefault="006E4A05" w:rsidP="006E4A05">
            <w:pPr>
              <w:ind w:firstLine="720"/>
            </w:pPr>
            <w:r w:rsidRPr="001F3EE3">
              <w:rPr>
                <w:sz w:val="22"/>
                <w:szCs w:val="22"/>
              </w:rPr>
              <w:t>25.1 Имущество, составляющее фонд, может быть инвестировано в:</w:t>
            </w:r>
          </w:p>
          <w:p w:rsidR="006E4A05" w:rsidRPr="001F3EE3" w:rsidRDefault="006E4A05" w:rsidP="006E4A05">
            <w:pPr>
              <w:tabs>
                <w:tab w:val="left" w:pos="9072"/>
              </w:tabs>
              <w:ind w:firstLine="720"/>
            </w:pPr>
            <w:r w:rsidRPr="001F3EE3">
              <w:rPr>
                <w:sz w:val="22"/>
                <w:szCs w:val="22"/>
              </w:rPr>
              <w:t>1) денежные средства, включая иностранную валюту, на счетах и во вкладах в кредитных организациях;</w:t>
            </w:r>
          </w:p>
          <w:p w:rsidR="006E4A05" w:rsidRPr="001F3EE3" w:rsidRDefault="006E4A05" w:rsidP="006E4A05">
            <w:pPr>
              <w:tabs>
                <w:tab w:val="left" w:pos="9072"/>
              </w:tabs>
              <w:ind w:firstLine="720"/>
            </w:pPr>
            <w:bookmarkStart w:id="1" w:name="p352"/>
            <w:bookmarkEnd w:id="1"/>
            <w:r w:rsidRPr="001F3EE3">
              <w:rPr>
                <w:sz w:val="22"/>
                <w:szCs w:val="22"/>
              </w:rPr>
              <w:t>2) государственные ценные бумаги Российской Федерации;</w:t>
            </w:r>
          </w:p>
          <w:p w:rsidR="006E4A05" w:rsidRPr="001F3EE3" w:rsidRDefault="006E4A05" w:rsidP="006E4A05">
            <w:pPr>
              <w:tabs>
                <w:tab w:val="left" w:pos="993"/>
                <w:tab w:val="left" w:pos="9072"/>
              </w:tabs>
              <w:ind w:firstLine="720"/>
            </w:pPr>
            <w:bookmarkStart w:id="2" w:name="p353"/>
            <w:bookmarkEnd w:id="2"/>
            <w:r w:rsidRPr="001F3EE3">
              <w:rPr>
                <w:sz w:val="22"/>
                <w:szCs w:val="22"/>
              </w:rPr>
              <w:t>3) государственные ценные бумаги субъектов Российской Федерации;</w:t>
            </w:r>
          </w:p>
          <w:p w:rsidR="006E4A05" w:rsidRPr="001F3EE3" w:rsidRDefault="006E4A05" w:rsidP="006E4A05">
            <w:pPr>
              <w:tabs>
                <w:tab w:val="left" w:pos="9072"/>
              </w:tabs>
              <w:ind w:firstLine="720"/>
            </w:pPr>
            <w:bookmarkStart w:id="3" w:name="p354"/>
            <w:bookmarkEnd w:id="3"/>
            <w:r w:rsidRPr="001F3EE3">
              <w:rPr>
                <w:sz w:val="22"/>
                <w:szCs w:val="22"/>
              </w:rPr>
              <w:t xml:space="preserve">4) денежные требования, вытекающие из обеспеченных ипотекой кредитных договоров или договоров займа, и права залогодержателя по соответствующим договорам об ипотеке с соблюдением условий, предусмотренных пунктом 25.2  настоящих Правил. </w:t>
            </w:r>
          </w:p>
          <w:p w:rsidR="006E4A05" w:rsidRPr="001F3EE3" w:rsidRDefault="006E4A05" w:rsidP="006E4A05">
            <w:pPr>
              <w:tabs>
                <w:tab w:val="left" w:pos="9072"/>
              </w:tabs>
              <w:ind w:firstLine="720"/>
            </w:pPr>
            <w:r w:rsidRPr="001F3EE3">
              <w:rPr>
                <w:sz w:val="22"/>
                <w:szCs w:val="22"/>
              </w:rPr>
              <w:t>5) закладные, удостоверяющие права залогодержателя по обеспеченным ипотекой кредитным договорам или договорам займа и по договорам об ипотеке, с соблюдением условий, предусмотренных пунктом 25.2  настоящих Правил;</w:t>
            </w:r>
          </w:p>
          <w:p w:rsidR="006E4A05" w:rsidRPr="001F3EE3" w:rsidRDefault="006E4A05" w:rsidP="006E4A05">
            <w:pPr>
              <w:tabs>
                <w:tab w:val="left" w:pos="9072"/>
              </w:tabs>
              <w:ind w:firstLine="720"/>
            </w:pPr>
            <w:bookmarkStart w:id="4" w:name="p356"/>
            <w:bookmarkEnd w:id="4"/>
            <w:r w:rsidRPr="001F3EE3">
              <w:rPr>
                <w:sz w:val="22"/>
                <w:szCs w:val="22"/>
              </w:rPr>
              <w:t>6) денежные требования, вытекающие из кредитных договоров или договоров займа, предоставленным для целей уплаты цены по договорам участия в долевом строительстве, и права залогодержателя по соответствующим договорам об ипотеке с соблюдением условий, предусмотренных пунктом 25.4  настоящих Правил;</w:t>
            </w:r>
          </w:p>
          <w:p w:rsidR="006E4A05" w:rsidRPr="001F3EE3" w:rsidRDefault="006E4A05" w:rsidP="006E4A05">
            <w:pPr>
              <w:tabs>
                <w:tab w:val="left" w:pos="9072"/>
              </w:tabs>
              <w:ind w:firstLine="720"/>
            </w:pPr>
            <w:bookmarkStart w:id="5" w:name="p357"/>
            <w:bookmarkEnd w:id="5"/>
            <w:r w:rsidRPr="001F3EE3">
              <w:rPr>
                <w:sz w:val="22"/>
                <w:szCs w:val="22"/>
              </w:rPr>
              <w:t xml:space="preserve">7) ипотечные ценные бумаги, выпущенные в соответствии с </w:t>
            </w:r>
            <w:hyperlink r:id="rId10" w:tooltip="ФЕДЕРАЛЬНЫЙ ЗАКОН от 11.11.2003 N 152-ФЗ (ред. от 27.07.2006) &quot;ОБ ИПОТЕЧНЫХ ЦЕННЫХ БУМАГАХ&quot; (принят ГД ФС РФ 14.10.2003)" w:history="1">
              <w:r w:rsidRPr="001F3EE3">
                <w:rPr>
                  <w:sz w:val="22"/>
                  <w:szCs w:val="22"/>
                </w:rPr>
                <w:t>законодательством</w:t>
              </w:r>
            </w:hyperlink>
            <w:r w:rsidRPr="001F3EE3">
              <w:rPr>
                <w:sz w:val="22"/>
                <w:szCs w:val="22"/>
              </w:rPr>
              <w:t xml:space="preserve"> Российской Федерации об ипотечных ценных бумагах;</w:t>
            </w:r>
          </w:p>
          <w:p w:rsidR="006E4A05" w:rsidRPr="001F3EE3" w:rsidRDefault="006E4A05" w:rsidP="006E4A05">
            <w:pPr>
              <w:tabs>
                <w:tab w:val="left" w:pos="9072"/>
              </w:tabs>
              <w:ind w:firstLine="720"/>
            </w:pPr>
            <w:bookmarkStart w:id="6" w:name="p358"/>
            <w:bookmarkEnd w:id="6"/>
            <w:r w:rsidRPr="001F3EE3">
              <w:rPr>
                <w:sz w:val="22"/>
                <w:szCs w:val="22"/>
              </w:rPr>
              <w:t>8) объекты недвижимого имущества, приобретенные (оставленные за собой) в соответствии с гражданским законодательством Российской Федерации при обращении на них взыскания в случае неисполнения или ненадлежащего исполнения обеспеченного ипотекой обязательства, денежные требования по которым составляют активы фонда;</w:t>
            </w:r>
          </w:p>
          <w:p w:rsidR="006E4A05" w:rsidRPr="001F3EE3" w:rsidRDefault="006E4A05" w:rsidP="006E4A05">
            <w:pPr>
              <w:tabs>
                <w:tab w:val="left" w:pos="9072"/>
              </w:tabs>
              <w:ind w:firstLine="720"/>
            </w:pPr>
            <w:bookmarkStart w:id="7" w:name="p359"/>
            <w:bookmarkEnd w:id="7"/>
            <w:r w:rsidRPr="001F3EE3">
              <w:rPr>
                <w:sz w:val="22"/>
                <w:szCs w:val="22"/>
              </w:rPr>
              <w:t xml:space="preserve">9) имущественные права из договоров </w:t>
            </w:r>
            <w:r w:rsidRPr="001F3EE3">
              <w:rPr>
                <w:sz w:val="22"/>
                <w:szCs w:val="22"/>
              </w:rPr>
              <w:lastRenderedPageBreak/>
              <w:t>участия в долевом строительстве, приобретенные (оставленные за собой) в соответствии с гражданским законодательством Российской Федерации при обращении на них взыскания в случае неисполнения или ненадлежащего исполнения обеспеченного ипотекой обязательства, денежные требования по которым составляют активы фонда.</w:t>
            </w:r>
          </w:p>
          <w:p w:rsidR="006E4A05" w:rsidRPr="001F3EE3" w:rsidRDefault="006E4A05" w:rsidP="006E4A05">
            <w:pPr>
              <w:tabs>
                <w:tab w:val="left" w:pos="9072"/>
              </w:tabs>
              <w:ind w:firstLine="720"/>
            </w:pPr>
            <w:r w:rsidRPr="001F3EE3">
              <w:rPr>
                <w:sz w:val="22"/>
                <w:szCs w:val="22"/>
              </w:rPr>
              <w:t>25.2 Денежные требования, вытекающие из обеспеченных ипотекой кредитных договоров или договоров займа, а также закладные могут входить в состав активов фонда при соблюдении следующих условий:</w:t>
            </w:r>
          </w:p>
          <w:p w:rsidR="006E4A05" w:rsidRPr="001F3EE3" w:rsidRDefault="006E4A05" w:rsidP="006E4A05">
            <w:pPr>
              <w:tabs>
                <w:tab w:val="left" w:pos="9072"/>
              </w:tabs>
              <w:ind w:firstLine="720"/>
            </w:pPr>
            <w:r w:rsidRPr="001F3EE3">
              <w:rPr>
                <w:sz w:val="22"/>
                <w:szCs w:val="22"/>
              </w:rPr>
              <w:t>1) денежные требования по обязательствам, обеспеченным ипотекой индивидуальных жилых домов и (или) квартир, и денежные требования по обязательствам, обеспеченным ипотекой иного недвижимого имущества, предусмотренного пунктом 25.6 настоящих Правил, за исключением земельных участков, ипотека которых установлена согласно статьи 69 Федерального закона от 16.07.98 № 102-ФЗ "Об ипотеке (залоге недвижимости)" (Собрание законодательства Российской Федерации, 1998, № 29, ст. 3400; 2001, № 46, ст. 4308; 2002, № 7, ст. 629; № 52, ст. 5135; 2004, № 6, ст. 406; № 27, ст. 2711; № 45, ст. 4377; 2005, № 1, ст. 40, 42; 2006, № 50, ст. 5279; № 52, ст. 5498), не входят в состав активов одного и того же инвестиционного фонда, относящегося к категории ипотечных фондов;</w:t>
            </w:r>
          </w:p>
          <w:p w:rsidR="006E4A05" w:rsidRPr="001F3EE3" w:rsidRDefault="006E4A05" w:rsidP="006E4A05">
            <w:pPr>
              <w:tabs>
                <w:tab w:val="left" w:pos="9072"/>
              </w:tabs>
              <w:ind w:firstLine="720"/>
            </w:pPr>
            <w:r w:rsidRPr="001F3EE3">
              <w:rPr>
                <w:sz w:val="22"/>
                <w:szCs w:val="22"/>
              </w:rPr>
              <w:t>2) сумма основного долга по обеспеченному кредитному договору или договоров займа не превышает 90 процентов определенной оценщиком  рыночной стоимости (денежной оценки) недвижимого имущества, являющегося предметом ипотеки. При этом указанная оценка должна быть осуществлена на дату не ранее чем за 6 месяцев до дня предоставления кредита или займа;</w:t>
            </w:r>
          </w:p>
          <w:p w:rsidR="006E4A05" w:rsidRPr="001F3EE3" w:rsidRDefault="006E4A05" w:rsidP="006E4A05">
            <w:pPr>
              <w:tabs>
                <w:tab w:val="left" w:pos="9072"/>
              </w:tabs>
              <w:ind w:firstLine="720"/>
            </w:pPr>
            <w:r w:rsidRPr="001F3EE3">
              <w:rPr>
                <w:sz w:val="22"/>
                <w:szCs w:val="22"/>
              </w:rPr>
              <w:t>3) недвижимое имущество, являющееся предметом ипотеки, не позднее чем по истечении 90 дней с даты приобретения в состав активов фонда соответствующих денежных требований или закладных, застраховано от рисков утраты или повреждения в пользу кредитора на весь срок действия кредитного договора или договора займа; при этом страховая сумма должна быть не менее чем размер (сумма) обеспеченного ипотекой требования;.</w:t>
            </w:r>
          </w:p>
          <w:p w:rsidR="006E4A05" w:rsidRPr="001F3EE3" w:rsidRDefault="006E4A05" w:rsidP="006E4A05">
            <w:pPr>
              <w:tabs>
                <w:tab w:val="left" w:pos="9072"/>
              </w:tabs>
              <w:ind w:firstLine="720"/>
            </w:pPr>
            <w:r w:rsidRPr="001F3EE3">
              <w:rPr>
                <w:sz w:val="22"/>
                <w:szCs w:val="22"/>
              </w:rPr>
              <w:t>4) недвижимое имущество, являющееся предметом ипотеки, находится на территории Российской Федерации.</w:t>
            </w:r>
          </w:p>
          <w:p w:rsidR="006E4A05" w:rsidRPr="001F3EE3" w:rsidRDefault="006E4A05" w:rsidP="006E4A05">
            <w:pPr>
              <w:tabs>
                <w:tab w:val="left" w:pos="9072"/>
              </w:tabs>
              <w:ind w:firstLine="720"/>
            </w:pPr>
            <w:r w:rsidRPr="001F3EE3">
              <w:rPr>
                <w:sz w:val="22"/>
                <w:szCs w:val="22"/>
              </w:rPr>
              <w:t xml:space="preserve">25.3  Денежные требования по обязательствам, обеспеченным ипотекой земельных участков, зданий и сооружений, </w:t>
            </w:r>
            <w:r w:rsidRPr="001F3EE3">
              <w:rPr>
                <w:sz w:val="22"/>
                <w:szCs w:val="22"/>
              </w:rPr>
              <w:lastRenderedPageBreak/>
              <w:t>жилых домов и квартир, могут входить в состав активов фонда с учетом особенностей, установленных Федеральным законом от 16.07.98 № 102-ФЗ "Об ипотеке (залоге недвижимости)" (Собрание законодательства Российской Федерации, 1998, № 29, ст. 3400; 2001, № 46, ст. 4308; 2002, № 7, ст. 629; № 52, ст. 5135; 2004, № 6, ст. 406; № 27, ст. 2711; № 45, ст. 4377; 2005, № 1, ст. 40, 42; 2006, № 50, ст. 5279; № 52, ст. 5498).</w:t>
            </w:r>
          </w:p>
          <w:p w:rsidR="006E4A05" w:rsidRPr="001F3EE3" w:rsidRDefault="006E4A05" w:rsidP="006E4A05">
            <w:pPr>
              <w:tabs>
                <w:tab w:val="left" w:pos="9072"/>
              </w:tabs>
              <w:ind w:firstLine="720"/>
            </w:pPr>
            <w:r w:rsidRPr="001F3EE3">
              <w:rPr>
                <w:sz w:val="22"/>
                <w:szCs w:val="22"/>
              </w:rPr>
              <w:t>В состав активов фонда не могут входить денежные требования по обязательствам, обеспеченным последующей ипотекой.</w:t>
            </w:r>
          </w:p>
          <w:p w:rsidR="006E4A05" w:rsidRPr="001F3EE3" w:rsidRDefault="006E4A05" w:rsidP="006E4A05">
            <w:pPr>
              <w:tabs>
                <w:tab w:val="left" w:pos="9072"/>
              </w:tabs>
              <w:ind w:firstLine="720"/>
            </w:pPr>
            <w:r w:rsidRPr="001F3EE3">
              <w:rPr>
                <w:sz w:val="22"/>
                <w:szCs w:val="22"/>
              </w:rPr>
              <w:t>Имущество, указанное в подпунктах 8 и 9 пункта 25.1. настоящих Правил, может входить в состав активов фонда не более 6 месяцев с момента его приобретения.</w:t>
            </w:r>
          </w:p>
          <w:p w:rsidR="006E4A05" w:rsidRPr="001F3EE3" w:rsidRDefault="006E4A05" w:rsidP="006E4A05">
            <w:pPr>
              <w:tabs>
                <w:tab w:val="left" w:pos="9072"/>
              </w:tabs>
              <w:ind w:firstLine="720"/>
            </w:pPr>
            <w:r w:rsidRPr="001F3EE3">
              <w:rPr>
                <w:sz w:val="22"/>
                <w:szCs w:val="22"/>
              </w:rPr>
              <w:t>25.4 Денежные требования, вытекающие из кредитных договоров или договоров займа, предоставленных для целей уплаты цены по договорам участия в долевом строительстве могут входить в состав активов фонда при соблюдении следующих условий:</w:t>
            </w:r>
          </w:p>
          <w:p w:rsidR="006E4A05" w:rsidRPr="001F3EE3" w:rsidRDefault="006E4A05" w:rsidP="006E4A05">
            <w:pPr>
              <w:tabs>
                <w:tab w:val="left" w:pos="851"/>
                <w:tab w:val="left" w:pos="9072"/>
              </w:tabs>
              <w:ind w:firstLine="720"/>
            </w:pPr>
            <w:r w:rsidRPr="001F3EE3">
              <w:rPr>
                <w:sz w:val="22"/>
                <w:szCs w:val="22"/>
              </w:rPr>
              <w:t>1) исполнение обязательств по указанным кредитным договорам или договорам займа обеспечивается залогом имущественных прав по обязательствам из договоров участия в долевом строительстве, для уплаты цены по которым предоставлены кредиты или займы, а после государственной регистрации права собственности заемщика на объект долевого строительства — залогом этого объекта;</w:t>
            </w:r>
          </w:p>
          <w:p w:rsidR="006E4A05" w:rsidRPr="001F3EE3" w:rsidRDefault="006E4A05" w:rsidP="006E4A05">
            <w:pPr>
              <w:tabs>
                <w:tab w:val="left" w:pos="9072"/>
              </w:tabs>
              <w:ind w:firstLine="720"/>
            </w:pPr>
            <w:r w:rsidRPr="001F3EE3">
              <w:rPr>
                <w:sz w:val="22"/>
                <w:szCs w:val="22"/>
              </w:rPr>
              <w:t>2) основная сумма долга по обеспеченному кредитному договору или по договору займа не превышает 90 процентов от определенной оценщиком рыночной стоимости имущественных прав, являющихся предметом ипотеки; при этом указанная оценка должна быть осуществлена на дату не ранее чем за 6 месяцев до дня предоставления кредита или займа.</w:t>
            </w:r>
          </w:p>
          <w:p w:rsidR="006E4A05" w:rsidRPr="001F3EE3" w:rsidRDefault="006E4A05" w:rsidP="006E4A05">
            <w:pPr>
              <w:tabs>
                <w:tab w:val="left" w:pos="9072"/>
              </w:tabs>
              <w:ind w:firstLine="720"/>
            </w:pPr>
            <w:r w:rsidRPr="001F3EE3">
              <w:rPr>
                <w:sz w:val="22"/>
                <w:szCs w:val="22"/>
              </w:rPr>
              <w:t>25.5 Ценные бумаги, составляющие фонд, могут быть, как включены, так и не включены в котировальные списки фондовых бирж.</w:t>
            </w:r>
          </w:p>
          <w:p w:rsidR="006E4A05" w:rsidRPr="001F3EE3" w:rsidRDefault="006E4A05" w:rsidP="006E4A05">
            <w:pPr>
              <w:tabs>
                <w:tab w:val="left" w:pos="9072"/>
              </w:tabs>
              <w:ind w:firstLine="720"/>
            </w:pPr>
            <w:r w:rsidRPr="001F3EE3">
              <w:rPr>
                <w:sz w:val="22"/>
                <w:szCs w:val="22"/>
              </w:rPr>
              <w:t>Государственные ценные бумаги субъектов Российской Федерации могут входить в состав активов фонда только, если они допущены к торгам организатора торговли на рынке ценных бумаг.</w:t>
            </w:r>
          </w:p>
          <w:p w:rsidR="006E4A05" w:rsidRPr="001F3EE3" w:rsidRDefault="006E4A05" w:rsidP="006E4A05">
            <w:pPr>
              <w:tabs>
                <w:tab w:val="left" w:pos="9072"/>
              </w:tabs>
              <w:ind w:firstLine="720"/>
            </w:pPr>
            <w:r w:rsidRPr="001F3EE3">
              <w:rPr>
                <w:sz w:val="22"/>
                <w:szCs w:val="22"/>
              </w:rPr>
              <w:t>Приобретение в состав активов фонда иностранной валюты, ценных бумаг в иностранной валюте осуществляется в порядке, установленном законодательством Российской Федерации о валютном регулировании и валютном контроле.</w:t>
            </w:r>
          </w:p>
          <w:p w:rsidR="006E4A05" w:rsidRPr="001F3EE3" w:rsidRDefault="006E4A05" w:rsidP="006E4A05">
            <w:pPr>
              <w:tabs>
                <w:tab w:val="left" w:pos="9072"/>
              </w:tabs>
              <w:ind w:firstLine="720"/>
            </w:pPr>
            <w:r w:rsidRPr="001F3EE3">
              <w:rPr>
                <w:sz w:val="22"/>
                <w:szCs w:val="22"/>
              </w:rPr>
              <w:lastRenderedPageBreak/>
              <w:t xml:space="preserve">Лица, обязанные по государственным ценным бумагам Российской Федерации, государственным ценным бумагам субъектов Российской Федерации, закладным, ипотечным ценным бумагам должны быть зарегистрированы в Российской Федерации. </w:t>
            </w:r>
          </w:p>
          <w:p w:rsidR="006E4A05" w:rsidRPr="001F3EE3" w:rsidRDefault="006E4A05" w:rsidP="006E4A05">
            <w:pPr>
              <w:tabs>
                <w:tab w:val="left" w:pos="9072"/>
              </w:tabs>
              <w:ind w:firstLine="720"/>
            </w:pPr>
            <w:r w:rsidRPr="001F3EE3">
              <w:rPr>
                <w:sz w:val="22"/>
                <w:szCs w:val="22"/>
              </w:rPr>
              <w:t>Имущество, составляющее фонд, может быть инвестировано в облигации, эмитентами которых могут быть:</w:t>
            </w:r>
          </w:p>
          <w:p w:rsidR="006E4A05" w:rsidRPr="001F3EE3" w:rsidRDefault="006E4A05" w:rsidP="006E4A05">
            <w:pPr>
              <w:tabs>
                <w:tab w:val="left" w:pos="9072"/>
              </w:tabs>
              <w:ind w:firstLine="720"/>
            </w:pPr>
            <w:r w:rsidRPr="001F3EE3">
              <w:rPr>
                <w:sz w:val="22"/>
                <w:szCs w:val="22"/>
              </w:rPr>
              <w:t>- федеральные органы исполнительной власти Российской Федерации;</w:t>
            </w:r>
          </w:p>
          <w:p w:rsidR="006E4A05" w:rsidRPr="001F3EE3" w:rsidRDefault="006E4A05" w:rsidP="006E4A05">
            <w:pPr>
              <w:tabs>
                <w:tab w:val="left" w:pos="9072"/>
              </w:tabs>
              <w:ind w:firstLine="720"/>
            </w:pPr>
            <w:r w:rsidRPr="001F3EE3">
              <w:rPr>
                <w:sz w:val="22"/>
                <w:szCs w:val="22"/>
              </w:rPr>
              <w:t>- органы исполнительной власти субъектов Российской Федерации;</w:t>
            </w:r>
          </w:p>
          <w:p w:rsidR="006E4A05" w:rsidRPr="001F3EE3" w:rsidRDefault="006E4A05" w:rsidP="006E4A05">
            <w:pPr>
              <w:tabs>
                <w:tab w:val="left" w:pos="9072"/>
              </w:tabs>
              <w:ind w:firstLine="720"/>
            </w:pPr>
            <w:r w:rsidRPr="001F3EE3">
              <w:rPr>
                <w:sz w:val="22"/>
                <w:szCs w:val="22"/>
              </w:rPr>
              <w:t>- российские юридические лица.</w:t>
            </w:r>
          </w:p>
          <w:p w:rsidR="006E4A05" w:rsidRPr="001F3EE3" w:rsidRDefault="006E4A05" w:rsidP="006E4A05">
            <w:pPr>
              <w:ind w:firstLine="720"/>
            </w:pPr>
            <w:r w:rsidRPr="001F3EE3">
              <w:rPr>
                <w:sz w:val="22"/>
                <w:szCs w:val="22"/>
              </w:rPr>
              <w:t>25.6. Объектами недвижимого имущества, которые могут входить в состав активов фонда, могут являться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 здания, сооружения,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 расположенные на территории Российской Федерации, за исключением недвижимого имущества, изъятого из оборота или ограниченного в обороте в соответствии с законодательством Российской Федерации.</w:t>
            </w:r>
          </w:p>
          <w:p w:rsidR="006E4A05" w:rsidRPr="001F3EE3" w:rsidRDefault="006E4A05" w:rsidP="006E4A05">
            <w:pPr>
              <w:ind w:firstLine="720"/>
            </w:pPr>
            <w:bookmarkStart w:id="8" w:name="p_28"/>
            <w:bookmarkEnd w:id="8"/>
            <w:r w:rsidRPr="001F3EE3">
              <w:rPr>
                <w:sz w:val="22"/>
                <w:szCs w:val="22"/>
              </w:rPr>
              <w:t>26. Структура активов фонда. </w:t>
            </w:r>
            <w:bookmarkStart w:id="9" w:name="p_29"/>
            <w:bookmarkEnd w:id="9"/>
          </w:p>
          <w:p w:rsidR="006E4A05" w:rsidRPr="001F3EE3" w:rsidRDefault="006E4A05" w:rsidP="006E4A05">
            <w:pPr>
              <w:ind w:firstLine="720"/>
            </w:pPr>
            <w:r w:rsidRPr="001F3EE3">
              <w:rPr>
                <w:sz w:val="22"/>
                <w:szCs w:val="22"/>
              </w:rPr>
              <w:t>26.1 Структура активов фонда должна соответствовать одновременно следующим требованиям:</w:t>
            </w:r>
          </w:p>
          <w:p w:rsidR="006E4A05" w:rsidRPr="001F3EE3" w:rsidRDefault="006E4A05" w:rsidP="006E4A05">
            <w:pPr>
              <w:ind w:firstLine="720"/>
            </w:pPr>
            <w:bookmarkStart w:id="10" w:name="p377"/>
            <w:bookmarkEnd w:id="10"/>
            <w:r w:rsidRPr="001F3EE3">
              <w:rPr>
                <w:sz w:val="22"/>
                <w:szCs w:val="22"/>
              </w:rPr>
              <w:t>1) не менее двух третей рабочих дней в течение одного календарного года сумма требований по кредитным договорам или договорам займа, а также оценочная стоимость закладных и ипотечных ценных бумаг должны составлять не менее 65 процентов стоимости активов;</w:t>
            </w:r>
          </w:p>
          <w:p w:rsidR="006E4A05" w:rsidRPr="001F3EE3" w:rsidRDefault="006E4A05" w:rsidP="006E4A05">
            <w:pPr>
              <w:ind w:firstLine="720"/>
            </w:pPr>
            <w:bookmarkStart w:id="11" w:name="p378"/>
            <w:bookmarkEnd w:id="11"/>
            <w:r w:rsidRPr="001F3EE3">
              <w:rPr>
                <w:sz w:val="22"/>
                <w:szCs w:val="22"/>
              </w:rPr>
              <w:t>2) сумма требований, вытекающих из кредитных договоров или договоров займа, предоставленных для целей уплаты цены по договорам участия в долевом строительстве, может составлять не более 30 процентов стоимости активов;</w:t>
            </w:r>
          </w:p>
          <w:p w:rsidR="006E4A05" w:rsidRPr="001F3EE3" w:rsidRDefault="006E4A05" w:rsidP="006E4A05">
            <w:pPr>
              <w:ind w:firstLine="720"/>
            </w:pPr>
            <w:bookmarkStart w:id="12" w:name="p379"/>
            <w:bookmarkEnd w:id="12"/>
            <w:r w:rsidRPr="001F3EE3">
              <w:rPr>
                <w:sz w:val="22"/>
                <w:szCs w:val="22"/>
              </w:rPr>
              <w:t>3) сумма требований по одному кредитному договору или договору займа может составлять не более 10 процентов стоимости активов;</w:t>
            </w:r>
          </w:p>
          <w:p w:rsidR="006E4A05" w:rsidRPr="001F3EE3" w:rsidRDefault="006E4A05" w:rsidP="006E4A05">
            <w:pPr>
              <w:ind w:firstLine="720"/>
            </w:pPr>
            <w:bookmarkStart w:id="13" w:name="p380"/>
            <w:bookmarkEnd w:id="13"/>
            <w:r w:rsidRPr="001F3EE3">
              <w:rPr>
                <w:sz w:val="22"/>
                <w:szCs w:val="22"/>
              </w:rPr>
              <w:lastRenderedPageBreak/>
              <w:t>4) сумма требований по обязательствам, обеспеченным залогом объектов незавершенного строительства, может составлять не более 30 процентов стоимости активов.</w:t>
            </w:r>
          </w:p>
          <w:p w:rsidR="006E4A05" w:rsidRPr="001F3EE3" w:rsidRDefault="006E4A05" w:rsidP="006E4A05">
            <w:pPr>
              <w:ind w:firstLine="720"/>
            </w:pPr>
            <w:bookmarkStart w:id="14" w:name="p381"/>
            <w:bookmarkEnd w:id="14"/>
            <w:r w:rsidRPr="001F3EE3">
              <w:rPr>
                <w:sz w:val="22"/>
                <w:szCs w:val="22"/>
              </w:rPr>
              <w:t xml:space="preserve">26.2 Требование подпункта 1 пункта 26.1 настоящих Правил применяется по истечении одного года с даты завершения формирования фонда </w:t>
            </w:r>
            <w:bookmarkStart w:id="15" w:name="p382"/>
            <w:bookmarkEnd w:id="15"/>
          </w:p>
          <w:p w:rsidR="006E4A05" w:rsidRPr="001F3EE3" w:rsidRDefault="006E4A05" w:rsidP="006E4A05">
            <w:pPr>
              <w:ind w:firstLine="720"/>
            </w:pPr>
            <w:r w:rsidRPr="001F3EE3">
              <w:rPr>
                <w:sz w:val="22"/>
                <w:szCs w:val="22"/>
              </w:rPr>
              <w:t>Требование подпункта 1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6E4A05" w:rsidRPr="001F3EE3" w:rsidRDefault="006E4A05" w:rsidP="006E4A05">
            <w:pPr>
              <w:tabs>
                <w:tab w:val="left" w:pos="709"/>
              </w:tabs>
              <w:ind w:firstLine="720"/>
            </w:pPr>
            <w:bookmarkStart w:id="16" w:name="p383"/>
            <w:bookmarkEnd w:id="16"/>
            <w:r w:rsidRPr="001F3EE3">
              <w:rPr>
                <w:sz w:val="22"/>
                <w:szCs w:val="22"/>
              </w:rPr>
              <w:t>27. Описание рисков, связанных с инвестированием. Инвестирование в ценные бумаги и иные объекты инвестирования, перечисленные в пункте 25 настоящих Правил, сопряжено</w:t>
            </w:r>
            <w:r w:rsidRPr="001F3EE3" w:rsidDel="00224349">
              <w:rPr>
                <w:sz w:val="22"/>
                <w:szCs w:val="22"/>
              </w:rPr>
              <w:t xml:space="preserve"> </w:t>
            </w:r>
            <w:r w:rsidRPr="001F3EE3">
              <w:rPr>
                <w:sz w:val="22"/>
                <w:szCs w:val="22"/>
              </w:rPr>
              <w:t>с высокой степенью рисков, и не подразумевает гарантий, как по возврату основной инвестированной суммы, так и по получению каких-либо доходов.</w:t>
            </w:r>
          </w:p>
          <w:p w:rsidR="006E4A05" w:rsidRPr="001F3EE3" w:rsidRDefault="006E4A05" w:rsidP="006E4A05">
            <w:pPr>
              <w:ind w:firstLine="720"/>
            </w:pPr>
            <w:r w:rsidRPr="001F3EE3">
              <w:rPr>
                <w:sz w:val="22"/>
                <w:szCs w:val="22"/>
              </w:rPr>
              <w:t>Стоимость объектов вложения средств и соответственно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E4A05" w:rsidRPr="001F3EE3" w:rsidRDefault="006E4A05" w:rsidP="006E4A05">
            <w:pPr>
              <w:ind w:firstLine="720"/>
            </w:pPr>
            <w:r w:rsidRPr="001F3EE3">
              <w:rPr>
                <w:sz w:val="22"/>
                <w:szCs w:val="22"/>
              </w:rPr>
              <w:t>Настоящее описание рисков не раскрывает информации обо всех рисках, возникающих в связи с деятельностью Управляющей компании по управлению (инвестированию) имуществом, составляющим Фонд, вследствие разнообразия ситуаций, возникающих при таком управлении (инвестировании).</w:t>
            </w:r>
          </w:p>
          <w:p w:rsidR="006E4A05" w:rsidRPr="001F3EE3" w:rsidRDefault="006E4A05" w:rsidP="006E4A05">
            <w:pPr>
              <w:ind w:firstLine="720"/>
            </w:pPr>
            <w:r w:rsidRPr="001F3EE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E4A05" w:rsidRPr="001F3EE3" w:rsidRDefault="006E4A05" w:rsidP="006E4A05">
            <w:pPr>
              <w:ind w:firstLine="720"/>
            </w:pPr>
            <w:r w:rsidRPr="001F3EE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стоимости инвестиционного пая, что в свою очередь является убытком для владельца инвестиционных паев.</w:t>
            </w:r>
          </w:p>
          <w:p w:rsidR="006E4A05" w:rsidRPr="001F3EE3" w:rsidRDefault="006E4A05" w:rsidP="006E4A05">
            <w:pPr>
              <w:ind w:firstLine="720"/>
            </w:pPr>
            <w:r w:rsidRPr="001F3EE3">
              <w:rPr>
                <w:sz w:val="22"/>
                <w:szCs w:val="22"/>
              </w:rPr>
              <w:t xml:space="preserve">Инвестор неизбежно сталкивается с необходимостью учитывать факторы риска самого различного свойства. Риски </w:t>
            </w:r>
            <w:r w:rsidRPr="001F3EE3">
              <w:rPr>
                <w:sz w:val="22"/>
                <w:szCs w:val="22"/>
              </w:rPr>
              <w:lastRenderedPageBreak/>
              <w:t>инвестирования в ценные бумаги  включают, но не ограничиваются следующими рисками:</w:t>
            </w:r>
          </w:p>
          <w:p w:rsidR="006E4A05" w:rsidRPr="001F3EE3" w:rsidRDefault="006E4A05" w:rsidP="006E4A05">
            <w:pPr>
              <w:tabs>
                <w:tab w:val="num" w:pos="567"/>
              </w:tabs>
              <w:ind w:firstLine="720"/>
            </w:pPr>
            <w:r w:rsidRPr="001F3EE3">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E4A05" w:rsidRPr="001F3EE3" w:rsidRDefault="006E4A05" w:rsidP="006E4A05">
            <w:pPr>
              <w:tabs>
                <w:tab w:val="num" w:pos="567"/>
              </w:tabs>
              <w:ind w:firstLine="720"/>
            </w:pPr>
            <w:r w:rsidRPr="001F3EE3">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E4A05" w:rsidRPr="001F3EE3" w:rsidRDefault="006E4A05" w:rsidP="006E4A05">
            <w:pPr>
              <w:tabs>
                <w:tab w:val="num" w:pos="567"/>
              </w:tabs>
              <w:ind w:firstLine="720"/>
            </w:pPr>
            <w:r w:rsidRPr="001F3EE3">
              <w:rPr>
                <w:sz w:val="22"/>
                <w:szCs w:val="22"/>
              </w:rPr>
              <w:t>рыночный риск, связанный с колебаниями курсов валют, процентных ставок, цен финансовых инструментов;</w:t>
            </w:r>
          </w:p>
          <w:p w:rsidR="006E4A05" w:rsidRPr="001F3EE3" w:rsidRDefault="006E4A05" w:rsidP="006E4A05">
            <w:pPr>
              <w:tabs>
                <w:tab w:val="num" w:pos="567"/>
              </w:tabs>
              <w:ind w:firstLine="720"/>
            </w:pPr>
            <w:r w:rsidRPr="001F3EE3">
              <w:rPr>
                <w:sz w:val="22"/>
                <w:szCs w:val="22"/>
              </w:rPr>
              <w:t>ценовой риск, проявляющийся в изменении цен на государственные ценные бумаги, которое может привести к падению стоимости активов Фонда;</w:t>
            </w:r>
          </w:p>
          <w:p w:rsidR="006E4A05" w:rsidRPr="001F3EE3" w:rsidRDefault="006E4A05" w:rsidP="006E4A05">
            <w:pPr>
              <w:tabs>
                <w:tab w:val="num" w:pos="567"/>
              </w:tabs>
              <w:ind w:firstLine="720"/>
            </w:pPr>
            <w:r w:rsidRPr="001F3EE3">
              <w:rPr>
                <w:sz w:val="22"/>
                <w:szCs w:val="22"/>
              </w:rPr>
              <w:t>риск противоправных действий третьих лиц в отношении имущества, составляющего Фонд.</w:t>
            </w:r>
          </w:p>
          <w:p w:rsidR="006E4A05" w:rsidRPr="001F3EE3" w:rsidRDefault="006E4A05" w:rsidP="006E4A05">
            <w:pPr>
              <w:tabs>
                <w:tab w:val="num" w:pos="567"/>
              </w:tabs>
              <w:ind w:firstLine="720"/>
            </w:pPr>
            <w:r w:rsidRPr="001F3EE3">
              <w:rPr>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E4A05" w:rsidRPr="001F3EE3" w:rsidRDefault="006E4A05" w:rsidP="006E4A05">
            <w:pPr>
              <w:tabs>
                <w:tab w:val="num" w:pos="567"/>
              </w:tabs>
              <w:ind w:firstLine="720"/>
            </w:pPr>
            <w:r w:rsidRPr="001F3EE3">
              <w:rPr>
                <w:sz w:val="22"/>
                <w:szCs w:val="22"/>
              </w:rPr>
              <w:t>риск рыночной ликвидности, связанный с потенциальной невозможностью реализовать активы по благоприятным ценам;</w:t>
            </w:r>
          </w:p>
          <w:p w:rsidR="006E4A05" w:rsidRPr="001F3EE3" w:rsidRDefault="006E4A05" w:rsidP="006E4A05">
            <w:pPr>
              <w:tabs>
                <w:tab w:val="num" w:pos="567"/>
              </w:tabs>
              <w:ind w:firstLine="720"/>
            </w:pPr>
            <w:r w:rsidRPr="001F3EE3">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E4A05" w:rsidRPr="001F3EE3" w:rsidRDefault="006E4A05" w:rsidP="006E4A05">
            <w:pPr>
              <w:tabs>
                <w:tab w:val="num" w:pos="567"/>
              </w:tabs>
              <w:ind w:firstLine="720"/>
            </w:pPr>
            <w:r w:rsidRPr="001F3EE3">
              <w:rPr>
                <w:sz w:val="22"/>
                <w:szCs w:val="22"/>
              </w:rPr>
              <w:t>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p>
          <w:p w:rsidR="006E4A05" w:rsidRPr="001F3EE3" w:rsidRDefault="006E4A05" w:rsidP="006E4A05">
            <w:pPr>
              <w:tabs>
                <w:tab w:val="num" w:pos="567"/>
              </w:tabs>
              <w:ind w:firstLine="720"/>
            </w:pPr>
            <w:r w:rsidRPr="001F3EE3">
              <w:rPr>
                <w:sz w:val="22"/>
                <w:szCs w:val="22"/>
              </w:rPr>
              <w:t>риск возникновения форс-мажорных обстоятельств, таких как природные катаклизмы и военные действия.</w:t>
            </w:r>
          </w:p>
          <w:p w:rsidR="006E4A05" w:rsidRPr="001F3EE3" w:rsidRDefault="006E4A05" w:rsidP="006E4A05">
            <w:pPr>
              <w:ind w:firstLine="720"/>
            </w:pPr>
            <w:r w:rsidRPr="001F3EE3">
              <w:rPr>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w:t>
            </w:r>
            <w:r w:rsidRPr="001F3EE3">
              <w:rPr>
                <w:sz w:val="22"/>
                <w:szCs w:val="22"/>
              </w:rPr>
              <w:lastRenderedPageBreak/>
              <w:t>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6E4A05" w:rsidRPr="001F3EE3" w:rsidRDefault="006E4A05" w:rsidP="006E4A05">
            <w:pPr>
              <w:ind w:firstLine="720"/>
            </w:pPr>
            <w:r w:rsidRPr="001F3EE3">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6E4A05" w:rsidRPr="001F3EE3" w:rsidRDefault="006E4A05" w:rsidP="006E4A05">
            <w:pPr>
              <w:tabs>
                <w:tab w:val="left" w:pos="9072"/>
              </w:tabs>
            </w:pPr>
          </w:p>
        </w:tc>
        <w:tc>
          <w:tcPr>
            <w:tcW w:w="4860" w:type="dxa"/>
          </w:tcPr>
          <w:p w:rsidR="006E4A05" w:rsidRPr="001F3EE3" w:rsidRDefault="006E4A05" w:rsidP="006E4A05">
            <w:pPr>
              <w:rPr>
                <w:rFonts w:ascii="Times New Roman CYR" w:hAnsi="Times New Roman CYR" w:cs="Times New Roman CYR"/>
                <w:lang w:eastAsia="zh-CN"/>
              </w:rPr>
            </w:pPr>
            <w:bookmarkStart w:id="17" w:name="sub_1025"/>
            <w:r w:rsidRPr="001F3EE3">
              <w:rPr>
                <w:rFonts w:ascii="Times New Roman CYR" w:hAnsi="Times New Roman CYR" w:cs="Times New Roman CYR"/>
                <w:sz w:val="22"/>
                <w:szCs w:val="22"/>
                <w:lang w:eastAsia="zh-CN"/>
              </w:rPr>
              <w:lastRenderedPageBreak/>
              <w:t xml:space="preserve">24. </w:t>
            </w:r>
            <w:bookmarkEnd w:id="17"/>
            <w:r w:rsidRPr="001F3EE3">
              <w:rPr>
                <w:rFonts w:ascii="Times New Roman CYR" w:hAnsi="Times New Roman CYR" w:cs="Times New Roman CYR"/>
                <w:sz w:val="22"/>
                <w:szCs w:val="22"/>
                <w:lang w:eastAsia="zh-CN"/>
              </w:rPr>
              <w:t>Инвестиционной политикой управляющей компании является приобретение объектов недвижимого имущества с целью их последующей продажи</w:t>
            </w:r>
            <w:r w:rsidR="00D962E1">
              <w:rPr>
                <w:rFonts w:ascii="Times New Roman CYR" w:hAnsi="Times New Roman CYR" w:cs="Times New Roman CYR"/>
                <w:sz w:val="22"/>
                <w:szCs w:val="22"/>
                <w:lang w:eastAsia="zh-CN"/>
              </w:rPr>
              <w:t>,</w:t>
            </w:r>
            <w:r w:rsidRPr="001F3EE3">
              <w:rPr>
                <w:rFonts w:ascii="Times New Roman CYR" w:hAnsi="Times New Roman CYR" w:cs="Times New Roman CYR"/>
                <w:sz w:val="22"/>
                <w:szCs w:val="22"/>
                <w:lang w:eastAsia="zh-CN"/>
              </w:rPr>
              <w:t xml:space="preserve"> изменения их профиля и последующей продажи и (или) с целью сдачи их в аренду или субаренду.</w:t>
            </w:r>
          </w:p>
          <w:p w:rsidR="006E4A05" w:rsidRPr="001F3EE3" w:rsidRDefault="006E4A05" w:rsidP="006E4A05">
            <w:pPr>
              <w:rPr>
                <w:rFonts w:ascii="Times New Roman CYR" w:hAnsi="Times New Roman CYR" w:cs="Times New Roman CYR"/>
                <w:lang w:eastAsia="zh-CN"/>
              </w:rPr>
            </w:pPr>
            <w:bookmarkStart w:id="18" w:name="sub_1026"/>
            <w:r w:rsidRPr="001F3EE3">
              <w:rPr>
                <w:rFonts w:ascii="Times New Roman CYR" w:hAnsi="Times New Roman CYR" w:cs="Times New Roman CYR"/>
                <w:sz w:val="22"/>
                <w:szCs w:val="22"/>
                <w:lang w:eastAsia="zh-CN"/>
              </w:rPr>
              <w:t>25. Объекты инвестирования, их состав и описание.</w:t>
            </w:r>
          </w:p>
          <w:p w:rsidR="006E4A05" w:rsidRPr="001F3EE3" w:rsidRDefault="006E4A05" w:rsidP="006E4A05">
            <w:pPr>
              <w:rPr>
                <w:rFonts w:ascii="Times New Roman CYR" w:hAnsi="Times New Roman CYR" w:cs="Times New Roman CYR"/>
                <w:lang w:eastAsia="zh-CN"/>
              </w:rPr>
            </w:pPr>
            <w:bookmarkStart w:id="19" w:name="sub_1027"/>
            <w:bookmarkEnd w:id="18"/>
            <w:r w:rsidRPr="001F3EE3">
              <w:rPr>
                <w:rFonts w:ascii="Times New Roman CYR" w:hAnsi="Times New Roman CYR" w:cs="Times New Roman CYR"/>
                <w:sz w:val="22"/>
                <w:szCs w:val="22"/>
                <w:lang w:eastAsia="zh-CN"/>
              </w:rPr>
              <w:t>25.1. Имущество, составляющее Фонд, может быть инвестировано в:</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1) денежные средства, в том числе иностранную валюту, на счетах и во вкладах в кредитных организациях;</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2) недвижимое имущество и право аренды недвижимого имущества;</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4A05" w:rsidRPr="001F3EE3" w:rsidRDefault="006E4A05" w:rsidP="006E4A05">
            <w:pPr>
              <w:keepNext/>
              <w:spacing w:before="240" w:after="60"/>
              <w:outlineLvl w:val="2"/>
              <w:rPr>
                <w:rFonts w:ascii="Times New Roman CYR" w:hAnsi="Times New Roman CYR" w:cs="Times New Roman CYR"/>
                <w:lang w:eastAsia="zh-CN"/>
              </w:rPr>
            </w:pPr>
            <w:r w:rsidRPr="001F3EE3">
              <w:rPr>
                <w:rFonts w:ascii="Times New Roman CYR" w:hAnsi="Times New Roman CYR" w:cs="Times New Roman CYR"/>
                <w:sz w:val="22"/>
                <w:szCs w:val="22"/>
                <w:lang w:eastAsia="zh-CN"/>
              </w:rPr>
              <w:t>4) долговые инструменты:</w:t>
            </w:r>
          </w:p>
          <w:p w:rsidR="006E4A05" w:rsidRPr="001F3EE3" w:rsidRDefault="006E4A05" w:rsidP="006E4A05">
            <w:pPr>
              <w:keepNext/>
              <w:spacing w:before="240" w:after="60"/>
              <w:outlineLvl w:val="2"/>
              <w:rPr>
                <w:rFonts w:ascii="Times New Roman CYR" w:hAnsi="Times New Roman CYR" w:cs="Times New Roman CYR"/>
                <w:lang w:eastAsia="zh-CN"/>
              </w:rPr>
            </w:pPr>
            <w:r w:rsidRPr="001F3EE3">
              <w:rPr>
                <w:rFonts w:ascii="Times New Roman CYR" w:hAnsi="Times New Roman CYR" w:cs="Times New Roman CYR"/>
                <w:sz w:val="22"/>
                <w:szCs w:val="22"/>
                <w:lang w:eastAsia="zh-CN"/>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E4A05" w:rsidRPr="001F3EE3" w:rsidRDefault="006E4A05" w:rsidP="006E4A05">
            <w:pPr>
              <w:keepNext/>
              <w:spacing w:before="240" w:after="60"/>
              <w:outlineLvl w:val="2"/>
              <w:rPr>
                <w:rFonts w:ascii="Times New Roman CYR" w:hAnsi="Times New Roman CYR" w:cs="Times New Roman CYR"/>
                <w:lang w:eastAsia="zh-CN"/>
              </w:rPr>
            </w:pPr>
            <w:r w:rsidRPr="001F3EE3">
              <w:rPr>
                <w:rFonts w:ascii="Times New Roman CYR" w:hAnsi="Times New Roman CYR" w:cs="Times New Roman CYR"/>
                <w:sz w:val="22"/>
                <w:szCs w:val="22"/>
                <w:lang w:eastAsia="zh-CN"/>
              </w:rPr>
              <w:t>б) биржевые облигации российских хозяйственных обществ;</w:t>
            </w:r>
          </w:p>
          <w:p w:rsidR="006E4A05" w:rsidRDefault="006E4A05" w:rsidP="006E4A05">
            <w:pPr>
              <w:keepNext/>
              <w:spacing w:before="240" w:after="60"/>
              <w:outlineLvl w:val="2"/>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7321C7" w:rsidRPr="001F3EE3" w:rsidRDefault="007321C7" w:rsidP="006E4A05">
            <w:pPr>
              <w:keepNext/>
              <w:spacing w:before="240" w:after="60"/>
              <w:outlineLvl w:val="2"/>
              <w:rPr>
                <w:rFonts w:ascii="Times New Roman CYR" w:hAnsi="Times New Roman CYR" w:cs="Times New Roman CYR"/>
                <w:lang w:eastAsia="zh-CN"/>
              </w:rPr>
            </w:pPr>
          </w:p>
          <w:p w:rsidR="007321C7" w:rsidRDefault="006E4A05" w:rsidP="006E4A05">
            <w:pPr>
              <w:keepNext/>
              <w:spacing w:before="240" w:after="60"/>
              <w:outlineLvl w:val="2"/>
              <w:rPr>
                <w:rFonts w:ascii="Times New Roman CYR" w:hAnsi="Times New Roman CYR" w:cs="Times New Roman CYR"/>
                <w:lang w:eastAsia="zh-CN"/>
              </w:rPr>
            </w:pPr>
            <w:r w:rsidRPr="001F3EE3">
              <w:rPr>
                <w:rFonts w:ascii="Times New Roman CYR" w:hAnsi="Times New Roman CYR" w:cs="Times New Roman CYR"/>
                <w:sz w:val="22"/>
                <w:szCs w:val="22"/>
                <w:lang w:eastAsia="zh-CN"/>
              </w:rPr>
              <w:t>г) облигации иностранных эмитентов и международных финансовых организаций, если</w:t>
            </w:r>
            <w:r w:rsidR="007321C7">
              <w:rPr>
                <w:rFonts w:ascii="Times New Roman CYR" w:hAnsi="Times New Roman CYR" w:cs="Times New Roman CYR"/>
                <w:sz w:val="22"/>
                <w:szCs w:val="22"/>
                <w:lang w:eastAsia="zh-CN"/>
              </w:rPr>
              <w:t xml:space="preserve"> </w:t>
            </w:r>
          </w:p>
          <w:p w:rsidR="006E4A05" w:rsidRDefault="006E4A05" w:rsidP="006E4A05">
            <w:pPr>
              <w:keepNext/>
              <w:spacing w:before="240" w:after="60"/>
              <w:outlineLvl w:val="2"/>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lastRenderedPageBreak/>
              <w:t>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 (далее вместе – облигации иностранных эмитентов);</w:t>
            </w:r>
          </w:p>
          <w:p w:rsidR="006E4A05" w:rsidRPr="007321C7" w:rsidRDefault="006E4A05" w:rsidP="006E4A05">
            <w:pPr>
              <w:keepNext/>
              <w:spacing w:before="240" w:after="60"/>
              <w:outlineLvl w:val="2"/>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xml:space="preserve">д) российские и иностранные депозитарные расписки на ценные бумаги, предусмотренные подпунктами «а», «б», «в», «г» настоящего пункта; </w:t>
            </w:r>
          </w:p>
          <w:p w:rsidR="00ED13E1" w:rsidRPr="007321C7" w:rsidRDefault="006E4A05" w:rsidP="006E4A05">
            <w:pPr>
              <w:keepNext/>
              <w:spacing w:before="240" w:after="60"/>
              <w:outlineLvl w:val="2"/>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xml:space="preserve">5) 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 </w:t>
            </w:r>
          </w:p>
          <w:p w:rsidR="006E4A05" w:rsidRPr="007828D2" w:rsidRDefault="006E4A05" w:rsidP="006E4A05">
            <w:pPr>
              <w:keepNext/>
              <w:spacing w:before="240" w:after="60"/>
              <w:outlineLvl w:val="2"/>
              <w:rPr>
                <w:rFonts w:ascii="Times New Roman CYR" w:hAnsi="Times New Roman CYR" w:cs="Times New Roman CYR"/>
                <w:lang w:eastAsia="zh-CN"/>
              </w:rPr>
            </w:pPr>
            <w:r w:rsidRPr="007828D2">
              <w:rPr>
                <w:rFonts w:ascii="Times New Roman CYR" w:hAnsi="Times New Roman CYR" w:cs="Times New Roman CYR"/>
                <w:sz w:val="22"/>
                <w:szCs w:val="22"/>
                <w:lang w:eastAsia="zh-CN"/>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«C»,  «O», пятая буква – значение «R».</w:t>
            </w:r>
          </w:p>
          <w:p w:rsidR="007321C7" w:rsidRPr="007321C7" w:rsidRDefault="007321C7" w:rsidP="006E4A05">
            <w:pPr>
              <w:keepNext/>
              <w:spacing w:before="240" w:after="60"/>
              <w:outlineLvl w:val="2"/>
              <w:rPr>
                <w:rFonts w:ascii="Times New Roman CYR" w:hAnsi="Times New Roman CYR" w:cs="Times New Roman CYR"/>
                <w:sz w:val="21"/>
                <w:szCs w:val="21"/>
                <w:lang w:eastAsia="zh-CN"/>
              </w:rPr>
            </w:pPr>
          </w:p>
          <w:p w:rsid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25.2.</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xml:space="preserve"> Лица, обязанные по:</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биржевым облигациям российских хозяйственных обществ, акциям акционерных инвестиционных фондов</w:t>
            </w:r>
            <w:r w:rsidR="0099465D" w:rsidRPr="007321C7">
              <w:rPr>
                <w:rFonts w:ascii="Times New Roman CYR" w:hAnsi="Times New Roman CYR" w:cs="Times New Roman CYR"/>
                <w:sz w:val="21"/>
                <w:szCs w:val="21"/>
                <w:lang w:eastAsia="zh-CN"/>
              </w:rPr>
              <w:t>, российским депозитарным распискам должны</w:t>
            </w:r>
            <w:r w:rsidRPr="007321C7">
              <w:rPr>
                <w:rFonts w:ascii="Times New Roman CYR" w:hAnsi="Times New Roman CYR" w:cs="Times New Roman CYR"/>
                <w:sz w:val="21"/>
                <w:szCs w:val="21"/>
                <w:lang w:eastAsia="zh-CN"/>
              </w:rPr>
              <w:t xml:space="preserve"> быть зарегистрированы в Российской Федерации;</w:t>
            </w:r>
          </w:p>
          <w:p w:rsidR="006E4A05"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облигациям иностранных эмитентов,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321C7" w:rsidRPr="007321C7" w:rsidRDefault="007321C7"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Акции, составляющие активы Фонда, могут быть как обыкновенными, так и привилегированными.</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Имущество, составляющее Фонд, может быть инвестировано в облигации, эмитентами которых могут быть:</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российские органы государственной власти;</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иностранные органы государственной власти;</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российские органы местного самоуправления;</w:t>
            </w:r>
          </w:p>
          <w:p w:rsidR="006E4A05" w:rsidRPr="007321C7" w:rsidRDefault="006E4A05" w:rsidP="006E4A05">
            <w:pPr>
              <w:rPr>
                <w:rFonts w:ascii="Times New Roman CYR" w:hAnsi="Times New Roman CYR" w:cs="Times New Roman CYR"/>
                <w:sz w:val="21"/>
                <w:szCs w:val="21"/>
                <w:lang w:eastAsia="zh-CN"/>
              </w:rPr>
            </w:pPr>
            <w:r w:rsidRPr="007321C7">
              <w:rPr>
                <w:rFonts w:ascii="Times New Roman CYR" w:hAnsi="Times New Roman CYR" w:cs="Times New Roman CYR"/>
                <w:sz w:val="21"/>
                <w:szCs w:val="21"/>
                <w:lang w:eastAsia="zh-CN"/>
              </w:rPr>
              <w:t>- международные финансовые организации;</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 российские юридические лица;</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 иностранные юридические лица.</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Ценные бумаги, составляющие Фонд, могут </w:t>
            </w:r>
            <w:r w:rsidRPr="001F3EE3">
              <w:rPr>
                <w:rFonts w:ascii="Times New Roman CYR" w:hAnsi="Times New Roman CYR" w:cs="Times New Roman CYR"/>
                <w:sz w:val="22"/>
                <w:szCs w:val="22"/>
                <w:lang w:eastAsia="zh-CN"/>
              </w:rPr>
              <w:lastRenderedPageBreak/>
              <w:t>быть, как допущены, так и не допущены к торгам организаторов торговли на рынке ценных бумаг.</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Ценные бумаги, составляющие Фонд, могут быть, как включены, так и не включены в котировальные списки фондовых бирж.</w:t>
            </w:r>
          </w:p>
          <w:p w:rsidR="006E4A05" w:rsidRPr="001F3EE3" w:rsidRDefault="006E4A05" w:rsidP="006E4A05">
            <w:pPr>
              <w:pStyle w:val="ConsPlusNormal"/>
              <w:widowControl/>
              <w:ind w:firstLine="709"/>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 xml:space="preserve">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 </w:t>
            </w:r>
          </w:p>
          <w:p w:rsidR="006E4A05" w:rsidRPr="001F3EE3" w:rsidRDefault="006E4A05" w:rsidP="007E1670">
            <w:pPr>
              <w:pStyle w:val="ConsPlusNormal"/>
              <w:ind w:firstLine="709"/>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0B27EA" w:rsidRPr="000B27EA">
              <w:rPr>
                <w:rFonts w:ascii="Times New Roman CYR" w:hAnsi="Times New Roman CYR" w:cs="Times New Roman CYR"/>
                <w:sz w:val="22"/>
                <w:szCs w:val="22"/>
                <w:lang w:eastAsia="zh-CN"/>
              </w:rPr>
              <w:t>Блумберг (Bloomberg) или Томсон Рейтерс (Thompson Reuters)</w:t>
            </w:r>
            <w:r w:rsidRPr="001F3EE3">
              <w:rPr>
                <w:rFonts w:ascii="Times New Roman CYR" w:hAnsi="Times New Roman CYR" w:cs="Times New Roman CYR"/>
                <w:sz w:val="22"/>
                <w:szCs w:val="22"/>
                <w:lang w:eastAsia="zh-CN"/>
              </w:rPr>
              <w:t>, либо такие ценные бумаги обращаются на организованном рынке ценных бумаг.</w:t>
            </w:r>
          </w:p>
          <w:p w:rsidR="006E4A05" w:rsidRPr="001F3EE3" w:rsidRDefault="006E4A05" w:rsidP="006E4A05">
            <w:pPr>
              <w:widowControl w:val="0"/>
              <w:tabs>
                <w:tab w:val="left" w:pos="540"/>
                <w:tab w:val="left" w:pos="960"/>
              </w:tabs>
              <w:autoSpaceDE w:val="0"/>
              <w:autoSpaceDN w:val="0"/>
              <w:adjustRightInd w:val="0"/>
              <w:spacing w:before="20"/>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Американская фондовая биржа (American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Гонконгская фондовая биржа (Hong Kong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val="en-US" w:eastAsia="zh-CN"/>
              </w:rPr>
            </w:pPr>
            <w:r w:rsidRPr="001F3EE3">
              <w:rPr>
                <w:rFonts w:ascii="Times New Roman CYR" w:hAnsi="Times New Roman CYR" w:cs="Times New Roman CYR"/>
                <w:sz w:val="22"/>
                <w:szCs w:val="22"/>
                <w:lang w:eastAsia="zh-CN"/>
              </w:rPr>
              <w:t>Евронекст</w:t>
            </w:r>
            <w:r w:rsidRPr="001F3EE3">
              <w:rPr>
                <w:rFonts w:ascii="Times New Roman CYR" w:hAnsi="Times New Roman CYR" w:cs="Times New Roman CYR"/>
                <w:sz w:val="22"/>
                <w:szCs w:val="22"/>
                <w:lang w:val="en-US" w:eastAsia="zh-CN"/>
              </w:rPr>
              <w:t xml:space="preserve"> (Euronext Amsterdam, Euronext Brussels, Euronext Lisbon, Euronext Paris);</w:t>
            </w:r>
          </w:p>
          <w:p w:rsidR="006E4A05" w:rsidRPr="001F3EE3" w:rsidRDefault="006E4A05" w:rsidP="008E5918">
            <w:pPr>
              <w:pStyle w:val="ConsPlusNormal"/>
              <w:widowControl/>
              <w:numPr>
                <w:ilvl w:val="2"/>
                <w:numId w:val="5"/>
              </w:numPr>
              <w:ind w:left="1418" w:hanging="708"/>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Закрытое акционерное общество «Фондовая биржа ММВБ»;</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Ирландская фондовая биржа (Irish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Испанская фондовая биржа (BME Spanish Exchanges);</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Итальянская фондовая биржа (Borsa Italiana);</w:t>
            </w:r>
          </w:p>
          <w:p w:rsidR="006E4A05" w:rsidRPr="001F3EE3" w:rsidRDefault="006E4A05" w:rsidP="008E5918">
            <w:pPr>
              <w:pStyle w:val="ConsPlusNormal"/>
              <w:widowControl/>
              <w:numPr>
                <w:ilvl w:val="2"/>
                <w:numId w:val="5"/>
              </w:numPr>
              <w:ind w:left="1418" w:hanging="708"/>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Корейская биржа (Korea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Лондонская фондовая биржа (London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Люксембургская фондовая биржа (Luxembourg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Насдак (Nasdaq);</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Немецкая фондовая биржа (Deutsche Borse);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val="en-US" w:eastAsia="zh-CN"/>
              </w:rPr>
            </w:pPr>
            <w:r w:rsidRPr="001F3EE3">
              <w:rPr>
                <w:rFonts w:ascii="Times New Roman CYR" w:hAnsi="Times New Roman CYR" w:cs="Times New Roman CYR"/>
                <w:sz w:val="22"/>
                <w:szCs w:val="22"/>
                <w:lang w:eastAsia="zh-CN"/>
              </w:rPr>
              <w:t>Нью</w:t>
            </w:r>
            <w:r w:rsidRPr="001F3EE3">
              <w:rPr>
                <w:rFonts w:ascii="Times New Roman CYR" w:hAnsi="Times New Roman CYR" w:cs="Times New Roman CYR"/>
                <w:sz w:val="22"/>
                <w:szCs w:val="22"/>
                <w:lang w:val="en-US" w:eastAsia="zh-CN"/>
              </w:rPr>
              <w:t>-</w:t>
            </w:r>
            <w:r w:rsidRPr="001F3EE3">
              <w:rPr>
                <w:rFonts w:ascii="Times New Roman CYR" w:hAnsi="Times New Roman CYR" w:cs="Times New Roman CYR"/>
                <w:sz w:val="22"/>
                <w:szCs w:val="22"/>
                <w:lang w:eastAsia="zh-CN"/>
              </w:rPr>
              <w:t>Йоркская</w:t>
            </w:r>
            <w:r w:rsidRPr="001F3EE3">
              <w:rPr>
                <w:rFonts w:ascii="Times New Roman CYR" w:hAnsi="Times New Roman CYR" w:cs="Times New Roman CYR"/>
                <w:sz w:val="22"/>
                <w:szCs w:val="22"/>
                <w:lang w:val="en-US" w:eastAsia="zh-CN"/>
              </w:rPr>
              <w:t xml:space="preserve"> </w:t>
            </w:r>
            <w:r w:rsidRPr="001F3EE3">
              <w:rPr>
                <w:rFonts w:ascii="Times New Roman CYR" w:hAnsi="Times New Roman CYR" w:cs="Times New Roman CYR"/>
                <w:sz w:val="22"/>
                <w:szCs w:val="22"/>
                <w:lang w:eastAsia="zh-CN"/>
              </w:rPr>
              <w:t>фондовая</w:t>
            </w:r>
            <w:r w:rsidRPr="001F3EE3">
              <w:rPr>
                <w:rFonts w:ascii="Times New Roman CYR" w:hAnsi="Times New Roman CYR" w:cs="Times New Roman CYR"/>
                <w:sz w:val="22"/>
                <w:szCs w:val="22"/>
                <w:lang w:val="en-US" w:eastAsia="zh-CN"/>
              </w:rPr>
              <w:t xml:space="preserve"> </w:t>
            </w:r>
            <w:r w:rsidRPr="001F3EE3">
              <w:rPr>
                <w:rFonts w:ascii="Times New Roman CYR" w:hAnsi="Times New Roman CYR" w:cs="Times New Roman CYR"/>
                <w:sz w:val="22"/>
                <w:szCs w:val="22"/>
                <w:lang w:eastAsia="zh-CN"/>
              </w:rPr>
              <w:t>биржа</w:t>
            </w:r>
            <w:r w:rsidRPr="001F3EE3">
              <w:rPr>
                <w:rFonts w:ascii="Times New Roman CYR" w:hAnsi="Times New Roman CYR" w:cs="Times New Roman CYR"/>
                <w:sz w:val="22"/>
                <w:szCs w:val="22"/>
                <w:lang w:val="en-US" w:eastAsia="zh-CN"/>
              </w:rPr>
              <w:t xml:space="preserve"> (New York Stock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Открытое акционерное общество «Фондовая биржа «Российская Торговая Система»;</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lastRenderedPageBreak/>
              <w:t>Токийская фондовая биржа (Tokyo Stock Exchange Group);</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val="en-US" w:eastAsia="zh-CN"/>
              </w:rPr>
            </w:pPr>
            <w:r w:rsidRPr="001F3EE3">
              <w:rPr>
                <w:rFonts w:ascii="Times New Roman CYR" w:hAnsi="Times New Roman CYR" w:cs="Times New Roman CYR"/>
                <w:sz w:val="22"/>
                <w:szCs w:val="22"/>
                <w:lang w:eastAsia="zh-CN"/>
              </w:rPr>
              <w:t>Фондовая</w:t>
            </w:r>
            <w:r w:rsidRPr="001F3EE3">
              <w:rPr>
                <w:rFonts w:ascii="Times New Roman CYR" w:hAnsi="Times New Roman CYR" w:cs="Times New Roman CYR"/>
                <w:sz w:val="22"/>
                <w:szCs w:val="22"/>
                <w:lang w:val="en-US" w:eastAsia="zh-CN"/>
              </w:rPr>
              <w:t xml:space="preserve"> </w:t>
            </w:r>
            <w:r w:rsidRPr="001F3EE3">
              <w:rPr>
                <w:rFonts w:ascii="Times New Roman CYR" w:hAnsi="Times New Roman CYR" w:cs="Times New Roman CYR"/>
                <w:sz w:val="22"/>
                <w:szCs w:val="22"/>
                <w:lang w:eastAsia="zh-CN"/>
              </w:rPr>
              <w:t>биржа</w:t>
            </w:r>
            <w:r w:rsidRPr="001F3EE3">
              <w:rPr>
                <w:rFonts w:ascii="Times New Roman CYR" w:hAnsi="Times New Roman CYR" w:cs="Times New Roman CYR"/>
                <w:sz w:val="22"/>
                <w:szCs w:val="22"/>
                <w:lang w:val="en-US" w:eastAsia="zh-CN"/>
              </w:rPr>
              <w:t xml:space="preserve"> </w:t>
            </w:r>
            <w:r w:rsidRPr="001F3EE3">
              <w:rPr>
                <w:rFonts w:ascii="Times New Roman CYR" w:hAnsi="Times New Roman CYR" w:cs="Times New Roman CYR"/>
                <w:sz w:val="22"/>
                <w:szCs w:val="22"/>
                <w:lang w:eastAsia="zh-CN"/>
              </w:rPr>
              <w:t>Торонто</w:t>
            </w:r>
            <w:r w:rsidRPr="001F3EE3">
              <w:rPr>
                <w:rFonts w:ascii="Times New Roman CYR" w:hAnsi="Times New Roman CYR" w:cs="Times New Roman CYR"/>
                <w:sz w:val="22"/>
                <w:szCs w:val="22"/>
                <w:lang w:val="en-US" w:eastAsia="zh-CN"/>
              </w:rPr>
              <w:t xml:space="preserve"> (Toronto Stock Exchange, TSX Group);</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Фондовая биржа Швейцарии (Swiss Exchange);</w:t>
            </w:r>
          </w:p>
          <w:p w:rsidR="006E4A05" w:rsidRPr="001F3EE3" w:rsidRDefault="006E4A05" w:rsidP="008E5918">
            <w:pPr>
              <w:pStyle w:val="ConsPlusNormal"/>
              <w:widowControl/>
              <w:numPr>
                <w:ilvl w:val="2"/>
                <w:numId w:val="5"/>
              </w:numPr>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Шанхайская фондовая биржа (Shanghai Stock Exchange).</w:t>
            </w:r>
          </w:p>
          <w:p w:rsidR="006E4A05" w:rsidRPr="001F3EE3" w:rsidRDefault="006E4A05" w:rsidP="006E4A05">
            <w:pPr>
              <w:pStyle w:val="ConsPlusNormal"/>
              <w:widowControl/>
              <w:ind w:firstLine="709"/>
              <w:jc w:val="both"/>
              <w:rPr>
                <w:rFonts w:ascii="Times New Roman CYR" w:hAnsi="Times New Roman CYR" w:cs="Times New Roman CYR"/>
                <w:sz w:val="22"/>
                <w:szCs w:val="22"/>
                <w:lang w:eastAsia="zh-CN"/>
              </w:rPr>
            </w:pPr>
          </w:p>
          <w:p w:rsidR="006E4A05" w:rsidRPr="001F3EE3" w:rsidRDefault="006E4A05" w:rsidP="006E4A05">
            <w:pPr>
              <w:rPr>
                <w:rFonts w:ascii="Times New Roman CYR" w:hAnsi="Times New Roman CYR" w:cs="Times New Roman CYR"/>
                <w:lang w:eastAsia="zh-CN"/>
              </w:rPr>
            </w:pP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25.3.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6E4A05" w:rsidRPr="001F3EE3" w:rsidRDefault="006E4A05" w:rsidP="008E5918">
            <w:pPr>
              <w:widowControl w:val="0"/>
              <w:numPr>
                <w:ilvl w:val="0"/>
                <w:numId w:val="1"/>
              </w:numPr>
              <w:tabs>
                <w:tab w:val="clear" w:pos="502"/>
                <w:tab w:val="left" w:pos="540"/>
                <w:tab w:val="left" w:pos="960"/>
                <w:tab w:val="left" w:pos="1170"/>
              </w:tabs>
              <w:autoSpaceDE w:val="0"/>
              <w:autoSpaceDN w:val="0"/>
              <w:adjustRightInd w:val="0"/>
              <w:spacing w:before="20"/>
              <w:ind w:left="0" w:firstLine="709"/>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 Структура активов фонда должна соответствовать одновременно следующим требованиям:</w:t>
            </w:r>
          </w:p>
          <w:p w:rsidR="006E4A05" w:rsidRPr="001F3EE3" w:rsidRDefault="006E4A05" w:rsidP="008E5918">
            <w:pPr>
              <w:pStyle w:val="ConsPlusNormal"/>
              <w:widowControl/>
              <w:numPr>
                <w:ilvl w:val="0"/>
                <w:numId w:val="6"/>
              </w:numPr>
              <w:tabs>
                <w:tab w:val="left" w:pos="990"/>
              </w:tabs>
              <w:ind w:left="990" w:hanging="45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6E4A05" w:rsidRPr="001F3EE3" w:rsidRDefault="006E4A05" w:rsidP="008E5918">
            <w:pPr>
              <w:pStyle w:val="ConsPlusNormal"/>
              <w:widowControl/>
              <w:numPr>
                <w:ilvl w:val="0"/>
                <w:numId w:val="6"/>
              </w:numPr>
              <w:tabs>
                <w:tab w:val="left" w:pos="900"/>
              </w:tabs>
              <w:ind w:left="90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 xml:space="preserve"> не менее двух третей рабочих дней в течение одного календарного года </w:t>
            </w:r>
            <w:r w:rsidRPr="001F3EE3">
              <w:rPr>
                <w:rFonts w:ascii="Times New Roman CYR" w:hAnsi="Times New Roman CYR" w:cs="Times New Roman CYR"/>
                <w:sz w:val="22"/>
                <w:szCs w:val="22"/>
                <w:lang w:eastAsia="zh-CN"/>
              </w:rPr>
              <w:lastRenderedPageBreak/>
              <w:t>оценочная стоимость объектов, предусмотренных подпунктами 2 и 3 пункта 25.1, должна составлять не менее 40 процентов стоимости чистых активов;</w:t>
            </w:r>
          </w:p>
          <w:p w:rsidR="006E4A05" w:rsidRPr="001F3EE3" w:rsidRDefault="006E4A05" w:rsidP="008E5918">
            <w:pPr>
              <w:pStyle w:val="ConsPlusNormal"/>
              <w:widowControl/>
              <w:numPr>
                <w:ilvl w:val="0"/>
                <w:numId w:val="6"/>
              </w:numPr>
              <w:tabs>
                <w:tab w:val="left" w:pos="900"/>
              </w:tabs>
              <w:ind w:left="90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6E4A05" w:rsidRPr="001F3EE3" w:rsidRDefault="006E4A05" w:rsidP="008E5918">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6E4A05" w:rsidRPr="001F3EE3" w:rsidRDefault="006E4A05" w:rsidP="008E5918">
            <w:pPr>
              <w:pStyle w:val="ConsPlusNormal"/>
              <w:numPr>
                <w:ilvl w:val="0"/>
                <w:numId w:val="6"/>
              </w:numPr>
              <w:tabs>
                <w:tab w:val="left" w:pos="540"/>
                <w:tab w:val="left" w:pos="851"/>
                <w:tab w:val="left" w:pos="900"/>
              </w:tabs>
              <w:spacing w:before="20" w:line="228" w:lineRule="auto"/>
              <w:ind w:left="90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 xml:space="preserve">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E4A05" w:rsidRPr="001F3EE3" w:rsidRDefault="006E4A05" w:rsidP="006E4A05">
            <w:pPr>
              <w:pStyle w:val="ConsPlusNormal"/>
              <w:tabs>
                <w:tab w:val="left" w:pos="851"/>
              </w:tabs>
              <w:spacing w:before="20" w:line="228" w:lineRule="auto"/>
              <w:ind w:left="851" w:firstLine="0"/>
              <w:jc w:val="both"/>
              <w:rPr>
                <w:rFonts w:ascii="Times New Roman CYR" w:hAnsi="Times New Roman CYR" w:cs="Times New Roman CYR"/>
                <w:sz w:val="22"/>
                <w:szCs w:val="22"/>
                <w:lang w:eastAsia="zh-CN"/>
              </w:rPr>
            </w:pPr>
            <w:r w:rsidRPr="001F3EE3">
              <w:rPr>
                <w:rFonts w:ascii="Times New Roman CYR" w:hAnsi="Times New Roman CYR" w:cs="Times New Roman CYR"/>
                <w:sz w:val="22"/>
                <w:szCs w:val="22"/>
                <w:lang w:eastAsia="zh-CN"/>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E4A05" w:rsidRPr="001F3EE3" w:rsidRDefault="006E4A05" w:rsidP="006E4A05">
            <w:pPr>
              <w:widowControl w:val="0"/>
              <w:tabs>
                <w:tab w:val="left" w:pos="900"/>
                <w:tab w:val="left" w:pos="960"/>
              </w:tabs>
              <w:autoSpaceDE w:val="0"/>
              <w:autoSpaceDN w:val="0"/>
              <w:adjustRightInd w:val="0"/>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Требования подпункта 2 пункта 26 настоящих Правил применяются к структуре активов Фонда по истечении одного года с даты вступления в силу изменений и дополнений в настоящие Правила, предусматривающих, что паевой инвестиционный фонд относится к категории фондов недвижимости.</w:t>
            </w:r>
          </w:p>
          <w:p w:rsidR="006E4A05" w:rsidRPr="001F3EE3" w:rsidRDefault="006E4A05" w:rsidP="006E4A05">
            <w:pPr>
              <w:widowControl w:val="0"/>
              <w:tabs>
                <w:tab w:val="left" w:pos="900"/>
                <w:tab w:val="left" w:pos="960"/>
              </w:tabs>
              <w:autoSpaceDE w:val="0"/>
              <w:autoSpaceDN w:val="0"/>
              <w:adjustRightInd w:val="0"/>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Требования подпункта 2 пункта 26 настоящих Правил не применяются к структуре активов Фонда, если до окончания срока договора доверительного управления Фондом осталось менее 1 года. </w:t>
            </w:r>
          </w:p>
          <w:bookmarkEnd w:id="19"/>
          <w:p w:rsidR="006E4A05" w:rsidRPr="001F3EE3" w:rsidRDefault="006E4A05" w:rsidP="006E4A05">
            <w:pPr>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lastRenderedPageBreak/>
              <w:t>27. </w:t>
            </w:r>
            <w:r w:rsidRPr="001F3EE3">
              <w:rPr>
                <w:rFonts w:ascii="Times New Roman CYR" w:hAnsi="Times New Roman CYR" w:cs="Times New Roman CYR"/>
                <w:sz w:val="22"/>
                <w:szCs w:val="22"/>
                <w:lang w:eastAsia="zh-CN"/>
              </w:rPr>
              <w:tab/>
              <w:t>Описание рисков, связанных с инвестированием.</w:t>
            </w:r>
          </w:p>
          <w:p w:rsidR="006E4A05" w:rsidRPr="001F3EE3" w:rsidRDefault="006E4A05" w:rsidP="006E4A05">
            <w:pPr>
              <w:tabs>
                <w:tab w:val="left" w:pos="709"/>
                <w:tab w:val="left" w:pos="900"/>
                <w:tab w:val="left" w:pos="960"/>
              </w:tabs>
              <w:spacing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E4A05" w:rsidRPr="001F3EE3" w:rsidRDefault="006E4A05" w:rsidP="006E4A05">
            <w:pPr>
              <w:tabs>
                <w:tab w:val="left" w:pos="709"/>
                <w:tab w:val="left" w:pos="900"/>
                <w:tab w:val="left" w:pos="960"/>
              </w:tabs>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E4A05" w:rsidRPr="001F3EE3" w:rsidRDefault="006E4A05" w:rsidP="006E4A05">
            <w:pPr>
              <w:tabs>
                <w:tab w:val="left" w:pos="709"/>
                <w:tab w:val="left" w:pos="900"/>
                <w:tab w:val="left" w:pos="960"/>
              </w:tabs>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Настоящее описание рисков не раскрывает информации обо всех рисках вследствие разнообразия ситуаций, возникающих при инвестировании.</w:t>
            </w:r>
          </w:p>
          <w:p w:rsidR="006E4A05" w:rsidRPr="001F3EE3" w:rsidRDefault="006E4A05" w:rsidP="006E4A05">
            <w:pPr>
              <w:tabs>
                <w:tab w:val="left" w:pos="709"/>
                <w:tab w:val="left" w:pos="900"/>
                <w:tab w:val="left" w:pos="960"/>
              </w:tabs>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E4A05" w:rsidRPr="001F3EE3" w:rsidRDefault="006E4A05" w:rsidP="006E4A05">
            <w:pPr>
              <w:tabs>
                <w:tab w:val="left" w:pos="709"/>
                <w:tab w:val="left" w:pos="900"/>
                <w:tab w:val="left" w:pos="960"/>
              </w:tabs>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E4A05" w:rsidRPr="001F3EE3" w:rsidRDefault="006E4A05" w:rsidP="006E4A05">
            <w:pPr>
              <w:tabs>
                <w:tab w:val="left" w:pos="709"/>
                <w:tab w:val="left" w:pos="900"/>
                <w:tab w:val="left" w:pos="960"/>
              </w:tabs>
              <w:spacing w:before="20" w:line="228" w:lineRule="auto"/>
              <w:ind w:firstLine="709"/>
              <w:rPr>
                <w:rFonts w:ascii="Times New Roman CYR" w:hAnsi="Times New Roman CYR" w:cs="Times New Roman CYR"/>
                <w:lang w:eastAsia="zh-CN"/>
              </w:rPr>
            </w:pPr>
            <w:r w:rsidRPr="001F3EE3">
              <w:rPr>
                <w:rFonts w:ascii="Times New Roman CYR" w:hAnsi="Times New Roman CYR" w:cs="Times New Roman CYR"/>
                <w:sz w:val="22"/>
                <w:szCs w:val="22"/>
                <w:lang w:eastAsia="zh-CN"/>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рыночный риск, связанный с колебаниями курсов валют, </w:t>
            </w:r>
            <w:r w:rsidRPr="001F3EE3">
              <w:rPr>
                <w:rFonts w:ascii="Times New Roman CYR" w:hAnsi="Times New Roman CYR" w:cs="Times New Roman CYR"/>
                <w:sz w:val="22"/>
                <w:szCs w:val="22"/>
                <w:lang w:eastAsia="zh-CN"/>
              </w:rPr>
              <w:lastRenderedPageBreak/>
              <w:t>процентных ставок;</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ценовой риск, проявляющийся в изменении цен на недвижимость и (или) права на недвижимость, изменении цен на акции российских акционерных обществ  и государственные ценные бумаги, который может привести к падению стоимости активов Фонда;</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риск неправомочных действий в отношении ценных бумаг, недвижимого имущества и прав на него со стороны третьих лиц;</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риск рыночной ликвидности, связанный с потенциальной невозможностью реализовать активы по благоприятным ценам;</w:t>
            </w:r>
          </w:p>
          <w:p w:rsidR="006E4A05" w:rsidRPr="001F3EE3" w:rsidRDefault="006E4A05" w:rsidP="008E5918">
            <w:pPr>
              <w:numPr>
                <w:ilvl w:val="0"/>
                <w:numId w:val="2"/>
              </w:numPr>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риск, связанный с изменениями действующего законодательства;</w:t>
            </w:r>
          </w:p>
          <w:p w:rsidR="006E4A05" w:rsidRPr="001F3EE3" w:rsidRDefault="006E4A05" w:rsidP="008E5918">
            <w:pPr>
              <w:widowControl w:val="0"/>
              <w:numPr>
                <w:ilvl w:val="0"/>
                <w:numId w:val="2"/>
              </w:numPr>
              <w:tabs>
                <w:tab w:val="left" w:pos="0"/>
                <w:tab w:val="left" w:pos="709"/>
              </w:tabs>
              <w:autoSpaceDE w:val="0"/>
              <w:autoSpaceDN w:val="0"/>
              <w:adjustRightInd w:val="0"/>
              <w:spacing w:before="20" w:line="228" w:lineRule="auto"/>
              <w:jc w:val="both"/>
              <w:rPr>
                <w:rFonts w:ascii="Times New Roman CYR" w:hAnsi="Times New Roman CYR" w:cs="Times New Roman CYR"/>
                <w:lang w:eastAsia="zh-CN"/>
              </w:rPr>
            </w:pPr>
            <w:r w:rsidRPr="001F3EE3">
              <w:rPr>
                <w:rFonts w:ascii="Times New Roman CYR" w:hAnsi="Times New Roman CYR" w:cs="Times New Roman CYR"/>
                <w:sz w:val="22"/>
                <w:szCs w:val="22"/>
                <w:lang w:eastAsia="zh-CN"/>
              </w:rPr>
              <w:t>риск возникновения форс-мажорных обстоятельств, таких как природные катаклизмы и военные действия.</w:t>
            </w:r>
          </w:p>
          <w:p w:rsidR="006E4A05" w:rsidRPr="001F3EE3" w:rsidRDefault="006E4A05" w:rsidP="006E4A05">
            <w:pPr>
              <w:tabs>
                <w:tab w:val="left" w:pos="709"/>
                <w:tab w:val="left" w:pos="900"/>
                <w:tab w:val="left" w:pos="960"/>
              </w:tabs>
              <w:spacing w:before="20" w:line="228" w:lineRule="auto"/>
              <w:rPr>
                <w:rFonts w:ascii="Times New Roman CYR" w:hAnsi="Times New Roman CYR" w:cs="Times New Roman CYR"/>
                <w:lang w:eastAsia="zh-CN"/>
              </w:rPr>
            </w:pPr>
            <w:r w:rsidRPr="001F3EE3">
              <w:rPr>
                <w:rFonts w:ascii="Times New Roman CYR" w:hAnsi="Times New Roman CYR" w:cs="Times New Roman CYR"/>
                <w:sz w:val="22"/>
                <w:szCs w:val="22"/>
                <w:lang w:eastAsia="zh-C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6E4A05" w:rsidRPr="001F3EE3" w:rsidRDefault="006E4A05" w:rsidP="006E4A05">
            <w:pPr>
              <w:rPr>
                <w:rFonts w:ascii="Times New Roman CYR" w:hAnsi="Times New Roman CYR" w:cs="Times New Roman CYR"/>
                <w:lang w:eastAsia="zh-CN"/>
              </w:rPr>
            </w:pPr>
            <w:r w:rsidRPr="001F3EE3">
              <w:rPr>
                <w:rFonts w:ascii="Times New Roman CYR" w:hAnsi="Times New Roman CYR" w:cs="Times New Roman CYR"/>
                <w:sz w:val="22"/>
                <w:szCs w:val="22"/>
                <w:lang w:eastAsia="zh-CN"/>
              </w:rPr>
              <w:t xml:space="preserve">Результаты деятельности Управляющей компании в прошлом не являются гарантией доходов в будущем. Решение о приобретении инвестиционных паев Фонда принимается инвестором самостоятельно после ознакомления </w:t>
            </w:r>
            <w:r w:rsidRPr="001F3EE3">
              <w:rPr>
                <w:rFonts w:ascii="Times New Roman CYR" w:hAnsi="Times New Roman CYR" w:cs="Times New Roman CYR"/>
                <w:sz w:val="22"/>
                <w:szCs w:val="22"/>
                <w:lang w:eastAsia="zh-CN"/>
              </w:rPr>
              <w:lastRenderedPageBreak/>
              <w:t>с настоящими Правилами.</w:t>
            </w:r>
          </w:p>
        </w:tc>
      </w:tr>
      <w:tr w:rsidR="00005A3F" w:rsidRPr="00B26024">
        <w:trPr>
          <w:trHeight w:val="1200"/>
        </w:trPr>
        <w:tc>
          <w:tcPr>
            <w:tcW w:w="4788" w:type="dxa"/>
          </w:tcPr>
          <w:p w:rsidR="00005A3F" w:rsidRPr="00005A3F" w:rsidRDefault="00005A3F" w:rsidP="008E5918">
            <w:pPr>
              <w:numPr>
                <w:ilvl w:val="0"/>
                <w:numId w:val="8"/>
              </w:numPr>
              <w:tabs>
                <w:tab w:val="left" w:pos="0"/>
                <w:tab w:val="left" w:pos="270"/>
              </w:tabs>
              <w:ind w:left="0" w:firstLine="0"/>
            </w:pPr>
            <w:r w:rsidRPr="00005A3F">
              <w:rPr>
                <w:sz w:val="22"/>
                <w:szCs w:val="22"/>
              </w:rPr>
              <w:lastRenderedPageBreak/>
              <w:t>Управляющая компания обязана:</w:t>
            </w:r>
          </w:p>
          <w:p w:rsidR="00005A3F" w:rsidRPr="00005A3F" w:rsidRDefault="00005A3F" w:rsidP="008E5918">
            <w:pPr>
              <w:numPr>
                <w:ilvl w:val="1"/>
                <w:numId w:val="8"/>
              </w:numPr>
              <w:tabs>
                <w:tab w:val="left" w:pos="0"/>
                <w:tab w:val="left" w:pos="270"/>
              </w:tabs>
              <w:ind w:left="0" w:firstLine="0"/>
            </w:pPr>
            <w:r w:rsidRPr="00005A3F">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005A3F" w:rsidRPr="00005A3F" w:rsidRDefault="00005A3F" w:rsidP="008E5918">
            <w:pPr>
              <w:numPr>
                <w:ilvl w:val="1"/>
                <w:numId w:val="8"/>
              </w:numPr>
              <w:tabs>
                <w:tab w:val="left" w:pos="0"/>
                <w:tab w:val="left" w:pos="270"/>
              </w:tabs>
              <w:ind w:left="0" w:firstLine="0"/>
            </w:pPr>
            <w:r w:rsidRPr="00005A3F">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005A3F" w:rsidRPr="00005A3F" w:rsidRDefault="00005A3F" w:rsidP="008E5918">
            <w:pPr>
              <w:numPr>
                <w:ilvl w:val="1"/>
                <w:numId w:val="8"/>
              </w:numPr>
              <w:tabs>
                <w:tab w:val="left" w:pos="0"/>
                <w:tab w:val="left" w:pos="270"/>
              </w:tabs>
              <w:ind w:left="0" w:firstLine="0"/>
            </w:pPr>
            <w:r w:rsidRPr="00005A3F">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005A3F" w:rsidRPr="00005A3F" w:rsidRDefault="00005A3F" w:rsidP="008E5918">
            <w:pPr>
              <w:numPr>
                <w:ilvl w:val="1"/>
                <w:numId w:val="8"/>
              </w:numPr>
              <w:tabs>
                <w:tab w:val="left" w:pos="0"/>
                <w:tab w:val="left" w:pos="270"/>
              </w:tabs>
              <w:ind w:left="0" w:firstLine="0"/>
            </w:pPr>
            <w:r w:rsidRPr="00005A3F">
              <w:rPr>
                <w:sz w:val="22"/>
                <w:szCs w:val="22"/>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005A3F" w:rsidRPr="00005A3F" w:rsidRDefault="00005A3F" w:rsidP="008E5918">
            <w:pPr>
              <w:numPr>
                <w:ilvl w:val="1"/>
                <w:numId w:val="8"/>
              </w:numPr>
              <w:tabs>
                <w:tab w:val="left" w:pos="0"/>
                <w:tab w:val="left" w:pos="270"/>
              </w:tabs>
              <w:ind w:left="0" w:firstLine="0"/>
            </w:pPr>
            <w:r w:rsidRPr="00005A3F">
              <w:rPr>
                <w:sz w:val="22"/>
                <w:szCs w:val="22"/>
              </w:rPr>
              <w:t>передавать специализированному депозитарию подлинные экземпляры документов, подтверждающих права на недвижимое имущество;</w:t>
            </w:r>
          </w:p>
          <w:p w:rsidR="00005A3F" w:rsidRPr="00005A3F" w:rsidRDefault="00005A3F" w:rsidP="008E5918">
            <w:pPr>
              <w:numPr>
                <w:ilvl w:val="1"/>
                <w:numId w:val="8"/>
              </w:numPr>
              <w:tabs>
                <w:tab w:val="left" w:pos="0"/>
                <w:tab w:val="left" w:pos="270"/>
              </w:tabs>
              <w:ind w:left="0" w:firstLine="0"/>
            </w:pPr>
            <w:r w:rsidRPr="00005A3F">
              <w:rPr>
                <w:sz w:val="22"/>
                <w:szCs w:val="22"/>
              </w:rPr>
              <w:t xml:space="preserve">страховать здания, сооружения, помещения, составляющие Фонд, от риска утраты и повреждения, при этом страховая сумма должна составлять не менее </w:t>
            </w:r>
            <w:r w:rsidR="00C80AED" w:rsidRPr="00C80AED">
              <w:rPr>
                <w:sz w:val="22"/>
                <w:szCs w:val="22"/>
              </w:rPr>
              <w:t xml:space="preserve">50 (пятидесяти) процентов </w:t>
            </w:r>
            <w:r w:rsidRPr="00005A3F">
              <w:rPr>
                <w:sz w:val="22"/>
                <w:szCs w:val="22"/>
              </w:rPr>
              <w:t>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005A3F" w:rsidRPr="000743B4" w:rsidRDefault="00005A3F" w:rsidP="00005A3F">
            <w:pPr>
              <w:tabs>
                <w:tab w:val="left" w:pos="0"/>
                <w:tab w:val="left" w:pos="270"/>
              </w:tabs>
            </w:pPr>
          </w:p>
        </w:tc>
        <w:tc>
          <w:tcPr>
            <w:tcW w:w="4860" w:type="dxa"/>
          </w:tcPr>
          <w:p w:rsidR="00005A3F" w:rsidRPr="00005A3F" w:rsidRDefault="00005A3F" w:rsidP="00005A3F">
            <w:r w:rsidRPr="00005A3F">
              <w:t>30. Управляющая компания обязана:</w:t>
            </w:r>
          </w:p>
          <w:p w:rsidR="00005A3F" w:rsidRPr="00005A3F" w:rsidRDefault="00005A3F" w:rsidP="00005A3F">
            <w:bookmarkStart w:id="20" w:name="sub_10311"/>
            <w:r w:rsidRPr="00005A3F">
              <w:t xml:space="preserve"> 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005A3F" w:rsidRPr="00005A3F" w:rsidRDefault="00005A3F" w:rsidP="00005A3F">
            <w:bookmarkStart w:id="21" w:name="sub_10312"/>
            <w:bookmarkEnd w:id="20"/>
            <w:r w:rsidRPr="00005A3F">
              <w:t xml:space="preserve"> 2) при осуществлении доверительного управления Фондом действовать разумно и добросовестно в интересах владельцев инвестиционных паев;</w:t>
            </w:r>
          </w:p>
          <w:p w:rsidR="00005A3F" w:rsidRPr="00005A3F" w:rsidRDefault="00005A3F" w:rsidP="00005A3F">
            <w:bookmarkStart w:id="22" w:name="sub_10313"/>
            <w:bookmarkEnd w:id="21"/>
            <w:r w:rsidRPr="00005A3F">
              <w:t xml:space="preserve"> 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005A3F" w:rsidRPr="00005A3F" w:rsidRDefault="00005A3F" w:rsidP="00005A3F">
            <w:bookmarkStart w:id="23" w:name="sub_10314"/>
            <w:bookmarkEnd w:id="22"/>
            <w:r w:rsidRPr="00005A3F">
              <w:t xml:space="preserve"> 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05A3F" w:rsidRPr="00005A3F" w:rsidRDefault="00005A3F" w:rsidP="00005A3F">
            <w:bookmarkStart w:id="24" w:name="sub_10315"/>
            <w:bookmarkEnd w:id="23"/>
            <w:r w:rsidRPr="00005A3F">
              <w:t xml:space="preserve"> 5) передавать специализированному депозитарию подлинные экземпляры документов, подтверждающих права на недвижимое имущество;</w:t>
            </w:r>
          </w:p>
          <w:bookmarkEnd w:id="24"/>
          <w:p w:rsidR="00005A3F" w:rsidRDefault="00005A3F" w:rsidP="00005A3F">
            <w:r w:rsidRPr="00005A3F">
              <w:t xml:space="preserve"> 6) страховать здания, сооружения, помещения, составляющие Фонд от риска утраты и повреждения, при этом минимальная страховая сумма должна составлять </w:t>
            </w:r>
            <w:r w:rsidR="00C80AED" w:rsidRPr="00C80AED">
              <w:rPr>
                <w:b/>
                <w:bCs/>
              </w:rPr>
              <w:t>50 (пятьдесят) процентов</w:t>
            </w:r>
            <w:r w:rsidRPr="00005A3F">
              <w:t xml:space="preserve">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tc>
      </w:tr>
      <w:tr w:rsidR="00FF7E80" w:rsidRPr="00B26024">
        <w:trPr>
          <w:trHeight w:val="1200"/>
        </w:trPr>
        <w:tc>
          <w:tcPr>
            <w:tcW w:w="4788" w:type="dxa"/>
          </w:tcPr>
          <w:p w:rsidR="007358E9" w:rsidRDefault="00D16C04" w:rsidP="00BE1AD3">
            <w:pPr>
              <w:tabs>
                <w:tab w:val="left" w:pos="426"/>
              </w:tabs>
              <w:jc w:val="both"/>
            </w:pPr>
            <w:r>
              <w:rPr>
                <w:sz w:val="22"/>
                <w:szCs w:val="22"/>
              </w:rPr>
              <w:t>33.</w:t>
            </w:r>
            <w:r w:rsidR="00FF7E80" w:rsidRPr="000743B4">
              <w:rPr>
                <w:sz w:val="22"/>
                <w:szCs w:val="22"/>
              </w:rPr>
              <w:t>Ограничения на совершение сделок, установленные подпунктом «и»  подпункта </w:t>
            </w:r>
            <w:r w:rsidR="00FF7E80" w:rsidRPr="000743B4" w:rsidDel="00A25761">
              <w:rPr>
                <w:sz w:val="22"/>
                <w:szCs w:val="22"/>
              </w:rPr>
              <w:t xml:space="preserve"> </w:t>
            </w:r>
            <w:r w:rsidR="00FF7E80" w:rsidRPr="000743B4">
              <w:rPr>
                <w:sz w:val="22"/>
                <w:szCs w:val="22"/>
              </w:rPr>
              <w:t>5 пункта 31 настоящих Правил, не применяются, если указанные сделки</w:t>
            </w:r>
            <w:r w:rsidR="00FF7E80">
              <w:rPr>
                <w:sz w:val="22"/>
                <w:szCs w:val="22"/>
              </w:rPr>
              <w:t xml:space="preserve"> </w:t>
            </w:r>
            <w:r w:rsidR="00FF7E80" w:rsidRPr="000743B4">
              <w:rPr>
                <w:sz w:val="22"/>
                <w:szCs w:val="22"/>
              </w:rPr>
              <w:t>совершаются с ценными бумагами, включенными в котировальные списки российских фондовых бирж</w:t>
            </w:r>
            <w:r w:rsidR="00FF7E80">
              <w:rPr>
                <w:sz w:val="22"/>
                <w:szCs w:val="22"/>
              </w:rPr>
              <w:t>.</w:t>
            </w:r>
          </w:p>
          <w:p w:rsidR="00FF7E80" w:rsidRPr="000743B4" w:rsidRDefault="00FF7E80" w:rsidP="00FF7E80">
            <w:pPr>
              <w:tabs>
                <w:tab w:val="left" w:pos="426"/>
              </w:tabs>
              <w:jc w:val="both"/>
            </w:pPr>
          </w:p>
        </w:tc>
        <w:tc>
          <w:tcPr>
            <w:tcW w:w="4860" w:type="dxa"/>
          </w:tcPr>
          <w:p w:rsidR="00FF7E80" w:rsidRPr="00FF7E80" w:rsidRDefault="00FF7E80" w:rsidP="00FF7E80">
            <w:r w:rsidRPr="00FF7E80">
              <w:rPr>
                <w:sz w:val="22"/>
                <w:szCs w:val="22"/>
              </w:rPr>
              <w:t xml:space="preserve">33. Ограничения на совершение сделок, установленные </w:t>
            </w:r>
            <w:hyperlink w:anchor="пункти" w:history="1">
              <w:r w:rsidRPr="00FF7E80">
                <w:rPr>
                  <w:rStyle w:val="ab"/>
                  <w:sz w:val="22"/>
                  <w:szCs w:val="22"/>
                </w:rPr>
                <w:t>подпунктом</w:t>
              </w:r>
              <w:r w:rsidR="00D16C04">
                <w:rPr>
                  <w:rStyle w:val="ab"/>
                  <w:sz w:val="22"/>
                  <w:szCs w:val="22"/>
                </w:rPr>
                <w:t xml:space="preserve"> </w:t>
              </w:r>
              <w:r w:rsidR="00D16C04" w:rsidRPr="000743B4">
                <w:rPr>
                  <w:sz w:val="22"/>
                  <w:szCs w:val="22"/>
                </w:rPr>
                <w:t xml:space="preserve">«и»  </w:t>
              </w:r>
              <w:r w:rsidRPr="00FF7E80">
                <w:rPr>
                  <w:rStyle w:val="ab"/>
                  <w:sz w:val="22"/>
                  <w:szCs w:val="22"/>
                </w:rPr>
                <w:t xml:space="preserve"> подпункта 5 пункта 31 настоящих Правил</w:t>
              </w:r>
            </w:hyperlink>
            <w:r w:rsidRPr="00FF7E80">
              <w:rPr>
                <w:sz w:val="22"/>
                <w:szCs w:val="22"/>
              </w:rPr>
              <w:t>, не применяются, если указанные сделки:</w:t>
            </w:r>
          </w:p>
          <w:p w:rsidR="00FF7E80" w:rsidRPr="00FF7E80" w:rsidRDefault="00FF7E80" w:rsidP="00FF7E80">
            <w:r w:rsidRPr="00FF7E80">
              <w:rPr>
                <w:sz w:val="22"/>
                <w:szCs w:val="22"/>
              </w:rPr>
              <w:t>1) совершаются с ценными бумагами, включенными в котировальные списки российских фондовых бирж;</w:t>
            </w:r>
          </w:p>
          <w:p w:rsidR="00FF7E80" w:rsidRPr="00FF7E80" w:rsidRDefault="00FF7E80" w:rsidP="00FF7E80">
            <w:r w:rsidRPr="00FF7E80">
              <w:rPr>
                <w:sz w:val="22"/>
                <w:szCs w:val="22"/>
              </w:rPr>
              <w:t xml:space="preserve">2) совершаются при размещении дополнительных ценных бумаг акционерного общества при осуществлении управляющей компанией права акционера на </w:t>
            </w:r>
            <w:r w:rsidRPr="00FF7E80">
              <w:rPr>
                <w:sz w:val="22"/>
                <w:szCs w:val="22"/>
              </w:rPr>
              <w:lastRenderedPageBreak/>
              <w:t>преимущественное приобретение акций и эмиссионных ценных бумаг, конвертируемых в акции этого акционерного общества;</w:t>
            </w:r>
          </w:p>
          <w:p w:rsidR="00FF7E80" w:rsidRPr="00FF7E80" w:rsidRDefault="00FF7E80" w:rsidP="00FF7E80">
            <w:r w:rsidRPr="00FF7E80">
              <w:rPr>
                <w:sz w:val="22"/>
                <w:szCs w:val="22"/>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F7E80" w:rsidRPr="00FF7E80" w:rsidRDefault="00FF7E80" w:rsidP="00FF7E80">
            <w:pPr>
              <w:ind w:firstLine="720"/>
            </w:pPr>
          </w:p>
        </w:tc>
      </w:tr>
      <w:tr w:rsidR="006C6734" w:rsidRPr="00B26024">
        <w:trPr>
          <w:trHeight w:val="1200"/>
        </w:trPr>
        <w:tc>
          <w:tcPr>
            <w:tcW w:w="4788" w:type="dxa"/>
          </w:tcPr>
          <w:p w:rsidR="006C6734" w:rsidRPr="006C6734" w:rsidRDefault="006C6734" w:rsidP="008E5918">
            <w:pPr>
              <w:pStyle w:val="af3"/>
              <w:numPr>
                <w:ilvl w:val="0"/>
                <w:numId w:val="13"/>
              </w:numPr>
              <w:tabs>
                <w:tab w:val="left" w:pos="284"/>
              </w:tabs>
              <w:ind w:left="0" w:firstLine="0"/>
              <w:jc w:val="both"/>
            </w:pPr>
            <w:r w:rsidRPr="006C6734">
              <w:rPr>
                <w:sz w:val="22"/>
                <w:szCs w:val="22"/>
              </w:rPr>
              <w:lastRenderedPageBreak/>
              <w:t>Способы получения выписок из реестра владельцев инвестиционных паев.</w:t>
            </w:r>
          </w:p>
          <w:p w:rsidR="006C6734" w:rsidRPr="000743B4" w:rsidRDefault="006C6734" w:rsidP="006C6734">
            <w:pPr>
              <w:widowControl w:val="0"/>
              <w:tabs>
                <w:tab w:val="left" w:pos="284"/>
              </w:tabs>
              <w:autoSpaceDE w:val="0"/>
              <w:autoSpaceDN w:val="0"/>
              <w:adjustRightInd w:val="0"/>
              <w:spacing w:before="20" w:line="228" w:lineRule="auto"/>
            </w:pPr>
            <w:r w:rsidRPr="000743B4">
              <w:rPr>
                <w:sz w:val="22"/>
                <w:szCs w:val="22"/>
              </w:rPr>
              <w:t xml:space="preserve">При отсутствии указания в данных счета иного способа предоставления выписки она вручается лично у Регистратора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 </w:t>
            </w:r>
          </w:p>
          <w:p w:rsidR="006C6734" w:rsidRPr="006C6734" w:rsidRDefault="006C6734" w:rsidP="006C6734">
            <w:pPr>
              <w:pStyle w:val="af3"/>
              <w:tabs>
                <w:tab w:val="left" w:pos="284"/>
              </w:tabs>
              <w:ind w:left="0"/>
              <w:jc w:val="both"/>
            </w:pPr>
          </w:p>
        </w:tc>
        <w:tc>
          <w:tcPr>
            <w:tcW w:w="4860" w:type="dxa"/>
          </w:tcPr>
          <w:p w:rsidR="006C6734" w:rsidRPr="006C6734" w:rsidRDefault="00D16C04" w:rsidP="006C6734">
            <w:pPr>
              <w:ind w:firstLine="32"/>
            </w:pPr>
            <w:r>
              <w:rPr>
                <w:sz w:val="22"/>
                <w:szCs w:val="22"/>
              </w:rPr>
              <w:t>44</w:t>
            </w:r>
            <w:r w:rsidR="006C6734" w:rsidRPr="006C6734">
              <w:rPr>
                <w:sz w:val="22"/>
                <w:szCs w:val="22"/>
              </w:rPr>
              <w:t xml:space="preserve">. Способы получения выписок из реестра владельцев инвестиционных паев. </w:t>
            </w:r>
          </w:p>
          <w:p w:rsidR="006C6734" w:rsidRPr="006C6734" w:rsidRDefault="006C6734" w:rsidP="006C6734">
            <w:pPr>
              <w:ind w:firstLine="32"/>
            </w:pPr>
            <w:r w:rsidRPr="006C6734">
              <w:rPr>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6C6734" w:rsidRPr="006C6734" w:rsidRDefault="006C6734" w:rsidP="006C6734">
            <w:pPr>
              <w:ind w:firstLine="32"/>
            </w:pPr>
            <w:r w:rsidRPr="006C673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6C6734" w:rsidRPr="006C6734" w:rsidRDefault="006C6734" w:rsidP="006C6734">
            <w:pPr>
              <w:ind w:firstLine="32"/>
            </w:pPr>
            <w:r w:rsidRPr="006C673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6C6734" w:rsidRPr="00B26024">
        <w:trPr>
          <w:trHeight w:val="1200"/>
        </w:trPr>
        <w:tc>
          <w:tcPr>
            <w:tcW w:w="4788" w:type="dxa"/>
          </w:tcPr>
          <w:p w:rsidR="006C6734" w:rsidRPr="006C6734" w:rsidRDefault="006C6734" w:rsidP="008E5918">
            <w:pPr>
              <w:pStyle w:val="af3"/>
              <w:numPr>
                <w:ilvl w:val="0"/>
                <w:numId w:val="13"/>
              </w:numPr>
              <w:tabs>
                <w:tab w:val="left" w:pos="284"/>
              </w:tabs>
              <w:ind w:left="0" w:firstLine="0"/>
              <w:jc w:val="both"/>
            </w:pPr>
            <w:r w:rsidRPr="006C6734">
              <w:rPr>
                <w:sz w:val="22"/>
                <w:szCs w:val="22"/>
              </w:rPr>
              <w:t>Общее собрание владельцев инвестиционных паев (далее – Общее собрание) принимает решения по вопросам:</w:t>
            </w:r>
          </w:p>
          <w:p w:rsidR="006C6734" w:rsidRPr="000743B4" w:rsidRDefault="006C6734" w:rsidP="008E5918">
            <w:pPr>
              <w:numPr>
                <w:ilvl w:val="1"/>
                <w:numId w:val="13"/>
              </w:numPr>
              <w:tabs>
                <w:tab w:val="left" w:pos="284"/>
              </w:tabs>
              <w:ind w:left="0" w:firstLine="0"/>
              <w:jc w:val="both"/>
            </w:pPr>
            <w:bookmarkStart w:id="25" w:name="p_45"/>
            <w:bookmarkEnd w:id="25"/>
            <w:r w:rsidRPr="000743B4">
              <w:rPr>
                <w:sz w:val="22"/>
                <w:szCs w:val="22"/>
              </w:rPr>
              <w:t xml:space="preserve">утверждения изменений, </w:t>
            </w:r>
            <w:r>
              <w:rPr>
                <w:sz w:val="22"/>
                <w:szCs w:val="22"/>
              </w:rPr>
              <w:t xml:space="preserve">которые </w:t>
            </w:r>
            <w:r w:rsidRPr="000743B4">
              <w:rPr>
                <w:sz w:val="22"/>
                <w:szCs w:val="22"/>
              </w:rPr>
              <w:t>внос</w:t>
            </w:r>
            <w:r>
              <w:rPr>
                <w:sz w:val="22"/>
                <w:szCs w:val="22"/>
              </w:rPr>
              <w:t>ятся</w:t>
            </w:r>
            <w:r w:rsidRPr="000743B4">
              <w:rPr>
                <w:sz w:val="22"/>
                <w:szCs w:val="22"/>
              </w:rPr>
              <w:t xml:space="preserve"> в </w:t>
            </w:r>
            <w:r>
              <w:rPr>
                <w:sz w:val="22"/>
                <w:szCs w:val="22"/>
              </w:rPr>
              <w:t xml:space="preserve">настоящие </w:t>
            </w:r>
            <w:r w:rsidRPr="000743B4">
              <w:rPr>
                <w:sz w:val="22"/>
                <w:szCs w:val="22"/>
              </w:rPr>
              <w:t>Правила, связанных:</w:t>
            </w:r>
          </w:p>
          <w:p w:rsidR="006C6734" w:rsidRPr="000743B4" w:rsidRDefault="006C6734" w:rsidP="008E5918">
            <w:pPr>
              <w:numPr>
                <w:ilvl w:val="2"/>
                <w:numId w:val="14"/>
              </w:numPr>
              <w:tabs>
                <w:tab w:val="left" w:pos="284"/>
              </w:tabs>
              <w:ind w:left="0" w:firstLine="0"/>
              <w:jc w:val="both"/>
            </w:pPr>
            <w:r w:rsidRPr="000743B4">
              <w:rPr>
                <w:sz w:val="22"/>
                <w:szCs w:val="22"/>
              </w:rPr>
              <w:t xml:space="preserve">с изменением инвестиционной декларации,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6C6734" w:rsidRPr="000743B4" w:rsidRDefault="006C6734" w:rsidP="008E5918">
            <w:pPr>
              <w:numPr>
                <w:ilvl w:val="2"/>
                <w:numId w:val="14"/>
              </w:numPr>
              <w:tabs>
                <w:tab w:val="left" w:pos="284"/>
              </w:tabs>
              <w:ind w:left="0" w:firstLine="0"/>
              <w:jc w:val="both"/>
            </w:pPr>
            <w:r w:rsidRPr="000743B4">
              <w:rPr>
                <w:sz w:val="22"/>
                <w:szCs w:val="22"/>
              </w:rPr>
              <w:t xml:space="preserve">с увеличением размера вознаграждения Управляющей компании, Специализированного депозитария, Регистратора, Оценщиков и Аудитора; </w:t>
            </w:r>
          </w:p>
          <w:p w:rsidR="006C6734" w:rsidRPr="000743B4" w:rsidRDefault="006C6734" w:rsidP="008E5918">
            <w:pPr>
              <w:numPr>
                <w:ilvl w:val="2"/>
                <w:numId w:val="14"/>
              </w:numPr>
              <w:tabs>
                <w:tab w:val="left" w:pos="284"/>
              </w:tabs>
              <w:ind w:left="0" w:firstLine="0"/>
              <w:jc w:val="both"/>
            </w:pPr>
            <w:r w:rsidRPr="000743B4">
              <w:rPr>
                <w:sz w:val="22"/>
                <w:szCs w:val="22"/>
              </w:rPr>
              <w:t xml:space="preserve">с расширением перечня расходов Управляющей компании, подлежащих оплате за счет имущества, составляющего Фонд;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введением скидок в связи с погашением инвестиционных паев или увеличением их размеров;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изменением типа Фонда;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определением количества дополнительных инвестиционных паев Фонда, которые могут быть выданы после завершения (окончания) его </w:t>
            </w:r>
            <w:r w:rsidRPr="000743B4">
              <w:rPr>
                <w:sz w:val="22"/>
                <w:szCs w:val="22"/>
              </w:rPr>
              <w:lastRenderedPageBreak/>
              <w:t xml:space="preserve">формирования;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изменением категории Фонда; </w:t>
            </w:r>
          </w:p>
          <w:p w:rsidR="006C6734" w:rsidRPr="000743B4" w:rsidRDefault="006C6734" w:rsidP="008E5918">
            <w:pPr>
              <w:numPr>
                <w:ilvl w:val="2"/>
                <w:numId w:val="14"/>
              </w:numPr>
              <w:tabs>
                <w:tab w:val="left" w:pos="284"/>
              </w:tabs>
              <w:ind w:left="0" w:firstLine="0"/>
              <w:jc w:val="both"/>
            </w:pPr>
            <w:r w:rsidRPr="000743B4">
              <w:rPr>
                <w:sz w:val="22"/>
                <w:szCs w:val="22"/>
              </w:rPr>
              <w:t xml:space="preserve">с установлением или исключением права владельцев инвестиционных паев на получение дохода от доверительного управления Фондом;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6C6734" w:rsidRPr="000743B4" w:rsidRDefault="006C6734" w:rsidP="008E5918">
            <w:pPr>
              <w:numPr>
                <w:ilvl w:val="2"/>
                <w:numId w:val="14"/>
              </w:numPr>
              <w:tabs>
                <w:tab w:val="left" w:pos="284"/>
              </w:tabs>
              <w:ind w:left="0" w:firstLine="0"/>
              <w:jc w:val="both"/>
            </w:pPr>
            <w:r w:rsidRPr="000743B4">
              <w:rPr>
                <w:sz w:val="22"/>
                <w:szCs w:val="22"/>
              </w:rPr>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6C6734" w:rsidRPr="000743B4" w:rsidRDefault="006C6734" w:rsidP="008E5918">
            <w:pPr>
              <w:numPr>
                <w:ilvl w:val="2"/>
                <w:numId w:val="14"/>
              </w:numPr>
              <w:tabs>
                <w:tab w:val="left" w:pos="284"/>
              </w:tabs>
              <w:ind w:left="0" w:firstLine="0"/>
              <w:jc w:val="both"/>
            </w:pPr>
            <w:r w:rsidRPr="000743B4">
              <w:rPr>
                <w:sz w:val="22"/>
                <w:szCs w:val="22"/>
              </w:rPr>
              <w:t xml:space="preserve">с изменением срока действия договора доверительного управления Фондом; </w:t>
            </w:r>
          </w:p>
          <w:p w:rsidR="006C6734" w:rsidRPr="000743B4" w:rsidRDefault="006C6734" w:rsidP="008E5918">
            <w:pPr>
              <w:numPr>
                <w:ilvl w:val="2"/>
                <w:numId w:val="14"/>
              </w:numPr>
              <w:tabs>
                <w:tab w:val="left" w:pos="284"/>
              </w:tabs>
              <w:ind w:left="0" w:firstLine="0"/>
              <w:jc w:val="both"/>
            </w:pPr>
            <w:r w:rsidRPr="000743B4">
              <w:rPr>
                <w:sz w:val="22"/>
                <w:szCs w:val="22"/>
              </w:rPr>
              <w:t xml:space="preserve">с увеличением размера вознаграждения лица, осуществляющего прекращение Фонда; </w:t>
            </w:r>
          </w:p>
          <w:p w:rsidR="006C6734" w:rsidRPr="000743B4" w:rsidRDefault="006C6734" w:rsidP="008E5918">
            <w:pPr>
              <w:numPr>
                <w:ilvl w:val="2"/>
                <w:numId w:val="14"/>
              </w:numPr>
              <w:tabs>
                <w:tab w:val="left" w:pos="284"/>
              </w:tabs>
              <w:ind w:left="0" w:firstLine="0"/>
              <w:jc w:val="both"/>
            </w:pPr>
            <w:r w:rsidRPr="000743B4">
              <w:rPr>
                <w:sz w:val="22"/>
                <w:szCs w:val="22"/>
              </w:rPr>
              <w:t>с изменением количества голосов, необходимых для принятия решения Общим собранием;</w:t>
            </w:r>
          </w:p>
          <w:p w:rsidR="006C6734" w:rsidRPr="000743B4" w:rsidRDefault="006C6734" w:rsidP="008E5918">
            <w:pPr>
              <w:numPr>
                <w:ilvl w:val="2"/>
                <w:numId w:val="14"/>
              </w:numPr>
              <w:tabs>
                <w:tab w:val="left" w:pos="284"/>
              </w:tabs>
              <w:ind w:left="0" w:firstLine="0"/>
              <w:jc w:val="both"/>
            </w:pPr>
            <w:r w:rsidRPr="000743B4">
              <w:rPr>
                <w:sz w:val="22"/>
                <w:szCs w:val="22"/>
              </w:rPr>
              <w:t>с тем, что инвестиционные паи Фонда предназначены для квалифицированных инвесторов.</w:t>
            </w:r>
          </w:p>
          <w:p w:rsidR="006C6734" w:rsidRPr="000743B4" w:rsidRDefault="006C6734" w:rsidP="008E5918">
            <w:pPr>
              <w:numPr>
                <w:ilvl w:val="1"/>
                <w:numId w:val="13"/>
              </w:numPr>
              <w:tabs>
                <w:tab w:val="left" w:pos="284"/>
              </w:tabs>
              <w:ind w:left="0" w:firstLine="0"/>
              <w:jc w:val="both"/>
            </w:pPr>
            <w:r w:rsidRPr="000743B4">
              <w:rPr>
                <w:sz w:val="22"/>
                <w:szCs w:val="22"/>
              </w:rPr>
              <w:t>передачи прав и обязанностей по договору доверительного управления Фондом другой Управляющей компании;</w:t>
            </w:r>
          </w:p>
          <w:p w:rsidR="006C6734" w:rsidRPr="000743B4" w:rsidRDefault="006C6734" w:rsidP="008E5918">
            <w:pPr>
              <w:numPr>
                <w:ilvl w:val="1"/>
                <w:numId w:val="13"/>
              </w:numPr>
              <w:tabs>
                <w:tab w:val="left" w:pos="284"/>
              </w:tabs>
              <w:ind w:left="0" w:firstLine="0"/>
              <w:jc w:val="both"/>
            </w:pPr>
            <w:r w:rsidRPr="000743B4">
              <w:rPr>
                <w:sz w:val="22"/>
                <w:szCs w:val="22"/>
              </w:rPr>
              <w:t xml:space="preserve"> досрочного прекращения или продления срока действия договора доверительного управления Фондом.</w:t>
            </w:r>
          </w:p>
          <w:p w:rsidR="006C6734" w:rsidRPr="006C6734" w:rsidRDefault="006C6734" w:rsidP="006C6734">
            <w:pPr>
              <w:pStyle w:val="af3"/>
              <w:tabs>
                <w:tab w:val="left" w:pos="284"/>
              </w:tabs>
              <w:ind w:left="0"/>
              <w:jc w:val="both"/>
            </w:pPr>
          </w:p>
        </w:tc>
        <w:tc>
          <w:tcPr>
            <w:tcW w:w="4860" w:type="dxa"/>
          </w:tcPr>
          <w:p w:rsidR="006C6734" w:rsidRPr="006C6734" w:rsidRDefault="00D16C04" w:rsidP="006C6734">
            <w:pPr>
              <w:tabs>
                <w:tab w:val="left" w:pos="237"/>
              </w:tabs>
              <w:ind w:firstLine="32"/>
            </w:pPr>
            <w:r>
              <w:rPr>
                <w:sz w:val="22"/>
                <w:szCs w:val="22"/>
              </w:rPr>
              <w:lastRenderedPageBreak/>
              <w:t>45</w:t>
            </w:r>
            <w:r w:rsidR="006C6734" w:rsidRPr="006C6734">
              <w:rPr>
                <w:sz w:val="22"/>
                <w:szCs w:val="22"/>
              </w:rPr>
              <w:t>. Общее собрание владельцев инвестиционных паев (далее – общее собрание) принимает решения по вопросам:</w:t>
            </w:r>
          </w:p>
          <w:p w:rsidR="006C6734" w:rsidRPr="006C6734" w:rsidRDefault="00D16C04" w:rsidP="006C6734">
            <w:pPr>
              <w:tabs>
                <w:tab w:val="left" w:pos="237"/>
              </w:tabs>
              <w:ind w:firstLine="32"/>
            </w:pPr>
            <w:r>
              <w:rPr>
                <w:sz w:val="22"/>
                <w:szCs w:val="22"/>
              </w:rPr>
              <w:t>а</w:t>
            </w:r>
            <w:r w:rsidR="006C6734" w:rsidRPr="006C6734">
              <w:rPr>
                <w:sz w:val="22"/>
                <w:szCs w:val="22"/>
              </w:rPr>
              <w:t>) утверждения изменений, которые вносятся в настоящие Правила, связанных:</w:t>
            </w:r>
          </w:p>
          <w:p w:rsidR="006C6734" w:rsidRPr="006C6734" w:rsidRDefault="006C6734" w:rsidP="008E5918">
            <w:pPr>
              <w:numPr>
                <w:ilvl w:val="0"/>
                <w:numId w:val="15"/>
              </w:numPr>
              <w:tabs>
                <w:tab w:val="left" w:pos="237"/>
              </w:tabs>
              <w:ind w:left="0" w:firstLine="32"/>
            </w:pPr>
            <w:r w:rsidRPr="006C6734">
              <w:rPr>
                <w:sz w:val="22"/>
                <w:szCs w:val="22"/>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6C6734" w:rsidRPr="006C6734" w:rsidRDefault="006C6734" w:rsidP="008E5918">
            <w:pPr>
              <w:numPr>
                <w:ilvl w:val="0"/>
                <w:numId w:val="15"/>
              </w:numPr>
              <w:tabs>
                <w:tab w:val="left" w:pos="237"/>
              </w:tabs>
              <w:ind w:left="0" w:firstLine="32"/>
            </w:pPr>
            <w:r w:rsidRPr="006C6734">
              <w:rPr>
                <w:sz w:val="22"/>
                <w:szCs w:val="22"/>
              </w:rPr>
              <w:t xml:space="preserve">с увеличением размера вознаграждения Управляющей компании, Специализированного депозитария, Регистратора, Оценщиков и Аудитора; </w:t>
            </w:r>
          </w:p>
          <w:p w:rsidR="006C6734" w:rsidRPr="006C6734" w:rsidRDefault="006C6734" w:rsidP="008E5918">
            <w:pPr>
              <w:numPr>
                <w:ilvl w:val="0"/>
                <w:numId w:val="15"/>
              </w:numPr>
              <w:tabs>
                <w:tab w:val="left" w:pos="237"/>
              </w:tabs>
              <w:ind w:left="0" w:firstLine="32"/>
            </w:pPr>
            <w:r w:rsidRPr="006C6734">
              <w:rPr>
                <w:sz w:val="22"/>
                <w:szCs w:val="22"/>
              </w:rPr>
              <w:t>с расширением перечня расходов Управляющей компании, подлежащих оплате за счет имущества, составляющего Фонд;</w:t>
            </w:r>
          </w:p>
          <w:p w:rsidR="006C6734" w:rsidRPr="006C6734" w:rsidRDefault="006C6734" w:rsidP="008E5918">
            <w:pPr>
              <w:numPr>
                <w:ilvl w:val="0"/>
                <w:numId w:val="15"/>
              </w:numPr>
              <w:tabs>
                <w:tab w:val="left" w:pos="237"/>
              </w:tabs>
              <w:ind w:left="0" w:firstLine="32"/>
            </w:pPr>
            <w:r w:rsidRPr="006C6734">
              <w:rPr>
                <w:sz w:val="22"/>
                <w:szCs w:val="22"/>
              </w:rPr>
              <w:t>с введением скидок в связи с погашением инвестиционных паев или увеличением их размеров;</w:t>
            </w:r>
          </w:p>
          <w:p w:rsidR="006C6734" w:rsidRPr="006C6734" w:rsidRDefault="006C6734" w:rsidP="008E5918">
            <w:pPr>
              <w:numPr>
                <w:ilvl w:val="0"/>
                <w:numId w:val="15"/>
              </w:numPr>
              <w:tabs>
                <w:tab w:val="left" w:pos="237"/>
              </w:tabs>
              <w:ind w:left="0" w:firstLine="32"/>
            </w:pPr>
            <w:r w:rsidRPr="006C6734">
              <w:rPr>
                <w:sz w:val="22"/>
                <w:szCs w:val="22"/>
              </w:rPr>
              <w:t>с изменением типа Фонда;</w:t>
            </w:r>
          </w:p>
          <w:p w:rsidR="006C6734" w:rsidRPr="006C6734" w:rsidRDefault="006C6734" w:rsidP="008E5918">
            <w:pPr>
              <w:numPr>
                <w:ilvl w:val="0"/>
                <w:numId w:val="15"/>
              </w:numPr>
              <w:tabs>
                <w:tab w:val="left" w:pos="237"/>
              </w:tabs>
              <w:ind w:left="0" w:firstLine="32"/>
            </w:pPr>
            <w:r w:rsidRPr="006C6734">
              <w:rPr>
                <w:sz w:val="22"/>
                <w:szCs w:val="22"/>
              </w:rPr>
              <w:t>с определением количества дополнительных инвестиционных паев Фонда;</w:t>
            </w:r>
          </w:p>
          <w:p w:rsidR="006C6734" w:rsidRPr="006C6734" w:rsidRDefault="006C6734" w:rsidP="008E5918">
            <w:pPr>
              <w:numPr>
                <w:ilvl w:val="0"/>
                <w:numId w:val="15"/>
              </w:numPr>
              <w:tabs>
                <w:tab w:val="left" w:pos="237"/>
              </w:tabs>
              <w:ind w:left="0" w:firstLine="32"/>
            </w:pPr>
            <w:r w:rsidRPr="006C6734">
              <w:rPr>
                <w:sz w:val="22"/>
                <w:szCs w:val="22"/>
              </w:rPr>
              <w:t>с изменением категории Фонда;</w:t>
            </w:r>
          </w:p>
          <w:p w:rsidR="006C6734" w:rsidRPr="006C6734" w:rsidRDefault="006C6734" w:rsidP="008E5918">
            <w:pPr>
              <w:numPr>
                <w:ilvl w:val="0"/>
                <w:numId w:val="15"/>
              </w:numPr>
              <w:tabs>
                <w:tab w:val="left" w:pos="237"/>
              </w:tabs>
              <w:ind w:left="0" w:firstLine="32"/>
            </w:pPr>
            <w:r w:rsidRPr="006C6734">
              <w:rPr>
                <w:sz w:val="22"/>
                <w:szCs w:val="22"/>
              </w:rPr>
              <w:lastRenderedPageBreak/>
              <w:t>с установлением или исключением права владельцев инвестиционных паев на получение дохода от доверительного управления Фондом;</w:t>
            </w:r>
          </w:p>
          <w:p w:rsidR="006C6734" w:rsidRPr="006C6734" w:rsidRDefault="006C6734" w:rsidP="008E5918">
            <w:pPr>
              <w:numPr>
                <w:ilvl w:val="0"/>
                <w:numId w:val="15"/>
              </w:numPr>
              <w:tabs>
                <w:tab w:val="left" w:pos="237"/>
              </w:tabs>
              <w:ind w:left="0" w:firstLine="32"/>
            </w:pPr>
            <w:r w:rsidRPr="006C6734">
              <w:rPr>
                <w:sz w:val="22"/>
                <w:szCs w:val="22"/>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6C6734" w:rsidRPr="006C6734" w:rsidRDefault="006C6734" w:rsidP="008E5918">
            <w:pPr>
              <w:numPr>
                <w:ilvl w:val="0"/>
                <w:numId w:val="15"/>
              </w:numPr>
              <w:tabs>
                <w:tab w:val="left" w:pos="237"/>
              </w:tabs>
              <w:ind w:left="0" w:firstLine="32"/>
            </w:pPr>
            <w:r w:rsidRPr="006C6734">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6C6734" w:rsidRPr="006C6734" w:rsidRDefault="006C6734" w:rsidP="008E5918">
            <w:pPr>
              <w:numPr>
                <w:ilvl w:val="0"/>
                <w:numId w:val="15"/>
              </w:numPr>
              <w:tabs>
                <w:tab w:val="left" w:pos="237"/>
              </w:tabs>
              <w:ind w:left="0" w:firstLine="32"/>
            </w:pPr>
            <w:r w:rsidRPr="006C6734">
              <w:rPr>
                <w:sz w:val="22"/>
                <w:szCs w:val="22"/>
              </w:rPr>
              <w:t>с изменением срока действия договора доверительного управления Фондом;</w:t>
            </w:r>
          </w:p>
          <w:p w:rsidR="006C6734" w:rsidRPr="006C6734" w:rsidRDefault="006C6734" w:rsidP="008E5918">
            <w:pPr>
              <w:numPr>
                <w:ilvl w:val="0"/>
                <w:numId w:val="15"/>
              </w:numPr>
              <w:tabs>
                <w:tab w:val="left" w:pos="237"/>
              </w:tabs>
              <w:ind w:left="0" w:firstLine="32"/>
            </w:pPr>
            <w:r w:rsidRPr="006C6734">
              <w:rPr>
                <w:sz w:val="22"/>
                <w:szCs w:val="22"/>
              </w:rPr>
              <w:t>с увеличением размера вознаграждения лица, осуществляющего прекращение Фонда;</w:t>
            </w:r>
          </w:p>
          <w:p w:rsidR="006C6734" w:rsidRPr="006C6734" w:rsidRDefault="006C6734" w:rsidP="008E5918">
            <w:pPr>
              <w:numPr>
                <w:ilvl w:val="0"/>
                <w:numId w:val="15"/>
              </w:numPr>
              <w:tabs>
                <w:tab w:val="left" w:pos="237"/>
              </w:tabs>
              <w:ind w:left="0" w:firstLine="32"/>
            </w:pPr>
            <w:r w:rsidRPr="006C6734">
              <w:rPr>
                <w:sz w:val="22"/>
                <w:szCs w:val="22"/>
              </w:rPr>
              <w:t>с изменением количества голосов, необходимых для принятия решения общим собранием.</w:t>
            </w:r>
          </w:p>
          <w:p w:rsidR="007358E9" w:rsidRDefault="00D16C04">
            <w:pPr>
              <w:tabs>
                <w:tab w:val="left" w:pos="237"/>
              </w:tabs>
              <w:ind w:left="32"/>
            </w:pPr>
            <w:bookmarkStart w:id="26" w:name="sub_10542"/>
            <w:r>
              <w:rPr>
                <w:sz w:val="22"/>
                <w:szCs w:val="22"/>
              </w:rPr>
              <w:t xml:space="preserve">б) </w:t>
            </w:r>
            <w:r w:rsidR="006C6734" w:rsidRPr="006C6734">
              <w:rPr>
                <w:sz w:val="22"/>
                <w:szCs w:val="22"/>
              </w:rPr>
              <w:t>передачи прав и обязанностей по договору доверительного управления Фондом другой Управляющей компании;</w:t>
            </w:r>
          </w:p>
          <w:p w:rsidR="007358E9" w:rsidRDefault="00D16C04">
            <w:pPr>
              <w:tabs>
                <w:tab w:val="left" w:pos="237"/>
              </w:tabs>
              <w:ind w:left="32"/>
            </w:pPr>
            <w:bookmarkStart w:id="27" w:name="sub_10543"/>
            <w:bookmarkEnd w:id="26"/>
            <w:r>
              <w:rPr>
                <w:sz w:val="22"/>
                <w:szCs w:val="22"/>
              </w:rPr>
              <w:t xml:space="preserve">в) </w:t>
            </w:r>
            <w:r w:rsidR="006C6734" w:rsidRPr="006C6734">
              <w:rPr>
                <w:sz w:val="22"/>
                <w:szCs w:val="22"/>
              </w:rPr>
              <w:t xml:space="preserve"> досрочного прекращения или продления срока действия договора доверительного управления Фондом.</w:t>
            </w:r>
            <w:bookmarkEnd w:id="27"/>
          </w:p>
        </w:tc>
      </w:tr>
      <w:tr w:rsidR="00C11B34" w:rsidRPr="00B26024">
        <w:trPr>
          <w:trHeight w:val="1200"/>
        </w:trPr>
        <w:tc>
          <w:tcPr>
            <w:tcW w:w="4788" w:type="dxa"/>
          </w:tcPr>
          <w:p w:rsidR="007619D6" w:rsidRPr="007619D6" w:rsidRDefault="007619D6" w:rsidP="008E5918">
            <w:pPr>
              <w:pStyle w:val="af3"/>
              <w:numPr>
                <w:ilvl w:val="0"/>
                <w:numId w:val="31"/>
              </w:numPr>
              <w:tabs>
                <w:tab w:val="left" w:pos="709"/>
              </w:tabs>
              <w:autoSpaceDE w:val="0"/>
              <w:autoSpaceDN w:val="0"/>
              <w:adjustRightInd w:val="0"/>
              <w:jc w:val="both"/>
            </w:pPr>
            <w:r w:rsidRPr="007619D6">
              <w:rPr>
                <w:sz w:val="22"/>
                <w:szCs w:val="22"/>
              </w:rPr>
              <w:lastRenderedPageBreak/>
              <w:t xml:space="preserve">Порядок подачи заявок на приобретение инвестиционных паев: </w:t>
            </w:r>
          </w:p>
          <w:p w:rsidR="007619D6" w:rsidRPr="000743B4" w:rsidRDefault="007619D6" w:rsidP="008E5918">
            <w:pPr>
              <w:widowControl w:val="0"/>
              <w:numPr>
                <w:ilvl w:val="1"/>
                <w:numId w:val="3"/>
              </w:numPr>
              <w:tabs>
                <w:tab w:val="left" w:pos="709"/>
              </w:tabs>
              <w:autoSpaceDE w:val="0"/>
              <w:autoSpaceDN w:val="0"/>
              <w:adjustRightInd w:val="0"/>
              <w:ind w:left="284" w:firstLine="0"/>
              <w:jc w:val="both"/>
            </w:pPr>
            <w:r w:rsidRPr="000743B4">
              <w:rPr>
                <w:sz w:val="22"/>
                <w:szCs w:val="22"/>
              </w:rPr>
              <w:t>Заявки на приобретение инвестиционных паев, оформленные в соответствии с приложениями №1, №2</w:t>
            </w:r>
            <w:r>
              <w:rPr>
                <w:sz w:val="22"/>
                <w:szCs w:val="22"/>
              </w:rPr>
              <w:t>, №4, №5, №7 и №8</w:t>
            </w:r>
            <w:r w:rsidRPr="000743B4">
              <w:rPr>
                <w:sz w:val="22"/>
                <w:szCs w:val="22"/>
              </w:rPr>
              <w:t xml:space="preserve"> к </w:t>
            </w:r>
            <w:r>
              <w:rPr>
                <w:sz w:val="22"/>
                <w:szCs w:val="22"/>
              </w:rPr>
              <w:t xml:space="preserve">настоящим </w:t>
            </w:r>
            <w:r w:rsidRPr="000743B4">
              <w:rPr>
                <w:sz w:val="22"/>
                <w:szCs w:val="22"/>
              </w:rPr>
              <w:t xml:space="preserve">Правилам, подаются в пунктах приема заявок инвестором или его уполномоченным представителем. </w:t>
            </w:r>
          </w:p>
          <w:p w:rsidR="007619D6" w:rsidRPr="000743B4" w:rsidRDefault="007619D6" w:rsidP="007619D6">
            <w:pPr>
              <w:widowControl w:val="0"/>
              <w:tabs>
                <w:tab w:val="left" w:pos="709"/>
              </w:tabs>
              <w:autoSpaceDE w:val="0"/>
              <w:autoSpaceDN w:val="0"/>
              <w:adjustRightInd w:val="0"/>
              <w:ind w:left="284"/>
            </w:pPr>
            <w:r w:rsidRPr="000743B4">
              <w:rPr>
                <w:sz w:val="22"/>
                <w:szCs w:val="22"/>
              </w:rPr>
              <w:t>Заявки на приобретение инвестиционных паев, оформленные в соответствии с приложением № 3</w:t>
            </w:r>
            <w:r>
              <w:rPr>
                <w:sz w:val="22"/>
                <w:szCs w:val="22"/>
              </w:rPr>
              <w:t>, №6 и №9</w:t>
            </w:r>
            <w:r w:rsidRPr="000743B4">
              <w:rPr>
                <w:sz w:val="22"/>
                <w:szCs w:val="22"/>
              </w:rPr>
              <w:t xml:space="preserve"> к </w:t>
            </w:r>
            <w:r>
              <w:rPr>
                <w:sz w:val="22"/>
                <w:szCs w:val="22"/>
              </w:rPr>
              <w:t xml:space="preserve">настоящим </w:t>
            </w:r>
            <w:r w:rsidRPr="000743B4">
              <w:rPr>
                <w:sz w:val="22"/>
                <w:szCs w:val="22"/>
              </w:rPr>
              <w:t>Правилам, подаются в пунктах приема заявок номинальным держателем или его уполномоченным представителем.</w:t>
            </w:r>
          </w:p>
          <w:p w:rsidR="007619D6" w:rsidRPr="000743B4" w:rsidRDefault="007619D6" w:rsidP="007619D6">
            <w:pPr>
              <w:widowControl w:val="0"/>
              <w:tabs>
                <w:tab w:val="left" w:pos="709"/>
              </w:tabs>
              <w:autoSpaceDE w:val="0"/>
              <w:autoSpaceDN w:val="0"/>
              <w:adjustRightInd w:val="0"/>
              <w:ind w:left="284"/>
            </w:pPr>
            <w:r w:rsidRPr="000743B4">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C11B34" w:rsidRPr="006C6734" w:rsidRDefault="00C11B34" w:rsidP="006C6734">
            <w:pPr>
              <w:pStyle w:val="af3"/>
              <w:tabs>
                <w:tab w:val="left" w:pos="284"/>
              </w:tabs>
              <w:ind w:left="0"/>
              <w:jc w:val="both"/>
            </w:pPr>
          </w:p>
        </w:tc>
        <w:tc>
          <w:tcPr>
            <w:tcW w:w="4860" w:type="dxa"/>
          </w:tcPr>
          <w:p w:rsidR="007619D6" w:rsidRPr="007619D6" w:rsidRDefault="005D5D8A" w:rsidP="007619D6">
            <w:r>
              <w:rPr>
                <w:sz w:val="22"/>
                <w:szCs w:val="22"/>
              </w:rPr>
              <w:t>55</w:t>
            </w:r>
            <w:r w:rsidR="007619D6" w:rsidRPr="007619D6">
              <w:rPr>
                <w:sz w:val="22"/>
                <w:szCs w:val="22"/>
              </w:rPr>
              <w:t>. Порядок подачи заявок на приобретение инвестиционных паев:</w:t>
            </w:r>
          </w:p>
          <w:p w:rsidR="007619D6" w:rsidRPr="007619D6" w:rsidRDefault="007619D6" w:rsidP="007619D6">
            <w:pPr>
              <w:tabs>
                <w:tab w:val="left" w:pos="709"/>
              </w:tabs>
            </w:pPr>
            <w:r w:rsidRPr="007619D6">
              <w:rPr>
                <w:sz w:val="22"/>
                <w:szCs w:val="22"/>
              </w:rPr>
              <w:t xml:space="preserve"> </w:t>
            </w:r>
            <w:r w:rsidR="005D5D8A">
              <w:rPr>
                <w:sz w:val="22"/>
                <w:szCs w:val="22"/>
              </w:rPr>
              <w:t>а</w:t>
            </w:r>
            <w:r w:rsidRPr="007619D6">
              <w:rPr>
                <w:sz w:val="22"/>
                <w:szCs w:val="22"/>
              </w:rPr>
              <w:t xml:space="preserve">) Заявки на приобретение инвестиционных паев, оформленные в соответствии с приложениями №1, №2, №4, №5, №7, №8 к настоящим Правилам, подаются в пунктах приема заявок инвестором или его уполномоченным представителем. </w:t>
            </w:r>
          </w:p>
          <w:p w:rsidR="007619D6" w:rsidRPr="007619D6" w:rsidRDefault="007619D6" w:rsidP="007619D6">
            <w:pPr>
              <w:tabs>
                <w:tab w:val="left" w:pos="709"/>
              </w:tabs>
            </w:pPr>
            <w:r w:rsidRPr="007619D6">
              <w:rPr>
                <w:sz w:val="22"/>
                <w:szCs w:val="22"/>
              </w:rPr>
              <w:t>Заявки на приобретение инвестиционных паев, оформленные в соответствии с приложением №3, №6, №9 к настоящим Правилам, подаются в пунктах приема заявок номинальным держателем или его уполномоченным представителем.</w:t>
            </w:r>
          </w:p>
          <w:p w:rsidR="005D5D8A" w:rsidRDefault="005D5D8A" w:rsidP="005D5D8A">
            <w:pPr>
              <w:widowControl w:val="0"/>
              <w:tabs>
                <w:tab w:val="left" w:pos="709"/>
              </w:tabs>
              <w:autoSpaceDE w:val="0"/>
              <w:autoSpaceDN w:val="0"/>
              <w:adjustRightInd w:val="0"/>
              <w:ind w:left="284"/>
            </w:pPr>
            <w:r w:rsidRPr="000743B4">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7619D6" w:rsidRPr="007619D6" w:rsidRDefault="005D5D8A" w:rsidP="007619D6">
            <w:bookmarkStart w:id="28" w:name="sub_10642"/>
            <w:r>
              <w:rPr>
                <w:sz w:val="22"/>
                <w:szCs w:val="22"/>
              </w:rPr>
              <w:t>б</w:t>
            </w:r>
            <w:r w:rsidR="007619D6" w:rsidRPr="007619D6">
              <w:rPr>
                <w:sz w:val="22"/>
                <w:szCs w:val="22"/>
              </w:rPr>
              <w:t>) к заявке на приобретение инвестиционных паев прилагается отчет об оценке имущества, передаваемого в оплату инвестиционных паев.</w:t>
            </w:r>
          </w:p>
          <w:bookmarkEnd w:id="28"/>
          <w:p w:rsidR="00C11B34" w:rsidRPr="007619D6" w:rsidRDefault="00C11B34" w:rsidP="007619D6"/>
        </w:tc>
      </w:tr>
      <w:tr w:rsidR="007619D6" w:rsidRPr="00B26024">
        <w:trPr>
          <w:trHeight w:val="1200"/>
        </w:trPr>
        <w:tc>
          <w:tcPr>
            <w:tcW w:w="4788" w:type="dxa"/>
          </w:tcPr>
          <w:p w:rsidR="007358E9" w:rsidRDefault="005D5D8A" w:rsidP="00BE1AD3">
            <w:pPr>
              <w:tabs>
                <w:tab w:val="left" w:pos="709"/>
              </w:tabs>
              <w:jc w:val="both"/>
            </w:pPr>
            <w:bookmarkStart w:id="29" w:name="sub_1086"/>
            <w:r>
              <w:rPr>
                <w:sz w:val="22"/>
                <w:szCs w:val="22"/>
              </w:rPr>
              <w:lastRenderedPageBreak/>
              <w:t xml:space="preserve">72. </w:t>
            </w:r>
            <w:r w:rsidRPr="00DB2F79">
              <w:rPr>
                <w:sz w:val="22"/>
                <w:szCs w:val="22"/>
              </w:rPr>
              <w:t>В случае недостаточности выдаваемых инвестиционных паев для удовлетворения всех заявок на приобретение инвестиционных паев</w:t>
            </w:r>
            <w:r w:rsidRPr="008F4165">
              <w:rPr>
                <w:rFonts w:ascii="Times New Roman CYR" w:hAnsi="Times New Roman CYR" w:cs="Times New Roman CYR"/>
                <w:sz w:val="22"/>
                <w:szCs w:val="22"/>
              </w:rPr>
              <w:t xml:space="preserve">, </w:t>
            </w:r>
            <w:r w:rsidRPr="00DB2F79">
              <w:rPr>
                <w:sz w:val="22"/>
                <w:szCs w:val="22"/>
              </w:rPr>
              <w:t>указанные заявки удовлетворяются </w:t>
            </w:r>
            <w:r w:rsidRPr="005A5EF8">
              <w:rPr>
                <w:sz w:val="22"/>
                <w:szCs w:val="22"/>
              </w:rPr>
              <w:t>в порядке очередности их подачи после удовлетворения заявок, поданных лицами, имеющими такое преимущественное право.</w:t>
            </w:r>
          </w:p>
          <w:p w:rsidR="005D5D8A" w:rsidRPr="00DB2F79" w:rsidRDefault="005D5D8A" w:rsidP="005D5D8A">
            <w:pPr>
              <w:tabs>
                <w:tab w:val="left" w:pos="709"/>
              </w:tabs>
              <w:ind w:left="284"/>
            </w:pPr>
            <w:r w:rsidRPr="005A5EF8">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bookmarkEnd w:id="29"/>
          <w:p w:rsidR="007619D6" w:rsidRPr="007619D6" w:rsidRDefault="007619D6" w:rsidP="007619D6">
            <w:pPr>
              <w:pStyle w:val="af3"/>
              <w:tabs>
                <w:tab w:val="left" w:pos="709"/>
              </w:tabs>
              <w:autoSpaceDE w:val="0"/>
              <w:autoSpaceDN w:val="0"/>
              <w:adjustRightInd w:val="0"/>
              <w:ind w:left="502"/>
              <w:jc w:val="both"/>
            </w:pPr>
          </w:p>
        </w:tc>
        <w:tc>
          <w:tcPr>
            <w:tcW w:w="4860" w:type="dxa"/>
          </w:tcPr>
          <w:p w:rsidR="007358E9" w:rsidRDefault="005D5D8A">
            <w:pPr>
              <w:tabs>
                <w:tab w:val="left" w:pos="709"/>
              </w:tabs>
              <w:ind w:left="142"/>
              <w:jc w:val="both"/>
            </w:pPr>
            <w:r>
              <w:rPr>
                <w:sz w:val="22"/>
                <w:szCs w:val="22"/>
              </w:rPr>
              <w:t>72.</w:t>
            </w:r>
            <w:r w:rsidR="001D7FC1" w:rsidRPr="001D7FC1">
              <w:rPr>
                <w:sz w:val="22"/>
                <w:szCs w:val="22"/>
              </w:rPr>
              <w:t> </w:t>
            </w:r>
            <w:r w:rsidRPr="00DB2F79">
              <w:rPr>
                <w:sz w:val="22"/>
                <w:szCs w:val="22"/>
              </w:rPr>
              <w:t>В случае недостаточности выдаваемых инвестиционных паев для удовлетворения всех заявок на приобретение инвестиционных паев</w:t>
            </w:r>
            <w:r w:rsidRPr="008F4165">
              <w:rPr>
                <w:rFonts w:ascii="Times New Roman CYR" w:hAnsi="Times New Roman CYR" w:cs="Times New Roman CYR"/>
                <w:sz w:val="22"/>
                <w:szCs w:val="22"/>
              </w:rPr>
              <w:t>, поданных лицами, не имеющими преимущественного права на приобретение инвестиционных паев, выдаваемых при досрочном погашении инвестиционных паев,</w:t>
            </w:r>
            <w:r w:rsidRPr="00E215BE">
              <w:rPr>
                <w:rFonts w:ascii="Times New Roman CYR" w:hAnsi="Times New Roman CYR" w:cs="Times New Roman CYR"/>
                <w:sz w:val="22"/>
                <w:szCs w:val="22"/>
              </w:rPr>
              <w:t xml:space="preserve">  </w:t>
            </w:r>
            <w:r w:rsidRPr="00DB2F79">
              <w:rPr>
                <w:sz w:val="22"/>
                <w:szCs w:val="22"/>
              </w:rPr>
              <w:t xml:space="preserve"> указанные заявки удовлетворяются </w:t>
            </w:r>
            <w:r w:rsidRPr="005A5EF8">
              <w:rPr>
                <w:sz w:val="22"/>
                <w:szCs w:val="22"/>
              </w:rPr>
              <w:t>в порядке очередности их подачи после удовлетворения заявок, поданных лицами, имеющими такое преимущественное право.</w:t>
            </w:r>
          </w:p>
          <w:p w:rsidR="005D5D8A" w:rsidRPr="00DB2F79" w:rsidRDefault="005D5D8A" w:rsidP="005D5D8A">
            <w:pPr>
              <w:tabs>
                <w:tab w:val="left" w:pos="709"/>
              </w:tabs>
              <w:ind w:left="284"/>
            </w:pPr>
            <w:r w:rsidRPr="005A5EF8">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619D6" w:rsidRPr="007619D6" w:rsidRDefault="007619D6" w:rsidP="001D7FC1"/>
        </w:tc>
      </w:tr>
      <w:tr w:rsidR="005D5D8A" w:rsidRPr="00B26024">
        <w:trPr>
          <w:trHeight w:val="1200"/>
        </w:trPr>
        <w:tc>
          <w:tcPr>
            <w:tcW w:w="4788" w:type="dxa"/>
          </w:tcPr>
          <w:p w:rsidR="007358E9" w:rsidRDefault="005D5D8A">
            <w:pPr>
              <w:tabs>
                <w:tab w:val="left" w:pos="709"/>
              </w:tabs>
              <w:jc w:val="both"/>
            </w:pPr>
            <w:r>
              <w:rPr>
                <w:sz w:val="22"/>
                <w:szCs w:val="22"/>
              </w:rPr>
              <w:t>73.</w:t>
            </w:r>
            <w:r w:rsidR="00C80AED" w:rsidRPr="00C80AED">
              <w:rPr>
                <w:sz w:val="22"/>
                <w:szCs w:val="22"/>
              </w:rP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5D5D8A" w:rsidRPr="000743B4" w:rsidRDefault="005D5D8A" w:rsidP="005D5D8A">
            <w:pPr>
              <w:numPr>
                <w:ilvl w:val="1"/>
                <w:numId w:val="44"/>
              </w:numPr>
              <w:tabs>
                <w:tab w:val="left" w:pos="709"/>
              </w:tabs>
              <w:ind w:left="284" w:firstLine="0"/>
              <w:jc w:val="both"/>
            </w:pPr>
            <w:r w:rsidRPr="000743B4">
              <w:rPr>
                <w:sz w:val="22"/>
                <w:szCs w:val="22"/>
              </w:rPr>
              <w:t xml:space="preserve">максимальное количество выдаваемых дополнительных  инвестиционных паев; </w:t>
            </w:r>
          </w:p>
          <w:p w:rsidR="005D5D8A" w:rsidRPr="000743B4" w:rsidRDefault="005D5D8A" w:rsidP="005D5D8A">
            <w:pPr>
              <w:numPr>
                <w:ilvl w:val="1"/>
                <w:numId w:val="44"/>
              </w:numPr>
              <w:tabs>
                <w:tab w:val="left" w:pos="709"/>
              </w:tabs>
              <w:ind w:left="284" w:firstLine="0"/>
              <w:jc w:val="both"/>
            </w:pPr>
            <w:r w:rsidRPr="000743B4">
              <w:rPr>
                <w:sz w:val="22"/>
                <w:szCs w:val="22"/>
              </w:rPr>
              <w:t>имущество, которое может быть передано в оплату выдаваемых доп</w:t>
            </w:r>
            <w:r>
              <w:rPr>
                <w:sz w:val="22"/>
                <w:szCs w:val="22"/>
              </w:rPr>
              <w:t>олнительных инвестиционных паев.</w:t>
            </w:r>
          </w:p>
          <w:p w:rsidR="005D5D8A" w:rsidRDefault="005D5D8A" w:rsidP="005D5D8A">
            <w:pPr>
              <w:tabs>
                <w:tab w:val="left" w:pos="709"/>
              </w:tabs>
              <w:ind w:left="142"/>
              <w:jc w:val="both"/>
            </w:pPr>
            <w:r w:rsidRPr="000743B4">
              <w:rPr>
                <w:sz w:val="22"/>
                <w:szCs w:val="22"/>
              </w:rPr>
              <w:t xml:space="preserve">Указанную информацию Управляющая компания раскрывает на сайте </w:t>
            </w:r>
            <w:hyperlink r:id="rId11" w:history="1">
              <w:r w:rsidRPr="000743B4">
                <w:rPr>
                  <w:rStyle w:val="ab"/>
                  <w:sz w:val="22"/>
                  <w:szCs w:val="22"/>
                  <w:lang w:val="en-US"/>
                </w:rPr>
                <w:t>www</w:t>
              </w:r>
              <w:r w:rsidRPr="000743B4">
                <w:rPr>
                  <w:rStyle w:val="ab"/>
                  <w:sz w:val="22"/>
                  <w:szCs w:val="22"/>
                </w:rPr>
                <w:t>.</w:t>
              </w:r>
              <w:r w:rsidRPr="000743B4">
                <w:rPr>
                  <w:rStyle w:val="ab"/>
                  <w:sz w:val="22"/>
                  <w:szCs w:val="22"/>
                  <w:lang w:val="en-US"/>
                </w:rPr>
                <w:t>akbars</w:t>
              </w:r>
              <w:r w:rsidRPr="000743B4">
                <w:rPr>
                  <w:rStyle w:val="ab"/>
                  <w:sz w:val="22"/>
                  <w:szCs w:val="22"/>
                </w:rPr>
                <w:t>-</w:t>
              </w:r>
              <w:r w:rsidRPr="000743B4">
                <w:rPr>
                  <w:rStyle w:val="ab"/>
                  <w:sz w:val="22"/>
                  <w:szCs w:val="22"/>
                  <w:lang w:val="en-US"/>
                </w:rPr>
                <w:t>capital</w:t>
              </w:r>
              <w:r w:rsidRPr="000743B4">
                <w:rPr>
                  <w:rStyle w:val="ab"/>
                  <w:sz w:val="22"/>
                  <w:szCs w:val="22"/>
                </w:rPr>
                <w:t>.</w:t>
              </w:r>
              <w:r w:rsidRPr="000743B4">
                <w:rPr>
                  <w:rStyle w:val="ab"/>
                  <w:sz w:val="22"/>
                  <w:szCs w:val="22"/>
                  <w:lang w:val="en-US"/>
                </w:rPr>
                <w:t>ru</w:t>
              </w:r>
            </w:hyperlink>
          </w:p>
        </w:tc>
        <w:tc>
          <w:tcPr>
            <w:tcW w:w="4860" w:type="dxa"/>
          </w:tcPr>
          <w:p w:rsidR="007358E9" w:rsidRDefault="005D5D8A">
            <w:pPr>
              <w:tabs>
                <w:tab w:val="left" w:pos="709"/>
              </w:tabs>
              <w:ind w:left="142"/>
              <w:jc w:val="both"/>
            </w:pPr>
            <w:r>
              <w:rPr>
                <w:sz w:val="22"/>
                <w:szCs w:val="22"/>
              </w:rPr>
              <w:t xml:space="preserve">73. </w:t>
            </w:r>
            <w:r w:rsidRPr="000743B4">
              <w:rPr>
                <w:sz w:val="22"/>
                <w:szCs w:val="22"/>
              </w:rP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5D5D8A" w:rsidRPr="000743B4" w:rsidRDefault="005D5D8A" w:rsidP="00BE1AD3">
            <w:pPr>
              <w:numPr>
                <w:ilvl w:val="0"/>
                <w:numId w:val="48"/>
              </w:numPr>
              <w:tabs>
                <w:tab w:val="left" w:pos="447"/>
                <w:tab w:val="left" w:pos="709"/>
              </w:tabs>
              <w:ind w:left="174" w:firstLine="9"/>
              <w:jc w:val="both"/>
            </w:pPr>
            <w:r w:rsidRPr="000743B4">
              <w:rPr>
                <w:sz w:val="22"/>
                <w:szCs w:val="22"/>
              </w:rPr>
              <w:t xml:space="preserve">максимальное количество выдаваемых дополнительных  инвестиционных паев; </w:t>
            </w:r>
          </w:p>
          <w:p w:rsidR="005D5D8A" w:rsidRPr="000743B4" w:rsidRDefault="005D5D8A" w:rsidP="00BE1AD3">
            <w:pPr>
              <w:numPr>
                <w:ilvl w:val="0"/>
                <w:numId w:val="48"/>
              </w:numPr>
              <w:tabs>
                <w:tab w:val="left" w:pos="447"/>
                <w:tab w:val="left" w:pos="709"/>
              </w:tabs>
              <w:ind w:left="174" w:firstLine="9"/>
              <w:jc w:val="both"/>
            </w:pPr>
            <w:r w:rsidRPr="000743B4">
              <w:rPr>
                <w:sz w:val="22"/>
                <w:szCs w:val="22"/>
              </w:rPr>
              <w:t>имущество, которое может быть передано в оплату выдаваемых доп</w:t>
            </w:r>
            <w:r>
              <w:rPr>
                <w:sz w:val="22"/>
                <w:szCs w:val="22"/>
              </w:rPr>
              <w:t>олнительных инвестиционных паев.</w:t>
            </w:r>
          </w:p>
          <w:p w:rsidR="005D5D8A" w:rsidRPr="000743B4" w:rsidRDefault="005D5D8A" w:rsidP="00BE1AD3">
            <w:pPr>
              <w:tabs>
                <w:tab w:val="left" w:pos="447"/>
                <w:tab w:val="left" w:pos="709"/>
              </w:tabs>
              <w:ind w:left="174" w:firstLine="9"/>
            </w:pPr>
            <w:r w:rsidRPr="000743B4">
              <w:rPr>
                <w:sz w:val="22"/>
                <w:szCs w:val="22"/>
              </w:rPr>
              <w:t xml:space="preserve">Указанную информацию Управляющая компания раскрывает на сайте </w:t>
            </w:r>
            <w:hyperlink r:id="rId12" w:history="1">
              <w:r w:rsidRPr="000743B4">
                <w:rPr>
                  <w:rStyle w:val="ab"/>
                  <w:sz w:val="22"/>
                  <w:szCs w:val="22"/>
                  <w:lang w:val="en-US"/>
                </w:rPr>
                <w:t>www</w:t>
              </w:r>
              <w:r w:rsidRPr="000743B4">
                <w:rPr>
                  <w:rStyle w:val="ab"/>
                  <w:sz w:val="22"/>
                  <w:szCs w:val="22"/>
                </w:rPr>
                <w:t>.</w:t>
              </w:r>
              <w:r w:rsidRPr="000743B4">
                <w:rPr>
                  <w:rStyle w:val="ab"/>
                  <w:sz w:val="22"/>
                  <w:szCs w:val="22"/>
                  <w:lang w:val="en-US"/>
                </w:rPr>
                <w:t>akbars</w:t>
              </w:r>
              <w:r w:rsidRPr="000743B4">
                <w:rPr>
                  <w:rStyle w:val="ab"/>
                  <w:sz w:val="22"/>
                  <w:szCs w:val="22"/>
                </w:rPr>
                <w:t>-</w:t>
              </w:r>
              <w:r w:rsidRPr="000743B4">
                <w:rPr>
                  <w:rStyle w:val="ab"/>
                  <w:sz w:val="22"/>
                  <w:szCs w:val="22"/>
                  <w:lang w:val="en-US"/>
                </w:rPr>
                <w:t>capital</w:t>
              </w:r>
              <w:r w:rsidRPr="000743B4">
                <w:rPr>
                  <w:rStyle w:val="ab"/>
                  <w:sz w:val="22"/>
                  <w:szCs w:val="22"/>
                </w:rPr>
                <w:t>.</w:t>
              </w:r>
              <w:r w:rsidRPr="000743B4">
                <w:rPr>
                  <w:rStyle w:val="ab"/>
                  <w:sz w:val="22"/>
                  <w:szCs w:val="22"/>
                  <w:lang w:val="en-US"/>
                </w:rPr>
                <w:t>ru</w:t>
              </w:r>
            </w:hyperlink>
            <w:r w:rsidRPr="00E215BE">
              <w:rPr>
                <w:sz w:val="22"/>
                <w:szCs w:val="22"/>
              </w:rPr>
              <w:t>, а также публикует в «Приложении к Вестнику Федеральной службы по финансовым рынкам».</w:t>
            </w:r>
          </w:p>
          <w:p w:rsidR="005D5D8A" w:rsidRPr="003D3919" w:rsidRDefault="005D5D8A" w:rsidP="003D3919"/>
        </w:tc>
      </w:tr>
      <w:tr w:rsidR="00556C16" w:rsidRPr="00B26024">
        <w:trPr>
          <w:trHeight w:val="1200"/>
        </w:trPr>
        <w:tc>
          <w:tcPr>
            <w:tcW w:w="4788" w:type="dxa"/>
          </w:tcPr>
          <w:p w:rsidR="007358E9" w:rsidRDefault="00556C16">
            <w:pPr>
              <w:tabs>
                <w:tab w:val="left" w:pos="709"/>
              </w:tabs>
              <w:autoSpaceDE w:val="0"/>
              <w:autoSpaceDN w:val="0"/>
              <w:adjustRightInd w:val="0"/>
              <w:ind w:left="142"/>
              <w:jc w:val="both"/>
            </w:pPr>
            <w:r>
              <w:rPr>
                <w:sz w:val="22"/>
                <w:szCs w:val="22"/>
              </w:rPr>
              <w:t>77.</w:t>
            </w:r>
            <w:r w:rsidRPr="00747154">
              <w:rPr>
                <w:sz w:val="22"/>
                <w:szCs w:val="22"/>
              </w:rPr>
              <w:t>В оплату дополнительных инвестиционных паев передаются денежные средства</w:t>
            </w:r>
            <w:r w:rsidRPr="006B2BBA">
              <w:rPr>
                <w:sz w:val="22"/>
                <w:szCs w:val="22"/>
              </w:rPr>
              <w:t xml:space="preserve"> и (</w:t>
            </w:r>
            <w:r>
              <w:rPr>
                <w:sz w:val="22"/>
                <w:szCs w:val="22"/>
              </w:rPr>
              <w:t>или</w:t>
            </w:r>
            <w:r w:rsidRPr="006B2BBA">
              <w:rPr>
                <w:sz w:val="22"/>
                <w:szCs w:val="22"/>
              </w:rPr>
              <w:t>)</w:t>
            </w:r>
            <w:r w:rsidRPr="00747154">
              <w:rPr>
                <w:sz w:val="22"/>
                <w:szCs w:val="22"/>
              </w:rPr>
              <w:t xml:space="preserve"> денежные требования по обеспеченным ипотекой обязательствам из кредитных договоров, включая права залогодержателя по договорам об ипотеке</w:t>
            </w:r>
            <w:r>
              <w:rPr>
                <w:sz w:val="22"/>
                <w:szCs w:val="22"/>
              </w:rPr>
              <w:t>, предусмотренных инвестиционной декларацией фонда</w:t>
            </w:r>
            <w:r w:rsidRPr="00747154">
              <w:rPr>
                <w:sz w:val="22"/>
                <w:szCs w:val="22"/>
              </w:rPr>
              <w:t>.</w:t>
            </w:r>
          </w:p>
          <w:p w:rsidR="00556C16" w:rsidRDefault="00556C16" w:rsidP="003D3919">
            <w:pPr>
              <w:tabs>
                <w:tab w:val="left" w:pos="709"/>
              </w:tabs>
              <w:ind w:left="142"/>
              <w:jc w:val="both"/>
            </w:pPr>
          </w:p>
        </w:tc>
        <w:tc>
          <w:tcPr>
            <w:tcW w:w="4860" w:type="dxa"/>
          </w:tcPr>
          <w:p w:rsidR="00556C16" w:rsidRPr="003D3919" w:rsidRDefault="00556C16" w:rsidP="003D3919">
            <w:r>
              <w:rPr>
                <w:sz w:val="22"/>
                <w:szCs w:val="22"/>
              </w:rPr>
              <w:t>77.</w:t>
            </w:r>
            <w:r w:rsidRPr="00747154">
              <w:rPr>
                <w:sz w:val="22"/>
                <w:szCs w:val="22"/>
              </w:rPr>
              <w:t>В оплату дополнительных инвестиционных паев передаются денежные средства</w:t>
            </w:r>
            <w:r w:rsidRPr="006B2BBA">
              <w:rPr>
                <w:sz w:val="22"/>
                <w:szCs w:val="22"/>
              </w:rPr>
              <w:t xml:space="preserve"> и (</w:t>
            </w:r>
            <w:r>
              <w:rPr>
                <w:sz w:val="22"/>
                <w:szCs w:val="22"/>
              </w:rPr>
              <w:t>или</w:t>
            </w:r>
            <w:r w:rsidRPr="006B2BBA">
              <w:rPr>
                <w:sz w:val="22"/>
                <w:szCs w:val="22"/>
              </w:rPr>
              <w:t>)</w:t>
            </w:r>
            <w:r w:rsidRPr="00747154">
              <w:rPr>
                <w:sz w:val="22"/>
                <w:szCs w:val="22"/>
              </w:rPr>
              <w:t xml:space="preserve"> </w:t>
            </w:r>
            <w:r w:rsidRPr="00E215BE">
              <w:rPr>
                <w:rFonts w:ascii="Times New Roman CYR" w:hAnsi="Times New Roman CYR" w:cs="Times New Roman CYR"/>
                <w:sz w:val="22"/>
                <w:szCs w:val="22"/>
              </w:rPr>
              <w:t>недвижимое имущество, предусмотренное инвестиционной декларацией Фонда</w:t>
            </w:r>
            <w:r>
              <w:rPr>
                <w:sz w:val="22"/>
                <w:szCs w:val="22"/>
              </w:rPr>
              <w:t>.</w:t>
            </w:r>
          </w:p>
        </w:tc>
      </w:tr>
      <w:tr w:rsidR="007619D6" w:rsidRPr="00B26024">
        <w:trPr>
          <w:trHeight w:val="1200"/>
        </w:trPr>
        <w:tc>
          <w:tcPr>
            <w:tcW w:w="4788" w:type="dxa"/>
          </w:tcPr>
          <w:p w:rsidR="003D3919" w:rsidRPr="009D318F" w:rsidRDefault="003D3919" w:rsidP="003D3919">
            <w:pPr>
              <w:tabs>
                <w:tab w:val="left" w:pos="709"/>
              </w:tabs>
              <w:ind w:left="142"/>
              <w:jc w:val="both"/>
            </w:pPr>
            <w:r>
              <w:rPr>
                <w:sz w:val="22"/>
                <w:szCs w:val="22"/>
              </w:rPr>
              <w:t xml:space="preserve">84. </w:t>
            </w:r>
            <w:r w:rsidRPr="009D318F">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3D3919" w:rsidRPr="009D318F" w:rsidRDefault="003D3919" w:rsidP="003D3919">
            <w:pPr>
              <w:tabs>
                <w:tab w:val="left" w:pos="709"/>
              </w:tabs>
              <w:ind w:left="142"/>
            </w:pPr>
            <w:r w:rsidRPr="009D318F">
              <w:rPr>
                <w:sz w:val="22"/>
                <w:szCs w:val="22"/>
              </w:rPr>
              <w:t xml:space="preserve">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фонда. Датой передачи денежных требований по </w:t>
            </w:r>
            <w:r w:rsidRPr="009D318F">
              <w:rPr>
                <w:sz w:val="22"/>
                <w:szCs w:val="22"/>
              </w:rPr>
              <w:lastRenderedPageBreak/>
              <w:t>обеспеченным ипотекой обязательствам из  кредитных договоров является дата заключения договора об уступке указанных требований.</w:t>
            </w:r>
          </w:p>
          <w:p w:rsidR="007619D6" w:rsidRPr="007619D6" w:rsidRDefault="007619D6" w:rsidP="007619D6">
            <w:pPr>
              <w:pStyle w:val="af3"/>
              <w:tabs>
                <w:tab w:val="left" w:pos="709"/>
              </w:tabs>
              <w:autoSpaceDE w:val="0"/>
              <w:autoSpaceDN w:val="0"/>
              <w:adjustRightInd w:val="0"/>
              <w:ind w:left="502"/>
              <w:jc w:val="both"/>
            </w:pPr>
          </w:p>
        </w:tc>
        <w:tc>
          <w:tcPr>
            <w:tcW w:w="4860" w:type="dxa"/>
          </w:tcPr>
          <w:p w:rsidR="003D3919" w:rsidRPr="003D3919" w:rsidRDefault="00556C16" w:rsidP="003D3919">
            <w:bookmarkStart w:id="30" w:name="sub_1101"/>
            <w:r>
              <w:rPr>
                <w:sz w:val="22"/>
                <w:szCs w:val="22"/>
              </w:rPr>
              <w:lastRenderedPageBreak/>
              <w:t>84</w:t>
            </w:r>
            <w:r w:rsidR="003D3919" w:rsidRPr="003D3919">
              <w:rPr>
                <w:sz w:val="22"/>
                <w:szCs w:val="22"/>
              </w:rPr>
              <w:t xml:space="preserve">.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 </w:t>
            </w:r>
          </w:p>
          <w:bookmarkEnd w:id="30"/>
          <w:p w:rsidR="003D3919" w:rsidRPr="003D3919" w:rsidRDefault="003D3919" w:rsidP="003D3919">
            <w:r w:rsidRPr="003D3919">
              <w:rPr>
                <w:sz w:val="22"/>
                <w:szCs w:val="22"/>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3D3919" w:rsidRPr="003D3919" w:rsidRDefault="003D3919" w:rsidP="003D3919">
            <w:r w:rsidRPr="003D3919">
              <w:rPr>
                <w:sz w:val="22"/>
                <w:szCs w:val="22"/>
              </w:rPr>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w:t>
            </w:r>
            <w:r w:rsidRPr="003D3919">
              <w:rPr>
                <w:sz w:val="22"/>
                <w:szCs w:val="22"/>
              </w:rPr>
              <w:lastRenderedPageBreak/>
              <w:t xml:space="preserve">пунктом 2 статьи 15 Федерального закона «Об инвестиционных фондах». </w:t>
            </w:r>
          </w:p>
          <w:p w:rsidR="007619D6" w:rsidRPr="007619D6" w:rsidRDefault="003D3919" w:rsidP="00556C16">
            <w:r w:rsidRPr="003D3919">
              <w:rPr>
                <w:sz w:val="22"/>
                <w:szCs w:val="22"/>
              </w:rPr>
              <w:t xml:space="preserve">Датой передачи недвижимого имущества является дата, указанная в передаточном акте, предусмотренном в абзаце </w:t>
            </w:r>
            <w:r w:rsidR="00556C16">
              <w:rPr>
                <w:sz w:val="22"/>
                <w:szCs w:val="22"/>
              </w:rPr>
              <w:t>втором</w:t>
            </w:r>
            <w:r w:rsidR="00556C16" w:rsidRPr="003D3919">
              <w:rPr>
                <w:sz w:val="22"/>
                <w:szCs w:val="22"/>
              </w:rPr>
              <w:t xml:space="preserve"> </w:t>
            </w:r>
            <w:r w:rsidRPr="003D3919">
              <w:rPr>
                <w:sz w:val="22"/>
                <w:szCs w:val="22"/>
              </w:rPr>
              <w:t>настоящего пункта.</w:t>
            </w:r>
          </w:p>
        </w:tc>
      </w:tr>
      <w:tr w:rsidR="003D3919" w:rsidRPr="00B26024">
        <w:trPr>
          <w:trHeight w:val="1200"/>
        </w:trPr>
        <w:tc>
          <w:tcPr>
            <w:tcW w:w="4788" w:type="dxa"/>
          </w:tcPr>
          <w:p w:rsidR="007358E9" w:rsidRDefault="00556C16">
            <w:pPr>
              <w:autoSpaceDE w:val="0"/>
              <w:autoSpaceDN w:val="0"/>
              <w:adjustRightInd w:val="0"/>
              <w:spacing w:after="120" w:line="240" w:lineRule="exact"/>
              <w:ind w:left="142"/>
              <w:jc w:val="both"/>
            </w:pPr>
            <w:r>
              <w:rPr>
                <w:sz w:val="22"/>
                <w:szCs w:val="22"/>
              </w:rPr>
              <w:lastRenderedPageBreak/>
              <w:t>85.</w:t>
            </w:r>
            <w:r w:rsidRPr="009D318F">
              <w:rPr>
                <w:sz w:val="22"/>
                <w:szCs w:val="22"/>
              </w:rPr>
              <w:t>Оценочная стоимость денежных требований по обязательствам из кредитных договоров признается равной текущей совокупной стоимости оставшихся платежей по таким требованиям, дисконтированной по схеме сложного процента на дату передачи денежных требований в оплату инвестиционных паев с использованием ставки (ставок), предусмотренной (предусмотренных) Правилами определения стоимости активов Фонда и величины обязательств, подлежащих исполнению за счет указанных активов, по формуле:</w:t>
            </w:r>
          </w:p>
          <w:p w:rsidR="00556C16" w:rsidRPr="009D318F" w:rsidRDefault="00556C16" w:rsidP="00556C16">
            <w:pPr>
              <w:pStyle w:val="ConsPlusNonformat"/>
              <w:rPr>
                <w:rFonts w:ascii="Times New Roman" w:hAnsi="Times New Roman" w:cs="Times New Roman"/>
                <w:sz w:val="22"/>
                <w:szCs w:val="22"/>
              </w:rPr>
            </w:pPr>
            <w:r w:rsidRPr="009D318F">
              <w:rPr>
                <w:rFonts w:ascii="Times New Roman" w:hAnsi="Times New Roman" w:cs="Times New Roman"/>
                <w:sz w:val="22"/>
                <w:szCs w:val="22"/>
              </w:rPr>
              <w:t xml:space="preserve">                                      </w:t>
            </w:r>
          </w:p>
          <w:p w:rsidR="00556C16" w:rsidRPr="009D318F" w:rsidRDefault="00556C16" w:rsidP="00556C16">
            <w:pPr>
              <w:pStyle w:val="ConsPlusNonformat"/>
              <w:rPr>
                <w:rFonts w:ascii="Times New Roman" w:hAnsi="Times New Roman" w:cs="Times New Roman"/>
                <w:sz w:val="22"/>
                <w:szCs w:val="22"/>
              </w:rPr>
            </w:pPr>
            <w:r w:rsidRPr="009D318F">
              <w:rPr>
                <w:rFonts w:ascii="Times New Roman" w:hAnsi="Times New Roman" w:cs="Times New Roman"/>
                <w:sz w:val="22"/>
                <w:szCs w:val="22"/>
              </w:rPr>
              <w:t xml:space="preserve">                          </w:t>
            </w:r>
            <w:r w:rsidRPr="009D318F">
              <w:rPr>
                <w:rFonts w:ascii="Times New Roman" w:hAnsi="Times New Roman" w:cs="Times New Roman"/>
                <w:sz w:val="22"/>
                <w:szCs w:val="22"/>
                <w:vertAlign w:val="subscript"/>
              </w:rPr>
              <w:t>N</w:t>
            </w:r>
            <w:r w:rsidRPr="009D318F">
              <w:rPr>
                <w:rFonts w:ascii="Times New Roman" w:hAnsi="Times New Roman" w:cs="Times New Roman"/>
                <w:sz w:val="22"/>
                <w:szCs w:val="22"/>
              </w:rPr>
              <w:t xml:space="preserve">                   P </w:t>
            </w:r>
            <w:r w:rsidRPr="009D318F">
              <w:rPr>
                <w:rFonts w:ascii="Times New Roman" w:hAnsi="Times New Roman" w:cs="Times New Roman"/>
                <w:sz w:val="22"/>
                <w:szCs w:val="22"/>
                <w:vertAlign w:val="subscript"/>
              </w:rPr>
              <w:t>n</w:t>
            </w:r>
          </w:p>
          <w:p w:rsidR="00556C16" w:rsidRPr="009D318F" w:rsidRDefault="00E12E06" w:rsidP="00556C16">
            <w:pPr>
              <w:pStyle w:val="ConsPlusNonformat"/>
              <w:rPr>
                <w:rFonts w:ascii="Times New Roman" w:hAnsi="Times New Roman" w:cs="Times New Roman"/>
                <w:sz w:val="22"/>
                <w:szCs w:val="22"/>
              </w:rPr>
            </w:pPr>
            <w:r w:rsidRPr="00E12E06">
              <w:rPr>
                <w:noProof/>
              </w:rPr>
              <w:pict>
                <v:line id="_x0000_s1026" style="position:absolute;z-index:251658240" from="93.25pt,5.05pt" to="165.25pt,5.05pt"/>
              </w:pict>
            </w:r>
            <w:r w:rsidR="00556C16" w:rsidRPr="009D318F">
              <w:rPr>
                <w:rFonts w:ascii="Times New Roman" w:hAnsi="Times New Roman" w:cs="Times New Roman"/>
                <w:sz w:val="22"/>
                <w:szCs w:val="22"/>
              </w:rPr>
              <w:t xml:space="preserve">              Т</w:t>
            </w:r>
            <w:r w:rsidR="00556C16" w:rsidRPr="009D318F">
              <w:rPr>
                <w:rFonts w:ascii="Times New Roman" w:hAnsi="Times New Roman" w:cs="Times New Roman"/>
                <w:sz w:val="22"/>
                <w:szCs w:val="22"/>
                <w:vertAlign w:val="subscript"/>
              </w:rPr>
              <w:t>р</w:t>
            </w:r>
            <w:r w:rsidR="00556C16" w:rsidRPr="009D318F">
              <w:rPr>
                <w:rFonts w:ascii="Times New Roman" w:hAnsi="Times New Roman" w:cs="Times New Roman"/>
                <w:sz w:val="22"/>
                <w:szCs w:val="22"/>
              </w:rPr>
              <w:t xml:space="preserve"> =  SUM                              , где</w:t>
            </w:r>
          </w:p>
          <w:p w:rsidR="00556C16" w:rsidRPr="000743B4" w:rsidRDefault="00556C16" w:rsidP="00556C16">
            <w:pPr>
              <w:pStyle w:val="ConsPlusNonformat"/>
              <w:rPr>
                <w:rFonts w:ascii="Times New Roman" w:hAnsi="Times New Roman" w:cs="Times New Roman"/>
                <w:sz w:val="22"/>
                <w:szCs w:val="22"/>
                <w:vertAlign w:val="superscript"/>
              </w:rPr>
            </w:pPr>
            <w:r w:rsidRPr="009D318F">
              <w:rPr>
                <w:rFonts w:ascii="Times New Roman" w:hAnsi="Times New Roman" w:cs="Times New Roman"/>
                <w:sz w:val="22"/>
                <w:szCs w:val="22"/>
              </w:rPr>
              <w:t xml:space="preserve">                        </w:t>
            </w:r>
            <w:r w:rsidRPr="009D318F">
              <w:rPr>
                <w:rFonts w:ascii="Times New Roman" w:hAnsi="Times New Roman" w:cs="Times New Roman"/>
                <w:sz w:val="22"/>
                <w:szCs w:val="22"/>
                <w:vertAlign w:val="superscript"/>
              </w:rPr>
              <w:t>n=1</w:t>
            </w:r>
            <w:r w:rsidRPr="009D318F">
              <w:rPr>
                <w:rFonts w:ascii="Times New Roman" w:hAnsi="Times New Roman" w:cs="Times New Roman"/>
                <w:sz w:val="22"/>
                <w:szCs w:val="22"/>
              </w:rPr>
              <w:t xml:space="preserve">          (1 + r</w:t>
            </w:r>
            <w:r w:rsidRPr="009D318F">
              <w:rPr>
                <w:rFonts w:ascii="Times New Roman" w:hAnsi="Times New Roman" w:cs="Times New Roman"/>
                <w:sz w:val="22"/>
                <w:szCs w:val="22"/>
                <w:vertAlign w:val="subscript"/>
              </w:rPr>
              <w:t xml:space="preserve"> n</w:t>
            </w:r>
            <w:r w:rsidRPr="009D318F">
              <w:rPr>
                <w:rFonts w:ascii="Times New Roman" w:hAnsi="Times New Roman" w:cs="Times New Roman"/>
                <w:sz w:val="22"/>
                <w:szCs w:val="22"/>
              </w:rPr>
              <w:t>)</w:t>
            </w:r>
            <w:r w:rsidRPr="009D318F">
              <w:rPr>
                <w:rFonts w:ascii="Times New Roman" w:hAnsi="Times New Roman" w:cs="Times New Roman"/>
                <w:sz w:val="22"/>
                <w:szCs w:val="22"/>
                <w:vertAlign w:val="superscript"/>
              </w:rPr>
              <w:t>Dn / 3</w:t>
            </w:r>
            <w:r w:rsidRPr="000743B4">
              <w:rPr>
                <w:rFonts w:ascii="Times New Roman" w:hAnsi="Times New Roman" w:cs="Times New Roman"/>
                <w:sz w:val="22"/>
                <w:szCs w:val="22"/>
                <w:vertAlign w:val="superscript"/>
              </w:rPr>
              <w:t>65</w:t>
            </w:r>
          </w:p>
          <w:p w:rsidR="00556C16" w:rsidRPr="000743B4" w:rsidRDefault="00556C16" w:rsidP="00556C16">
            <w:pPr>
              <w:pStyle w:val="ConsPlusNonformat"/>
              <w:rPr>
                <w:rFonts w:ascii="Times New Roman" w:hAnsi="Times New Roman" w:cs="Times New Roman"/>
                <w:sz w:val="22"/>
                <w:szCs w:val="22"/>
              </w:rPr>
            </w:pPr>
            <w:r w:rsidRPr="000743B4">
              <w:rPr>
                <w:rFonts w:ascii="Times New Roman" w:hAnsi="Times New Roman" w:cs="Times New Roman"/>
                <w:sz w:val="22"/>
                <w:szCs w:val="22"/>
              </w:rPr>
              <w:t xml:space="preserve">                                </w:t>
            </w:r>
          </w:p>
          <w:p w:rsidR="00556C16" w:rsidRPr="000743B4" w:rsidRDefault="00556C16" w:rsidP="00556C16">
            <w:pPr>
              <w:tabs>
                <w:tab w:val="left" w:pos="426"/>
              </w:tabs>
              <w:spacing w:line="240" w:lineRule="exact"/>
            </w:pPr>
            <w:r w:rsidRPr="000743B4">
              <w:rPr>
                <w:sz w:val="22"/>
                <w:szCs w:val="22"/>
              </w:rPr>
              <w:t xml:space="preserve">                          </w:t>
            </w:r>
            <w:r w:rsidRPr="000743B4">
              <w:rPr>
                <w:sz w:val="22"/>
                <w:szCs w:val="22"/>
              </w:rPr>
              <w:br/>
              <w:t>Тр – оценочная стоимость денежного требования по обязательству из кредитного договора;</w:t>
            </w:r>
          </w:p>
          <w:p w:rsidR="00556C16" w:rsidRPr="000743B4" w:rsidRDefault="00556C16" w:rsidP="00556C16">
            <w:pPr>
              <w:tabs>
                <w:tab w:val="left" w:pos="426"/>
              </w:tabs>
              <w:spacing w:after="120" w:line="240" w:lineRule="exact"/>
            </w:pPr>
            <w:r w:rsidRPr="000743B4">
              <w:rPr>
                <w:sz w:val="22"/>
                <w:szCs w:val="22"/>
              </w:rPr>
              <w:t>N – количество периодов, по окончании которых должником по требованию должны быть выплачены соответствующие платежи (платежных периодов). В случае если количество платежных периодов зависит от значения процентной ставки, которая может изменяться (требование с плавающей процентной ставкой), количество платежных периодов определяется исходя из фактического значения процентной ставки, установленного на дату передачи денежных требований в оплату инвестиционных паев;</w:t>
            </w:r>
          </w:p>
          <w:p w:rsidR="00556C16" w:rsidRPr="000743B4" w:rsidRDefault="00556C16" w:rsidP="00556C16">
            <w:pPr>
              <w:tabs>
                <w:tab w:val="left" w:pos="426"/>
              </w:tabs>
              <w:spacing w:after="120" w:line="240" w:lineRule="exact"/>
            </w:pPr>
            <w:r w:rsidRPr="000743B4">
              <w:rPr>
                <w:sz w:val="22"/>
                <w:szCs w:val="22"/>
              </w:rPr>
              <w:t xml:space="preserve">Рn – сумма платежа по требованию за n-ый платежный период. </w:t>
            </w:r>
          </w:p>
          <w:p w:rsidR="00556C16" w:rsidRPr="000743B4" w:rsidRDefault="00556C16" w:rsidP="00556C16">
            <w:pPr>
              <w:tabs>
                <w:tab w:val="left" w:pos="426"/>
              </w:tabs>
              <w:spacing w:after="120"/>
            </w:pPr>
            <w:r w:rsidRPr="000743B4">
              <w:rPr>
                <w:sz w:val="22"/>
                <w:szCs w:val="22"/>
              </w:rPr>
              <w:t>Для требования с плавающей процентной ставкой, в котором сумма платежа зависит  от  значения процентной ставки в каждый платежный период, сумма такого платежа за n-ый  платежный период определяется исходя из фактического значения процентной ставки, установленного на дату передачи денежных требований в оплату инвестиционных паев;</w:t>
            </w:r>
            <w:r w:rsidRPr="000743B4">
              <w:rPr>
                <w:sz w:val="22"/>
                <w:szCs w:val="22"/>
              </w:rPr>
              <w:br/>
              <w:t>n – порядковый номер платежного периода, начиная с даты передачи денежных требований в оплату инвестиционных паев;</w:t>
            </w:r>
          </w:p>
          <w:p w:rsidR="00556C16" w:rsidRPr="000743B4" w:rsidRDefault="00556C16" w:rsidP="00556C16">
            <w:pPr>
              <w:tabs>
                <w:tab w:val="left" w:pos="426"/>
              </w:tabs>
              <w:spacing w:after="120" w:line="240" w:lineRule="exact"/>
            </w:pPr>
            <w:r w:rsidRPr="000743B4">
              <w:rPr>
                <w:sz w:val="22"/>
                <w:szCs w:val="22"/>
              </w:rPr>
              <w:t>Dn – количество дней до даты осуществления n-го платежа;</w:t>
            </w:r>
          </w:p>
          <w:p w:rsidR="00556C16" w:rsidRPr="000743B4" w:rsidRDefault="00556C16" w:rsidP="00556C16">
            <w:pPr>
              <w:tabs>
                <w:tab w:val="left" w:pos="426"/>
              </w:tabs>
              <w:spacing w:after="120" w:line="240" w:lineRule="exact"/>
            </w:pPr>
            <w:r w:rsidRPr="000743B4">
              <w:rPr>
                <w:sz w:val="22"/>
                <w:szCs w:val="22"/>
              </w:rPr>
              <w:t>r</w:t>
            </w:r>
            <w:r w:rsidRPr="000743B4">
              <w:rPr>
                <w:sz w:val="22"/>
                <w:szCs w:val="22"/>
                <w:vertAlign w:val="subscript"/>
              </w:rPr>
              <w:t xml:space="preserve"> n</w:t>
            </w:r>
            <w:r w:rsidRPr="000743B4">
              <w:rPr>
                <w:sz w:val="22"/>
                <w:szCs w:val="22"/>
              </w:rPr>
              <w:t xml:space="preserve"> – ставка дисконтирования в процентах годовых, предусмотренная Правилами определения стоимости активов Фонда и </w:t>
            </w:r>
            <w:r w:rsidRPr="000743B4">
              <w:rPr>
                <w:sz w:val="22"/>
                <w:szCs w:val="22"/>
              </w:rPr>
              <w:lastRenderedPageBreak/>
              <w:t>величины обязательств, подлежащих исполнению за счет указанных активов.</w:t>
            </w:r>
          </w:p>
          <w:p w:rsidR="0059341A" w:rsidRPr="007619D6" w:rsidRDefault="0059341A" w:rsidP="007619D6">
            <w:pPr>
              <w:pStyle w:val="af3"/>
              <w:tabs>
                <w:tab w:val="left" w:pos="709"/>
              </w:tabs>
              <w:autoSpaceDE w:val="0"/>
              <w:autoSpaceDN w:val="0"/>
              <w:adjustRightInd w:val="0"/>
              <w:ind w:left="502"/>
              <w:jc w:val="both"/>
            </w:pPr>
          </w:p>
        </w:tc>
        <w:tc>
          <w:tcPr>
            <w:tcW w:w="4860" w:type="dxa"/>
          </w:tcPr>
          <w:p w:rsidR="007358E9" w:rsidRDefault="00556C16">
            <w:pPr>
              <w:autoSpaceDE w:val="0"/>
              <w:autoSpaceDN w:val="0"/>
              <w:adjustRightInd w:val="0"/>
              <w:spacing w:after="120" w:line="240" w:lineRule="exact"/>
              <w:ind w:left="142"/>
              <w:jc w:val="both"/>
            </w:pPr>
            <w:r>
              <w:rPr>
                <w:sz w:val="22"/>
                <w:szCs w:val="22"/>
              </w:rPr>
              <w:lastRenderedPageBreak/>
              <w:t>85.</w:t>
            </w:r>
            <w:r w:rsidRPr="00E215BE">
              <w:rPr>
                <w:sz w:val="22"/>
                <w:szCs w:val="22"/>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3D3919" w:rsidRPr="007619D6" w:rsidRDefault="00C80AED" w:rsidP="00556C16">
            <w:r w:rsidRPr="00C80AED">
              <w:rPr>
                <w:sz w:val="22"/>
                <w:szCs w:val="22"/>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r w:rsidR="00556C16">
              <w:rPr>
                <w:rFonts w:ascii="Times New Roman CYR" w:hAnsi="Times New Roman CYR" w:cs="Times New Roman CYR"/>
                <w:sz w:val="22"/>
                <w:szCs w:val="22"/>
              </w:rPr>
              <w:t xml:space="preserve">            </w:t>
            </w:r>
          </w:p>
        </w:tc>
      </w:tr>
      <w:tr w:rsidR="0059341A" w:rsidRPr="00B26024">
        <w:trPr>
          <w:trHeight w:val="1200"/>
        </w:trPr>
        <w:tc>
          <w:tcPr>
            <w:tcW w:w="4788" w:type="dxa"/>
          </w:tcPr>
          <w:p w:rsidR="007358E9" w:rsidRDefault="00556C16">
            <w:pPr>
              <w:tabs>
                <w:tab w:val="left" w:pos="480"/>
                <w:tab w:val="left" w:pos="709"/>
              </w:tabs>
              <w:autoSpaceDE w:val="0"/>
              <w:autoSpaceDN w:val="0"/>
              <w:adjustRightInd w:val="0"/>
              <w:jc w:val="both"/>
            </w:pPr>
            <w:bookmarkStart w:id="31" w:name="p_24"/>
            <w:bookmarkEnd w:id="31"/>
            <w:r>
              <w:rPr>
                <w:sz w:val="22"/>
                <w:szCs w:val="22"/>
              </w:rPr>
              <w:lastRenderedPageBreak/>
              <w:t>94.</w:t>
            </w:r>
            <w:r w:rsidR="00C80AED" w:rsidRPr="00C80AED">
              <w:rPr>
                <w:sz w:val="22"/>
                <w:szCs w:val="22"/>
              </w:rPr>
              <w:t>Денежные средства, переданные в оплату инвестиционных паев, включаются в состав Фонда не позднее 3 (трех) рабочих дней с даты возникновения основания для их включения в состав Фонда. При этом денежные средства включаются в состав Фонда в день зачисления их на банковский счет, открытый для расчетов по операциям, связанным с доверительным управлением Фондом.</w:t>
            </w:r>
          </w:p>
          <w:p w:rsidR="0059341A" w:rsidRPr="00FF69E7" w:rsidRDefault="0059341A" w:rsidP="0059341A">
            <w:pPr>
              <w:tabs>
                <w:tab w:val="left" w:pos="480"/>
                <w:tab w:val="left" w:pos="709"/>
              </w:tabs>
            </w:pPr>
            <w:r w:rsidRPr="000743B4">
              <w:rPr>
                <w:sz w:val="22"/>
                <w:szCs w:val="22"/>
              </w:rPr>
              <w:t xml:space="preserve">Денежные требования по обеспеченным ипотекой обязательствам из кредитных договоров, переданные в оплату инвестиционных паев, включаются в состав Фонда </w:t>
            </w:r>
            <w:r w:rsidRPr="00FF69E7">
              <w:rPr>
                <w:sz w:val="22"/>
                <w:szCs w:val="22"/>
              </w:rPr>
              <w:t>не позднее 3</w:t>
            </w:r>
            <w:r>
              <w:rPr>
                <w:sz w:val="22"/>
                <w:szCs w:val="22"/>
              </w:rPr>
              <w:t xml:space="preserve"> </w:t>
            </w:r>
            <w:r w:rsidRPr="000743B4">
              <w:rPr>
                <w:sz w:val="22"/>
                <w:szCs w:val="22"/>
              </w:rPr>
              <w:t xml:space="preserve">(трех) </w:t>
            </w:r>
            <w:r w:rsidRPr="00FF69E7">
              <w:rPr>
                <w:sz w:val="22"/>
                <w:szCs w:val="22"/>
              </w:rPr>
              <w:t xml:space="preserve"> рабочих дней с даты возникновения основания для его включения в состав фонда. При этом </w:t>
            </w:r>
            <w:r>
              <w:rPr>
                <w:sz w:val="22"/>
                <w:szCs w:val="22"/>
              </w:rPr>
              <w:t>указанное</w:t>
            </w:r>
            <w:r w:rsidRPr="00FF69E7">
              <w:rPr>
                <w:sz w:val="22"/>
                <w:szCs w:val="22"/>
              </w:rPr>
              <w:t xml:space="preserve"> имущество включается в состав фонда </w:t>
            </w:r>
            <w:bookmarkStart w:id="32" w:name="OLE_LINK71"/>
            <w:r w:rsidRPr="00FF69E7">
              <w:rPr>
                <w:sz w:val="22"/>
                <w:szCs w:val="22"/>
              </w:rPr>
              <w:t>в дату, указанную в распорядительной записке управляющей компании о включении имущества в состав фонда.</w:t>
            </w:r>
          </w:p>
          <w:bookmarkEnd w:id="32"/>
          <w:p w:rsidR="0059341A" w:rsidRPr="0059341A" w:rsidRDefault="0059341A" w:rsidP="0059341A">
            <w:pPr>
              <w:pStyle w:val="af3"/>
              <w:tabs>
                <w:tab w:val="left" w:pos="285"/>
                <w:tab w:val="left" w:pos="709"/>
              </w:tabs>
              <w:ind w:left="0"/>
              <w:jc w:val="both"/>
            </w:pPr>
          </w:p>
        </w:tc>
        <w:tc>
          <w:tcPr>
            <w:tcW w:w="4860" w:type="dxa"/>
          </w:tcPr>
          <w:p w:rsidR="007358E9" w:rsidRDefault="00556C16">
            <w:pPr>
              <w:tabs>
                <w:tab w:val="left" w:pos="480"/>
                <w:tab w:val="left" w:pos="709"/>
              </w:tabs>
              <w:autoSpaceDE w:val="0"/>
              <w:autoSpaceDN w:val="0"/>
              <w:adjustRightInd w:val="0"/>
              <w:jc w:val="both"/>
            </w:pPr>
            <w:r>
              <w:t>94</w:t>
            </w:r>
            <w:r w:rsidR="0059341A" w:rsidRPr="0059341A">
              <w:t>. </w:t>
            </w:r>
            <w:r w:rsidR="00C80AED" w:rsidRPr="00C80AED">
              <w:rPr>
                <w:sz w:val="22"/>
                <w:szCs w:val="22"/>
              </w:rPr>
              <w:t>Имущество, переданное в оплату инвестиционных паев, включается в состав Фонда в следующем порядке:</w:t>
            </w:r>
          </w:p>
          <w:p w:rsidR="007358E9" w:rsidRDefault="00C80AED">
            <w:pPr>
              <w:tabs>
                <w:tab w:val="left" w:pos="480"/>
                <w:tab w:val="left" w:pos="709"/>
              </w:tabs>
              <w:autoSpaceDE w:val="0"/>
              <w:autoSpaceDN w:val="0"/>
              <w:adjustRightInd w:val="0"/>
              <w:jc w:val="both"/>
            </w:pPr>
            <w:r w:rsidRPr="00C80AED">
              <w:rPr>
                <w:sz w:val="22"/>
                <w:szCs w:val="22"/>
              </w:rPr>
              <w:t>- денежные средства, переданные в оплату инвестиционных паев, включаются в состав фонда в течение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59341A" w:rsidRDefault="00C80AED" w:rsidP="0059341A">
            <w:r w:rsidRPr="00C80AED">
              <w:rPr>
                <w:sz w:val="22"/>
                <w:szCs w:val="22"/>
              </w:rPr>
              <w:t xml:space="preserve">- </w:t>
            </w:r>
            <w:r w:rsidR="00BE58F9" w:rsidRPr="00E215BE">
              <w:rPr>
                <w:rFonts w:ascii="Times New Roman CYR" w:hAnsi="Times New Roman CYR" w:cs="Times New Roman CYR"/>
                <w:sz w:val="22"/>
                <w:szCs w:val="22"/>
              </w:rPr>
              <w:t>недвижимое имущество, переданное в оплату инвестиционных паев, включается в состав фонда в течение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r w:rsidR="00BE58F9">
              <w:rPr>
                <w:sz w:val="22"/>
                <w:szCs w:val="22"/>
              </w:rPr>
              <w:t xml:space="preserve">         </w:t>
            </w:r>
          </w:p>
        </w:tc>
      </w:tr>
      <w:tr w:rsidR="00BE58F9" w:rsidRPr="00B26024">
        <w:trPr>
          <w:trHeight w:val="1200"/>
        </w:trPr>
        <w:tc>
          <w:tcPr>
            <w:tcW w:w="4788" w:type="dxa"/>
          </w:tcPr>
          <w:p w:rsidR="00BE58F9" w:rsidRPr="001D2D63" w:rsidRDefault="00BE58F9" w:rsidP="001D2D63">
            <w:pPr>
              <w:tabs>
                <w:tab w:val="left" w:pos="426"/>
                <w:tab w:val="left" w:pos="709"/>
                <w:tab w:val="left" w:pos="1020"/>
              </w:tabs>
              <w:jc w:val="both"/>
            </w:pPr>
            <w:bookmarkStart w:id="33" w:name="пункт117"/>
            <w:r>
              <w:rPr>
                <w:sz w:val="22"/>
                <w:szCs w:val="22"/>
              </w:rPr>
              <w:t>114.</w:t>
            </w:r>
            <w:r w:rsidRPr="000743B4">
              <w:rPr>
                <w:sz w:val="22"/>
                <w:szCs w:val="22"/>
              </w:rPr>
              <w:t>За счет имущества, составляющего Фонд, выплачиваются вознаграждения Управляющей компании в размере  1,5 (одна целая пять десятых) процента (с учетом налога на добавленную стоимость) среднегодовой стоимости чистых активов Фонда а также Специализированному депозитарию, Регистратору, Аудитору  и Оценщику в размере не более 1 (одного процента) среднегодовой стоимости чистых активов Фонда.</w:t>
            </w:r>
            <w:bookmarkEnd w:id="33"/>
          </w:p>
        </w:tc>
        <w:tc>
          <w:tcPr>
            <w:tcW w:w="4860" w:type="dxa"/>
          </w:tcPr>
          <w:p w:rsidR="00BE58F9" w:rsidRPr="00DC086E" w:rsidRDefault="00BE58F9" w:rsidP="007A589C">
            <w:r>
              <w:rPr>
                <w:sz w:val="22"/>
                <w:szCs w:val="22"/>
              </w:rPr>
              <w:t>114.</w:t>
            </w:r>
            <w:r w:rsidRPr="000743B4">
              <w:rPr>
                <w:sz w:val="22"/>
                <w:szCs w:val="22"/>
              </w:rPr>
              <w:t>За счет имущества, составляющего Фонд, выплачиваются вознаграждения Управляющей компании в размере  1,5 (одна целая пять десятых) процента (с учетом налога на добавленную стоимость) среднегодовой стоимости чистых активов Фонда а также Специализированному депозитарию, Регистратору, Аудитору  и Оценщику в размере не более </w:t>
            </w:r>
            <w:r>
              <w:rPr>
                <w:sz w:val="22"/>
                <w:szCs w:val="22"/>
              </w:rPr>
              <w:t>0,848</w:t>
            </w:r>
            <w:r w:rsidRPr="000743B4">
              <w:rPr>
                <w:sz w:val="22"/>
                <w:szCs w:val="22"/>
              </w:rPr>
              <w:t xml:space="preserve"> (</w:t>
            </w:r>
            <w:r>
              <w:rPr>
                <w:sz w:val="22"/>
                <w:szCs w:val="22"/>
              </w:rPr>
              <w:t>ноль целых восемьсот сорок восемь тыс</w:t>
            </w:r>
            <w:r w:rsidR="007A589C">
              <w:rPr>
                <w:sz w:val="22"/>
                <w:szCs w:val="22"/>
              </w:rPr>
              <w:t>я</w:t>
            </w:r>
            <w:r>
              <w:rPr>
                <w:sz w:val="22"/>
                <w:szCs w:val="22"/>
              </w:rPr>
              <w:t xml:space="preserve">чных) </w:t>
            </w:r>
            <w:r w:rsidRPr="000743B4">
              <w:rPr>
                <w:sz w:val="22"/>
                <w:szCs w:val="22"/>
              </w:rPr>
              <w:t>процента</w:t>
            </w:r>
            <w:r>
              <w:rPr>
                <w:sz w:val="22"/>
                <w:szCs w:val="22"/>
              </w:rPr>
              <w:t xml:space="preserve"> (без учета налога на добавленную стоимость)</w:t>
            </w:r>
            <w:r w:rsidRPr="000743B4">
              <w:rPr>
                <w:sz w:val="22"/>
                <w:szCs w:val="22"/>
              </w:rPr>
              <w:t xml:space="preserve"> среднегодовой стоимости чистых активов Фонда.</w:t>
            </w:r>
          </w:p>
        </w:tc>
      </w:tr>
      <w:tr w:rsidR="00BE58F9" w:rsidRPr="00B26024">
        <w:trPr>
          <w:trHeight w:val="1200"/>
        </w:trPr>
        <w:tc>
          <w:tcPr>
            <w:tcW w:w="4788" w:type="dxa"/>
          </w:tcPr>
          <w:p w:rsidR="00BE58F9" w:rsidRPr="001D2D63" w:rsidRDefault="00BE58F9" w:rsidP="001D2D63">
            <w:pPr>
              <w:tabs>
                <w:tab w:val="left" w:pos="426"/>
                <w:tab w:val="left" w:pos="709"/>
                <w:tab w:val="left" w:pos="1020"/>
              </w:tabs>
              <w:jc w:val="both"/>
            </w:pPr>
            <w:r w:rsidRPr="001D2D63">
              <w:rPr>
                <w:sz w:val="22"/>
                <w:szCs w:val="22"/>
              </w:rPr>
              <w:t>115. Вознаграждение управляющей компании выплачивается ежемесячно в течение 15 (Пятнадцати) рабочих дней с момента окончания месяца.</w:t>
            </w:r>
          </w:p>
        </w:tc>
        <w:tc>
          <w:tcPr>
            <w:tcW w:w="4860" w:type="dxa"/>
          </w:tcPr>
          <w:p w:rsidR="00BE58F9" w:rsidRPr="00DC086E" w:rsidRDefault="00EB29C8" w:rsidP="00C877E8">
            <w:r>
              <w:rPr>
                <w:sz w:val="22"/>
                <w:szCs w:val="22"/>
              </w:rPr>
              <w:t>115.</w:t>
            </w:r>
            <w:r w:rsidRPr="00A767CA">
              <w:rPr>
                <w:sz w:val="22"/>
                <w:szCs w:val="22"/>
              </w:rPr>
              <w:t xml:space="preserve">Вознаграждение управляющей компании выплачивается ежемесячно </w:t>
            </w:r>
            <w:r w:rsidRPr="00E215BE">
              <w:rPr>
                <w:rFonts w:ascii="Times New Roman CYR" w:hAnsi="Times New Roman CYR" w:cs="Times New Roman CYR"/>
                <w:sz w:val="22"/>
                <w:szCs w:val="22"/>
              </w:rPr>
              <w:t>в течение 30 (Тридцати) дней с момента окончания месяца, за который начисляется вознаграждение</w:t>
            </w:r>
            <w:r w:rsidRPr="00962254">
              <w:t>.</w:t>
            </w:r>
          </w:p>
        </w:tc>
      </w:tr>
      <w:tr w:rsidR="0024380D" w:rsidRPr="00B26024">
        <w:trPr>
          <w:trHeight w:val="1200"/>
        </w:trPr>
        <w:tc>
          <w:tcPr>
            <w:tcW w:w="4788" w:type="dxa"/>
          </w:tcPr>
          <w:p w:rsidR="0024380D" w:rsidRPr="00B26024" w:rsidRDefault="0024380D" w:rsidP="001D2D63">
            <w:pPr>
              <w:tabs>
                <w:tab w:val="left" w:pos="426"/>
                <w:tab w:val="left" w:pos="709"/>
                <w:tab w:val="left" w:pos="1020"/>
              </w:tabs>
              <w:jc w:val="both"/>
            </w:pPr>
            <w:bookmarkStart w:id="34" w:name="p_81"/>
            <w:bookmarkStart w:id="35" w:name="p_82"/>
            <w:bookmarkStart w:id="36" w:name="p_83"/>
            <w:bookmarkStart w:id="37" w:name="пункт120"/>
            <w:bookmarkEnd w:id="34"/>
            <w:bookmarkEnd w:id="35"/>
            <w:bookmarkEnd w:id="36"/>
            <w:r>
              <w:rPr>
                <w:sz w:val="22"/>
                <w:szCs w:val="22"/>
              </w:rPr>
              <w:t xml:space="preserve">117. </w:t>
            </w:r>
            <w:r w:rsidRPr="00B26024">
              <w:rPr>
                <w:sz w:val="22"/>
                <w:szCs w:val="22"/>
              </w:rPr>
              <w:t>За счет имущества, составляющего Фонд, оплачиваются следующие расходы, связанные с доверительным управлением указанным имуществом Фонда:</w:t>
            </w:r>
          </w:p>
          <w:bookmarkEnd w:id="37"/>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оплата услуг организаций по совершению сделок за счет имущества Фонда от имени этих организаций или от имени Управляющей компании;</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w:t>
            </w:r>
            <w:r w:rsidRPr="00B26024">
              <w:rPr>
                <w:sz w:val="22"/>
                <w:szCs w:val="22"/>
              </w:rPr>
              <w:lastRenderedPageBreak/>
              <w:t>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4380D" w:rsidRPr="00B26024" w:rsidRDefault="0024380D" w:rsidP="008E5918">
            <w:pPr>
              <w:widowControl w:val="0"/>
              <w:numPr>
                <w:ilvl w:val="0"/>
                <w:numId w:val="4"/>
              </w:numPr>
              <w:tabs>
                <w:tab w:val="left" w:pos="426"/>
                <w:tab w:val="left" w:pos="709"/>
                <w:tab w:val="left" w:pos="1020"/>
              </w:tabs>
              <w:autoSpaceDE w:val="0"/>
              <w:autoSpaceDN w:val="0"/>
              <w:adjustRightInd w:val="0"/>
              <w:ind w:left="0" w:firstLine="0"/>
              <w:jc w:val="both"/>
            </w:pPr>
            <w:r w:rsidRPr="00B26024">
              <w:rPr>
                <w:sz w:val="22"/>
                <w:szCs w:val="22"/>
              </w:rPr>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4380D" w:rsidRPr="00B26024" w:rsidRDefault="0024380D" w:rsidP="008E5918">
            <w:pPr>
              <w:widowControl w:val="0"/>
              <w:numPr>
                <w:ilvl w:val="0"/>
                <w:numId w:val="4"/>
              </w:numPr>
              <w:tabs>
                <w:tab w:val="left" w:pos="426"/>
                <w:tab w:val="left" w:pos="709"/>
                <w:tab w:val="left" w:pos="851"/>
                <w:tab w:val="left" w:pos="1020"/>
              </w:tabs>
              <w:autoSpaceDE w:val="0"/>
              <w:autoSpaceDN w:val="0"/>
              <w:adjustRightInd w:val="0"/>
              <w:ind w:left="0" w:firstLine="0"/>
              <w:jc w:val="both"/>
            </w:pPr>
            <w:r w:rsidRPr="00B26024">
              <w:rPr>
                <w:sz w:val="22"/>
                <w:szCs w:val="22"/>
              </w:rPr>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w:t>
            </w:r>
            <w:r w:rsidRPr="00B26024">
              <w:rPr>
                <w:sz w:val="22"/>
                <w:szCs w:val="22"/>
              </w:rPr>
              <w:lastRenderedPageBreak/>
              <w:t>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24380D" w:rsidRPr="00B26024" w:rsidRDefault="0024380D" w:rsidP="008E5918">
            <w:pPr>
              <w:widowControl w:val="0"/>
              <w:numPr>
                <w:ilvl w:val="0"/>
                <w:numId w:val="4"/>
              </w:numPr>
              <w:tabs>
                <w:tab w:val="left" w:pos="426"/>
                <w:tab w:val="left" w:pos="709"/>
                <w:tab w:val="left" w:pos="851"/>
                <w:tab w:val="left" w:pos="1020"/>
              </w:tabs>
              <w:autoSpaceDE w:val="0"/>
              <w:autoSpaceDN w:val="0"/>
              <w:adjustRightInd w:val="0"/>
              <w:ind w:left="0" w:firstLine="0"/>
              <w:jc w:val="both"/>
            </w:pPr>
            <w:r w:rsidRPr="00B26024">
              <w:rPr>
                <w:sz w:val="22"/>
                <w:szCs w:val="22"/>
              </w:rPr>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24380D" w:rsidRPr="00B26024" w:rsidRDefault="0024380D" w:rsidP="008E5918">
            <w:pPr>
              <w:widowControl w:val="0"/>
              <w:numPr>
                <w:ilvl w:val="0"/>
                <w:numId w:val="4"/>
              </w:numPr>
              <w:tabs>
                <w:tab w:val="left" w:pos="426"/>
                <w:tab w:val="left" w:pos="709"/>
                <w:tab w:val="left" w:pos="993"/>
                <w:tab w:val="left" w:pos="1020"/>
              </w:tabs>
              <w:autoSpaceDE w:val="0"/>
              <w:autoSpaceDN w:val="0"/>
              <w:adjustRightInd w:val="0"/>
              <w:ind w:left="0" w:firstLine="0"/>
              <w:jc w:val="both"/>
            </w:pPr>
            <w:r w:rsidRPr="00B26024">
              <w:rPr>
                <w:sz w:val="22"/>
                <w:szCs w:val="22"/>
              </w:rPr>
              <w:t>расходы, связанные с осуществлением государственной регистрации прав на недвижимое имущество, иных имущественных прав и сделок с ними;</w:t>
            </w:r>
          </w:p>
          <w:p w:rsidR="0024380D" w:rsidRPr="00B26024" w:rsidRDefault="0024380D" w:rsidP="008E5918">
            <w:pPr>
              <w:widowControl w:val="0"/>
              <w:numPr>
                <w:ilvl w:val="0"/>
                <w:numId w:val="4"/>
              </w:numPr>
              <w:tabs>
                <w:tab w:val="left" w:pos="426"/>
                <w:tab w:val="left" w:pos="709"/>
                <w:tab w:val="left" w:pos="993"/>
                <w:tab w:val="left" w:pos="1020"/>
              </w:tabs>
              <w:autoSpaceDE w:val="0"/>
              <w:autoSpaceDN w:val="0"/>
              <w:adjustRightInd w:val="0"/>
              <w:ind w:left="0" w:firstLine="0"/>
              <w:jc w:val="both"/>
            </w:pPr>
            <w:r w:rsidRPr="00B26024">
              <w:rPr>
                <w:sz w:val="22"/>
                <w:szCs w:val="22"/>
              </w:rPr>
              <w:t>расходы, связанные с обслуживанием кредитов (займов), права требования по которым составляют имущество Фонда.</w:t>
            </w:r>
          </w:p>
          <w:p w:rsidR="0024380D" w:rsidRPr="00B26024" w:rsidRDefault="0024380D" w:rsidP="00D453F1">
            <w:pPr>
              <w:widowControl w:val="0"/>
              <w:tabs>
                <w:tab w:val="left" w:pos="426"/>
                <w:tab w:val="left" w:pos="709"/>
                <w:tab w:val="left" w:pos="1020"/>
              </w:tabs>
              <w:autoSpaceDE w:val="0"/>
              <w:autoSpaceDN w:val="0"/>
              <w:adjustRightInd w:val="0"/>
            </w:pPr>
            <w:r w:rsidRPr="00B26024">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24380D" w:rsidRPr="00B26024" w:rsidRDefault="0024380D" w:rsidP="00D453F1">
            <w:pPr>
              <w:widowControl w:val="0"/>
              <w:tabs>
                <w:tab w:val="left" w:pos="426"/>
                <w:tab w:val="left" w:pos="709"/>
                <w:tab w:val="left" w:pos="1020"/>
              </w:tabs>
              <w:autoSpaceDE w:val="0"/>
              <w:autoSpaceDN w:val="0"/>
              <w:adjustRightInd w:val="0"/>
            </w:pPr>
            <w:r w:rsidRPr="00B26024">
              <w:rPr>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24380D" w:rsidRPr="00B26024" w:rsidRDefault="0024380D" w:rsidP="00D453F1">
            <w:pPr>
              <w:widowControl w:val="0"/>
              <w:tabs>
                <w:tab w:val="left" w:pos="426"/>
                <w:tab w:val="left" w:pos="709"/>
                <w:tab w:val="left" w:pos="1020"/>
              </w:tabs>
              <w:autoSpaceDE w:val="0"/>
              <w:autoSpaceDN w:val="0"/>
              <w:adjustRightInd w:val="0"/>
              <w:spacing w:before="20"/>
            </w:pPr>
            <w:r w:rsidRPr="00B26024">
              <w:rPr>
                <w:sz w:val="22"/>
                <w:szCs w:val="22"/>
              </w:rPr>
              <w:t>Максимальный размер расходов, подлежащих оплате за счет имущества, составляющего Фонд, составляет 20 (двадцать)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24380D" w:rsidRPr="00B26024" w:rsidRDefault="0024380D" w:rsidP="00571A14">
            <w:pPr>
              <w:tabs>
                <w:tab w:val="left" w:pos="426"/>
                <w:tab w:val="left" w:pos="709"/>
                <w:tab w:val="left" w:pos="1020"/>
              </w:tabs>
              <w:jc w:val="both"/>
            </w:pPr>
            <w:bookmarkStart w:id="38" w:name="p_85"/>
            <w:bookmarkEnd w:id="38"/>
          </w:p>
        </w:tc>
        <w:tc>
          <w:tcPr>
            <w:tcW w:w="4860" w:type="dxa"/>
          </w:tcPr>
          <w:p w:rsidR="0024380D" w:rsidRPr="00B26024" w:rsidRDefault="00A5014B" w:rsidP="00C877E8">
            <w:bookmarkStart w:id="39" w:name="sub_1141"/>
            <w:r>
              <w:rPr>
                <w:sz w:val="22"/>
                <w:szCs w:val="22"/>
              </w:rPr>
              <w:lastRenderedPageBreak/>
              <w:t>117</w:t>
            </w:r>
            <w:r w:rsidR="0024380D">
              <w:rPr>
                <w:sz w:val="22"/>
                <w:szCs w:val="22"/>
              </w:rPr>
              <w:t>.</w:t>
            </w:r>
            <w:r w:rsidR="0024380D" w:rsidRPr="00B26024">
              <w:rPr>
                <w:sz w:val="22"/>
                <w:szCs w:val="22"/>
              </w:rPr>
              <w:t> За счет имущества, составляющего Фонд, оплачиваются следующие расходы, связанные с доверительным управлением указанным имуществом Фонда:</w:t>
            </w:r>
          </w:p>
          <w:p w:rsidR="0024380D" w:rsidRPr="00B26024" w:rsidRDefault="0024380D" w:rsidP="00C877E8">
            <w:r w:rsidRPr="00B26024">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24380D" w:rsidRPr="00B26024" w:rsidRDefault="0024380D" w:rsidP="00C877E8">
            <w:r w:rsidRPr="00B26024">
              <w:rPr>
                <w:sz w:val="22"/>
                <w:szCs w:val="22"/>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w:t>
            </w:r>
            <w:r w:rsidRPr="00B26024">
              <w:rPr>
                <w:sz w:val="22"/>
                <w:szCs w:val="22"/>
              </w:rPr>
              <w:lastRenderedPageBreak/>
              <w:t>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w:t>
            </w:r>
            <w:r w:rsidR="007A589C">
              <w:rPr>
                <w:sz w:val="22"/>
                <w:szCs w:val="22"/>
              </w:rPr>
              <w:t xml:space="preserve"> </w:t>
            </w:r>
            <w:r w:rsidRPr="00B26024">
              <w:rPr>
                <w:sz w:val="22"/>
                <w:szCs w:val="22"/>
              </w:rPr>
              <w:t>(счетам);</w:t>
            </w:r>
          </w:p>
          <w:p w:rsidR="0024380D" w:rsidRPr="00B26024" w:rsidRDefault="0024380D" w:rsidP="00C877E8">
            <w:r w:rsidRPr="00B2602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4380D" w:rsidRPr="00B26024" w:rsidRDefault="0024380D" w:rsidP="00C877E8">
            <w:r w:rsidRPr="00B2602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4380D" w:rsidRPr="00B26024" w:rsidRDefault="0024380D" w:rsidP="00C877E8">
            <w:r w:rsidRPr="00B26024">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4380D" w:rsidRPr="00B26024" w:rsidRDefault="0024380D" w:rsidP="00C877E8">
            <w:r w:rsidRPr="00B26024">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4380D" w:rsidRPr="00B26024" w:rsidRDefault="0024380D" w:rsidP="00C877E8">
            <w:r w:rsidRPr="00B26024">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4380D" w:rsidRPr="00B26024" w:rsidRDefault="0024380D" w:rsidP="00C877E8">
            <w:r w:rsidRPr="00B26024">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4380D" w:rsidRPr="00B26024" w:rsidRDefault="0024380D" w:rsidP="00C877E8">
            <w:r w:rsidRPr="00B26024">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w:t>
            </w:r>
            <w:r w:rsidRPr="00B26024">
              <w:rPr>
                <w:sz w:val="22"/>
                <w:szCs w:val="22"/>
              </w:rPr>
              <w:lastRenderedPageBreak/>
              <w:t xml:space="preserve">Фонда, требующих такого удостоверения; </w:t>
            </w:r>
          </w:p>
          <w:p w:rsidR="0024380D" w:rsidRPr="00B26024" w:rsidRDefault="0024380D" w:rsidP="00C877E8">
            <w:r w:rsidRPr="00B26024">
              <w:rPr>
                <w:sz w:val="22"/>
                <w:szCs w:val="22"/>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24380D" w:rsidRPr="00B26024" w:rsidRDefault="0024380D" w:rsidP="00C877E8">
            <w:r w:rsidRPr="00B26024">
              <w:rPr>
                <w:sz w:val="22"/>
                <w:szCs w:val="22"/>
              </w:rPr>
              <w:t>11)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24380D" w:rsidRPr="00B26024" w:rsidRDefault="0024380D" w:rsidP="00C877E8">
            <w:r w:rsidRPr="00B26024">
              <w:rPr>
                <w:sz w:val="22"/>
                <w:szCs w:val="22"/>
              </w:rPr>
              <w:t>12) расходы, связанные с передачей прав и обязанностей новой управляющей компании по решению общего собрания владельцев инвестиционных паев;</w:t>
            </w:r>
          </w:p>
          <w:p w:rsidR="0024380D" w:rsidRPr="00B26024" w:rsidRDefault="0024380D" w:rsidP="00C877E8">
            <w:r w:rsidRPr="00B26024">
              <w:rPr>
                <w:sz w:val="22"/>
                <w:szCs w:val="22"/>
              </w:rPr>
              <w:t>13) расходы, связанные с осуществлением государственной регистрации прав на недвижимое имущество, иных имущественных прав и сделок с ними;</w:t>
            </w:r>
          </w:p>
          <w:p w:rsidR="0024380D" w:rsidRPr="00B26024" w:rsidRDefault="0024380D" w:rsidP="00C877E8">
            <w:r w:rsidRPr="00B26024">
              <w:rPr>
                <w:sz w:val="22"/>
                <w:szCs w:val="22"/>
              </w:rPr>
              <w:t>14) расходы, связанные со страхованием недвижимого имущества Фонда;</w:t>
            </w:r>
          </w:p>
          <w:p w:rsidR="0024380D" w:rsidRPr="00B26024" w:rsidRDefault="0024380D" w:rsidP="00C877E8">
            <w:r w:rsidRPr="00B26024">
              <w:rPr>
                <w:sz w:val="22"/>
                <w:szCs w:val="22"/>
              </w:rPr>
              <w:t>15)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24380D" w:rsidRPr="00B26024" w:rsidRDefault="0024380D" w:rsidP="00C877E8">
            <w:r w:rsidRPr="00B26024">
              <w:rPr>
                <w:sz w:val="22"/>
                <w:szCs w:val="22"/>
              </w:rPr>
              <w:t>16)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24380D" w:rsidRPr="00B26024" w:rsidRDefault="0024380D" w:rsidP="00C877E8">
            <w:r w:rsidRPr="00B26024">
              <w:rPr>
                <w:sz w:val="22"/>
                <w:szCs w:val="22"/>
              </w:rPr>
              <w:t>17) расходы, связанные с благоустройством земельного участка, составляющего имущество Фонда;</w:t>
            </w:r>
          </w:p>
          <w:p w:rsidR="0024380D" w:rsidRPr="00B26024" w:rsidRDefault="0024380D" w:rsidP="00C877E8">
            <w:r w:rsidRPr="00B26024">
              <w:rPr>
                <w:sz w:val="22"/>
                <w:szCs w:val="22"/>
              </w:rPr>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24380D" w:rsidRPr="00B26024" w:rsidRDefault="0024380D" w:rsidP="00C877E8">
            <w:r>
              <w:rPr>
                <w:sz w:val="22"/>
                <w:szCs w:val="22"/>
              </w:rPr>
              <w:t>19</w:t>
            </w:r>
            <w:r w:rsidRPr="00B26024">
              <w:rPr>
                <w:sz w:val="22"/>
                <w:szCs w:val="22"/>
              </w:rPr>
              <w:t>) расходы, связанные с обследованием технического состояния объектов недвижимого имущества, составляющего Фонд;</w:t>
            </w:r>
          </w:p>
          <w:p w:rsidR="0024380D" w:rsidRPr="00B26024" w:rsidRDefault="0024380D" w:rsidP="00C877E8">
            <w:r>
              <w:rPr>
                <w:sz w:val="22"/>
                <w:szCs w:val="22"/>
              </w:rPr>
              <w:t>20</w:t>
            </w:r>
            <w:r w:rsidRPr="00B26024">
              <w:rPr>
                <w:sz w:val="22"/>
                <w:szCs w:val="22"/>
              </w:rPr>
              <w:t>) расходы, связанные с рекламой подлежащих продаже или сдаче в аренду объектов недвижимости (имущественных прав), составляющих Фонд</w:t>
            </w:r>
            <w:r>
              <w:rPr>
                <w:sz w:val="22"/>
                <w:szCs w:val="22"/>
              </w:rPr>
              <w:t>.</w:t>
            </w:r>
          </w:p>
          <w:p w:rsidR="0024380D" w:rsidRPr="00B26024" w:rsidRDefault="0024380D" w:rsidP="00C877E8">
            <w:r w:rsidRPr="00B26024">
              <w:rPr>
                <w:sz w:val="22"/>
                <w:szCs w:val="22"/>
              </w:rPr>
              <w:t xml:space="preserve">Расходы, связанные с созывом и проведением </w:t>
            </w:r>
            <w:r w:rsidRPr="00B26024">
              <w:rPr>
                <w:sz w:val="22"/>
                <w:szCs w:val="22"/>
              </w:rPr>
              <w:lastRenderedPageBreak/>
              <w:t>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24380D" w:rsidRPr="00B26024" w:rsidRDefault="0024380D" w:rsidP="00C877E8">
            <w:r w:rsidRPr="00B26024">
              <w:rPr>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24380D" w:rsidRPr="00B26024" w:rsidRDefault="0024380D" w:rsidP="00571A14">
            <w:r w:rsidRPr="00B26024">
              <w:rPr>
                <w:sz w:val="22"/>
                <w:szCs w:val="22"/>
              </w:rPr>
              <w:t>Максимальный размер расходов, подлежащих оплате за счет имущества, составляющего Фонд, составляет 20 (двадцать) процентов (с учетом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bookmarkEnd w:id="39"/>
          </w:p>
          <w:p w:rsidR="0024380D" w:rsidRPr="00B26024" w:rsidRDefault="0024380D" w:rsidP="00CD68A5"/>
        </w:tc>
      </w:tr>
      <w:tr w:rsidR="0055782F" w:rsidRPr="00B26024">
        <w:trPr>
          <w:trHeight w:val="1200"/>
        </w:trPr>
        <w:tc>
          <w:tcPr>
            <w:tcW w:w="4788" w:type="dxa"/>
          </w:tcPr>
          <w:p w:rsidR="007358E9" w:rsidRDefault="00A5014B">
            <w:pPr>
              <w:tabs>
                <w:tab w:val="left" w:pos="709"/>
              </w:tabs>
              <w:ind w:left="142"/>
              <w:jc w:val="both"/>
            </w:pPr>
            <w:r>
              <w:rPr>
                <w:sz w:val="22"/>
                <w:szCs w:val="22"/>
              </w:rPr>
              <w:lastRenderedPageBreak/>
              <w:t>123.</w:t>
            </w:r>
            <w:r w:rsidRPr="000743B4">
              <w:rPr>
                <w:sz w:val="22"/>
                <w:szCs w:val="22"/>
              </w:rPr>
              <w:t xml:space="preserve">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и агентами по выдаче и погашению инвестиционных паев по телефону или иным способом.</w:t>
            </w:r>
          </w:p>
          <w:p w:rsidR="007358E9" w:rsidRDefault="007358E9">
            <w:pPr>
              <w:tabs>
                <w:tab w:val="left" w:pos="709"/>
              </w:tabs>
              <w:ind w:left="142"/>
              <w:jc w:val="both"/>
            </w:pPr>
          </w:p>
          <w:p w:rsidR="0055782F" w:rsidRPr="001D2D63" w:rsidRDefault="0055782F" w:rsidP="001D2D63">
            <w:pPr>
              <w:tabs>
                <w:tab w:val="left" w:pos="426"/>
                <w:tab w:val="left" w:pos="709"/>
                <w:tab w:val="left" w:pos="1020"/>
              </w:tabs>
              <w:jc w:val="both"/>
            </w:pPr>
          </w:p>
        </w:tc>
        <w:tc>
          <w:tcPr>
            <w:tcW w:w="4860" w:type="dxa"/>
          </w:tcPr>
          <w:p w:rsidR="007358E9" w:rsidRDefault="00A5014B">
            <w:pPr>
              <w:tabs>
                <w:tab w:val="left" w:pos="709"/>
              </w:tabs>
              <w:ind w:left="142"/>
              <w:jc w:val="both"/>
            </w:pPr>
            <w:r>
              <w:rPr>
                <w:sz w:val="22"/>
                <w:szCs w:val="22"/>
              </w:rPr>
              <w:t>123.</w:t>
            </w:r>
            <w:r w:rsidRPr="000743B4">
              <w:rPr>
                <w:sz w:val="22"/>
                <w:szCs w:val="22"/>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55782F" w:rsidRPr="00DC086E" w:rsidRDefault="0055782F" w:rsidP="00C877E8"/>
        </w:tc>
      </w:tr>
    </w:tbl>
    <w:p w:rsidR="00E5556E" w:rsidRPr="00B26024" w:rsidRDefault="00E5556E" w:rsidP="00E5556E">
      <w:pPr>
        <w:jc w:val="center"/>
        <w:rPr>
          <w:sz w:val="22"/>
          <w:szCs w:val="22"/>
        </w:rPr>
      </w:pPr>
    </w:p>
    <w:p w:rsidR="00F46AA3" w:rsidRPr="00B26024" w:rsidRDefault="00F46AA3" w:rsidP="00E5556E">
      <w:pPr>
        <w:jc w:val="center"/>
        <w:rPr>
          <w:sz w:val="22"/>
          <w:szCs w:val="22"/>
        </w:rPr>
      </w:pPr>
    </w:p>
    <w:p w:rsidR="00F46AA3" w:rsidRPr="00B26024" w:rsidRDefault="00F46AA3" w:rsidP="00E5556E">
      <w:pPr>
        <w:jc w:val="center"/>
        <w:rPr>
          <w:sz w:val="22"/>
          <w:szCs w:val="22"/>
        </w:rPr>
      </w:pPr>
    </w:p>
    <w:p w:rsidR="00E5556E" w:rsidRPr="00B26024" w:rsidRDefault="00E5556E" w:rsidP="00743808">
      <w:pPr>
        <w:rPr>
          <w:sz w:val="22"/>
          <w:szCs w:val="22"/>
        </w:rPr>
      </w:pPr>
    </w:p>
    <w:p w:rsidR="005D2C6A" w:rsidRPr="00B26024" w:rsidRDefault="005D2C6A" w:rsidP="00DF1CEB">
      <w:pPr>
        <w:rPr>
          <w:b/>
          <w:bCs/>
          <w:sz w:val="22"/>
          <w:szCs w:val="22"/>
        </w:rPr>
      </w:pPr>
    </w:p>
    <w:p w:rsidR="00434661" w:rsidRDefault="00D77840" w:rsidP="00DF1CEB">
      <w:pPr>
        <w:rPr>
          <w:b/>
          <w:bCs/>
          <w:sz w:val="22"/>
          <w:szCs w:val="22"/>
        </w:rPr>
      </w:pPr>
      <w:r w:rsidRPr="00B26024">
        <w:rPr>
          <w:b/>
          <w:bCs/>
          <w:sz w:val="22"/>
          <w:szCs w:val="22"/>
        </w:rPr>
        <w:t>Г</w:t>
      </w:r>
      <w:r w:rsidR="00074E75" w:rsidRPr="00B26024">
        <w:rPr>
          <w:b/>
          <w:bCs/>
          <w:sz w:val="22"/>
          <w:szCs w:val="22"/>
        </w:rPr>
        <w:t>енер</w:t>
      </w:r>
      <w:r w:rsidR="00812051" w:rsidRPr="00B26024">
        <w:rPr>
          <w:b/>
          <w:bCs/>
          <w:sz w:val="22"/>
          <w:szCs w:val="22"/>
        </w:rPr>
        <w:t>альн</w:t>
      </w:r>
      <w:r w:rsidR="005A39C1" w:rsidRPr="00B26024">
        <w:rPr>
          <w:b/>
          <w:bCs/>
          <w:sz w:val="22"/>
          <w:szCs w:val="22"/>
        </w:rPr>
        <w:t>ый</w:t>
      </w:r>
      <w:r w:rsidR="00812051" w:rsidRPr="00B26024">
        <w:rPr>
          <w:b/>
          <w:bCs/>
          <w:sz w:val="22"/>
          <w:szCs w:val="22"/>
        </w:rPr>
        <w:t xml:space="preserve"> директор   </w:t>
      </w:r>
    </w:p>
    <w:p w:rsidR="00074E75" w:rsidRPr="00B26024" w:rsidRDefault="00434661" w:rsidP="00DF1CEB">
      <w:pPr>
        <w:rPr>
          <w:b/>
          <w:bCs/>
          <w:sz w:val="22"/>
          <w:szCs w:val="22"/>
        </w:rPr>
      </w:pPr>
      <w:r w:rsidRPr="00434661">
        <w:rPr>
          <w:b/>
          <w:bCs/>
          <w:sz w:val="22"/>
          <w:szCs w:val="22"/>
        </w:rPr>
        <w:t xml:space="preserve">ООО УК «АК БАРС КАПИТАЛ» </w:t>
      </w:r>
      <w:r w:rsidRPr="00434661">
        <w:rPr>
          <w:b/>
          <w:bCs/>
          <w:sz w:val="22"/>
          <w:szCs w:val="22"/>
        </w:rPr>
        <w:tab/>
      </w:r>
      <w:r>
        <w:rPr>
          <w:b/>
          <w:bCs/>
          <w:sz w:val="22"/>
          <w:szCs w:val="22"/>
        </w:rPr>
        <w:t xml:space="preserve">                       </w:t>
      </w:r>
      <w:r w:rsidR="008D01EB" w:rsidRPr="00B26024">
        <w:rPr>
          <w:b/>
          <w:bCs/>
          <w:sz w:val="22"/>
          <w:szCs w:val="22"/>
        </w:rPr>
        <w:t xml:space="preserve">  </w:t>
      </w:r>
      <w:r w:rsidR="00812051" w:rsidRPr="00B26024">
        <w:rPr>
          <w:b/>
          <w:bCs/>
          <w:sz w:val="22"/>
          <w:szCs w:val="22"/>
        </w:rPr>
        <w:tab/>
      </w:r>
      <w:r w:rsidR="00812051" w:rsidRPr="00B26024">
        <w:rPr>
          <w:b/>
          <w:bCs/>
          <w:sz w:val="22"/>
          <w:szCs w:val="22"/>
        </w:rPr>
        <w:tab/>
        <w:t xml:space="preserve">   </w:t>
      </w:r>
      <w:r w:rsidR="008D01EB" w:rsidRPr="00B26024">
        <w:rPr>
          <w:b/>
          <w:bCs/>
          <w:sz w:val="22"/>
          <w:szCs w:val="22"/>
        </w:rPr>
        <w:t xml:space="preserve">    </w:t>
      </w:r>
      <w:r w:rsidR="00812051" w:rsidRPr="00B26024">
        <w:rPr>
          <w:b/>
          <w:bCs/>
          <w:sz w:val="22"/>
          <w:szCs w:val="22"/>
        </w:rPr>
        <w:t xml:space="preserve">  </w:t>
      </w:r>
      <w:r w:rsidR="00074E75" w:rsidRPr="00B26024">
        <w:rPr>
          <w:b/>
          <w:bCs/>
          <w:sz w:val="22"/>
          <w:szCs w:val="22"/>
        </w:rPr>
        <w:t xml:space="preserve">______________   </w:t>
      </w:r>
      <w:r w:rsidR="0040622D" w:rsidRPr="00B26024">
        <w:rPr>
          <w:b/>
          <w:bCs/>
          <w:sz w:val="22"/>
          <w:szCs w:val="22"/>
        </w:rPr>
        <w:t xml:space="preserve">А. Н. </w:t>
      </w:r>
      <w:r w:rsidR="005A39C1" w:rsidRPr="00B26024">
        <w:rPr>
          <w:b/>
          <w:bCs/>
          <w:sz w:val="22"/>
          <w:szCs w:val="22"/>
        </w:rPr>
        <w:t xml:space="preserve">Дорогов </w:t>
      </w:r>
    </w:p>
    <w:sectPr w:rsidR="00074E75" w:rsidRPr="00B26024" w:rsidSect="00DF1CEB">
      <w:footerReference w:type="default" r:id="rId13"/>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3E" w:rsidRDefault="00536A3E">
      <w:r>
        <w:separator/>
      </w:r>
    </w:p>
  </w:endnote>
  <w:endnote w:type="continuationSeparator" w:id="0">
    <w:p w:rsidR="00536A3E" w:rsidRDefault="0053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04" w:rsidRPr="00AF3FD6" w:rsidRDefault="00E12E06" w:rsidP="006E6FA0">
    <w:pPr>
      <w:pStyle w:val="a6"/>
      <w:framePr w:wrap="auto" w:vAnchor="text" w:hAnchor="margin" w:xAlign="right" w:y="1"/>
      <w:rPr>
        <w:rStyle w:val="a8"/>
        <w:sz w:val="20"/>
        <w:szCs w:val="20"/>
      </w:rPr>
    </w:pPr>
    <w:r w:rsidRPr="00AF3FD6">
      <w:rPr>
        <w:rStyle w:val="a8"/>
        <w:sz w:val="20"/>
        <w:szCs w:val="20"/>
      </w:rPr>
      <w:fldChar w:fldCharType="begin"/>
    </w:r>
    <w:r w:rsidR="00D16C04" w:rsidRPr="00AF3FD6">
      <w:rPr>
        <w:rStyle w:val="a8"/>
        <w:sz w:val="20"/>
        <w:szCs w:val="20"/>
      </w:rPr>
      <w:instrText xml:space="preserve">PAGE  </w:instrText>
    </w:r>
    <w:r w:rsidRPr="00AF3FD6">
      <w:rPr>
        <w:rStyle w:val="a8"/>
        <w:sz w:val="20"/>
        <w:szCs w:val="20"/>
      </w:rPr>
      <w:fldChar w:fldCharType="separate"/>
    </w:r>
    <w:r w:rsidR="00ED1650">
      <w:rPr>
        <w:rStyle w:val="a8"/>
        <w:noProof/>
        <w:sz w:val="20"/>
        <w:szCs w:val="20"/>
      </w:rPr>
      <w:t>17</w:t>
    </w:r>
    <w:r w:rsidRPr="00AF3FD6">
      <w:rPr>
        <w:rStyle w:val="a8"/>
        <w:sz w:val="20"/>
        <w:szCs w:val="20"/>
      </w:rPr>
      <w:fldChar w:fldCharType="end"/>
    </w:r>
  </w:p>
  <w:p w:rsidR="00D16C04" w:rsidRDefault="00D16C04" w:rsidP="00B564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3E" w:rsidRDefault="00536A3E">
      <w:r>
        <w:separator/>
      </w:r>
    </w:p>
  </w:footnote>
  <w:footnote w:type="continuationSeparator" w:id="0">
    <w:p w:rsidR="00536A3E" w:rsidRDefault="00536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4E3"/>
    <w:multiLevelType w:val="hybridMultilevel"/>
    <w:tmpl w:val="1CF2B05A"/>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E498A"/>
    <w:multiLevelType w:val="hybridMultilevel"/>
    <w:tmpl w:val="1450C03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62A377D"/>
    <w:multiLevelType w:val="hybridMultilevel"/>
    <w:tmpl w:val="C16CDFB2"/>
    <w:lvl w:ilvl="0" w:tplc="593EFBD4">
      <w:start w:val="89"/>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663310A"/>
    <w:multiLevelType w:val="hybridMultilevel"/>
    <w:tmpl w:val="35C4F414"/>
    <w:lvl w:ilvl="0" w:tplc="A4827F46">
      <w:start w:val="9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6A17D91"/>
    <w:multiLevelType w:val="hybridMultilevel"/>
    <w:tmpl w:val="A9C0BC32"/>
    <w:lvl w:ilvl="0" w:tplc="3E8C1212">
      <w:start w:val="140"/>
      <w:numFmt w:val="decimal"/>
      <w:lvlText w:val="%1."/>
      <w:lvlJc w:val="left"/>
      <w:pPr>
        <w:ind w:left="922" w:hanging="42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09181103"/>
    <w:multiLevelType w:val="hybridMultilevel"/>
    <w:tmpl w:val="8682A9CE"/>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9D5DC1"/>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9338AB"/>
    <w:multiLevelType w:val="hybridMultilevel"/>
    <w:tmpl w:val="671E84EA"/>
    <w:lvl w:ilvl="0" w:tplc="20746BB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0D855D68"/>
    <w:multiLevelType w:val="hybridMultilevel"/>
    <w:tmpl w:val="ED98A926"/>
    <w:lvl w:ilvl="0" w:tplc="6BDE9902">
      <w:start w:val="44"/>
      <w:numFmt w:val="decimal"/>
      <w:lvlText w:val="%1."/>
      <w:lvlJc w:val="left"/>
      <w:pPr>
        <w:ind w:left="502" w:hanging="360"/>
      </w:pPr>
      <w:rPr>
        <w:rFonts w:hint="default"/>
      </w:rPr>
    </w:lvl>
    <w:lvl w:ilvl="1" w:tplc="C90C6152">
      <w:start w:val="1"/>
      <w:numFmt w:val="russianLower"/>
      <w:lvlText w:val="%2)"/>
      <w:lvlJc w:val="left"/>
      <w:pPr>
        <w:ind w:left="1222" w:hanging="360"/>
      </w:pPr>
      <w:rPr>
        <w:rFonts w:hint="default"/>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0F6E341D"/>
    <w:multiLevelType w:val="hybridMultilevel"/>
    <w:tmpl w:val="E1AAF738"/>
    <w:lvl w:ilvl="0" w:tplc="0419000F">
      <w:start w:val="26"/>
      <w:numFmt w:val="decimal"/>
      <w:lvlText w:val="%1."/>
      <w:lvlJc w:val="left"/>
      <w:pPr>
        <w:tabs>
          <w:tab w:val="num" w:pos="502"/>
        </w:tabs>
        <w:ind w:left="502"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142427"/>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D23E0B"/>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39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162219"/>
    <w:multiLevelType w:val="multilevel"/>
    <w:tmpl w:val="D2A22FBC"/>
    <w:lvl w:ilvl="0">
      <w:start w:val="30"/>
      <w:numFmt w:val="decimal"/>
      <w:lvlText w:val="%1."/>
      <w:lvlJc w:val="left"/>
      <w:pPr>
        <w:ind w:left="644" w:hanging="360"/>
      </w:pPr>
      <w:rPr>
        <w:rFonts w:hint="default"/>
      </w:rPr>
    </w:lvl>
    <w:lvl w:ilvl="1">
      <w:start w:val="1"/>
      <w:numFmt w:val="decimal"/>
      <w:lvlText w:val="%2)"/>
      <w:lvlJc w:val="left"/>
      <w:pPr>
        <w:ind w:left="764" w:hanging="42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8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64" w:hanging="1800"/>
      </w:pPr>
      <w:rPr>
        <w:rFonts w:hint="default"/>
      </w:rPr>
    </w:lvl>
  </w:abstractNum>
  <w:abstractNum w:abstractNumId="13">
    <w:nsid w:val="1ED3429B"/>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903D54"/>
    <w:multiLevelType w:val="hybridMultilevel"/>
    <w:tmpl w:val="E084D236"/>
    <w:lvl w:ilvl="0" w:tplc="B748BF20">
      <w:start w:val="1"/>
      <w:numFmt w:val="bullet"/>
      <w:lvlText w:val=""/>
      <w:lvlJc w:val="left"/>
      <w:pPr>
        <w:tabs>
          <w:tab w:val="num" w:pos="720"/>
        </w:tabs>
        <w:ind w:left="720" w:hanging="360"/>
      </w:pPr>
      <w:rPr>
        <w:rFonts w:ascii="Wingdings" w:hAnsi="Wingdings" w:cs="Wingdings" w:hint="default"/>
      </w:rPr>
    </w:lvl>
    <w:lvl w:ilvl="1" w:tplc="C90C6152">
      <w:start w:val="1"/>
      <w:numFmt w:val="russianLower"/>
      <w:lvlText w:val="%2)"/>
      <w:lvlJc w:val="left"/>
      <w:pPr>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3397B2F"/>
    <w:multiLevelType w:val="hybridMultilevel"/>
    <w:tmpl w:val="60868E34"/>
    <w:lvl w:ilvl="0" w:tplc="1646C120">
      <w:start w:val="40"/>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245F7D19"/>
    <w:multiLevelType w:val="hybridMultilevel"/>
    <w:tmpl w:val="15D866AA"/>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
    <w:nsid w:val="26C1012B"/>
    <w:multiLevelType w:val="hybridMultilevel"/>
    <w:tmpl w:val="E076D34E"/>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2B102ED8"/>
    <w:multiLevelType w:val="hybridMultilevel"/>
    <w:tmpl w:val="301897A0"/>
    <w:lvl w:ilvl="0" w:tplc="D9867C9E">
      <w:start w:val="59"/>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2E830CD8"/>
    <w:multiLevelType w:val="hybridMultilevel"/>
    <w:tmpl w:val="BAA60AFE"/>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1709"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71637C"/>
    <w:multiLevelType w:val="hybridMultilevel"/>
    <w:tmpl w:val="A468AD6A"/>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374106C2"/>
    <w:multiLevelType w:val="hybridMultilevel"/>
    <w:tmpl w:val="C42A05D8"/>
    <w:lvl w:ilvl="0" w:tplc="C90C6152">
      <w:start w:val="1"/>
      <w:numFmt w:val="russianLower"/>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1B0552"/>
    <w:multiLevelType w:val="hybridMultilevel"/>
    <w:tmpl w:val="1962088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3">
    <w:nsid w:val="3C747055"/>
    <w:multiLevelType w:val="hybridMultilevel"/>
    <w:tmpl w:val="839A13C4"/>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8926A7"/>
    <w:multiLevelType w:val="hybridMultilevel"/>
    <w:tmpl w:val="3BBC23C4"/>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471E107F"/>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C255B3"/>
    <w:multiLevelType w:val="hybridMultilevel"/>
    <w:tmpl w:val="46D60564"/>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7">
    <w:nsid w:val="4E6416C2"/>
    <w:multiLevelType w:val="hybridMultilevel"/>
    <w:tmpl w:val="9D6019D6"/>
    <w:lvl w:ilvl="0" w:tplc="C6A05C9E">
      <w:start w:val="73"/>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28">
    <w:nsid w:val="50021AC6"/>
    <w:multiLevelType w:val="hybridMultilevel"/>
    <w:tmpl w:val="C060B1B8"/>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FA1782"/>
    <w:multiLevelType w:val="hybridMultilevel"/>
    <w:tmpl w:val="1A9075FC"/>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48408E0"/>
    <w:multiLevelType w:val="hybridMultilevel"/>
    <w:tmpl w:val="6810A400"/>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1709"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294118"/>
    <w:multiLevelType w:val="hybridMultilevel"/>
    <w:tmpl w:val="D6D676CC"/>
    <w:lvl w:ilvl="0" w:tplc="2BD02BE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554C0792"/>
    <w:multiLevelType w:val="hybridMultilevel"/>
    <w:tmpl w:val="3AF4FE0E"/>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1709"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3130A2"/>
    <w:multiLevelType w:val="hybridMultilevel"/>
    <w:tmpl w:val="C194D1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AD73577"/>
    <w:multiLevelType w:val="hybridMultilevel"/>
    <w:tmpl w:val="A586998E"/>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23975F8"/>
    <w:multiLevelType w:val="hybridMultilevel"/>
    <w:tmpl w:val="1D0C948C"/>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6">
    <w:nsid w:val="63172DC0"/>
    <w:multiLevelType w:val="hybridMultilevel"/>
    <w:tmpl w:val="A07AE4E8"/>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C90C6152">
      <w:start w:val="1"/>
      <w:numFmt w:val="russianLower"/>
      <w:lvlText w:val="%3)"/>
      <w:lvlJc w:val="left"/>
      <w:pPr>
        <w:ind w:left="890" w:hanging="180"/>
      </w:pPr>
      <w:rPr>
        <w:rFonts w:hint="default"/>
      </w:r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51C296D"/>
    <w:multiLevelType w:val="hybridMultilevel"/>
    <w:tmpl w:val="6F48BBB6"/>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EC226D"/>
    <w:multiLevelType w:val="hybridMultilevel"/>
    <w:tmpl w:val="C16E0D22"/>
    <w:lvl w:ilvl="0" w:tplc="ED7C35EE">
      <w:start w:val="1"/>
      <w:numFmt w:val="decimal"/>
      <w:lvlText w:val="%1."/>
      <w:lvlJc w:val="left"/>
      <w:pPr>
        <w:ind w:left="720" w:hanging="360"/>
      </w:pPr>
      <w:rPr>
        <w:i w:val="0"/>
        <w:iCs w:val="0"/>
        <w:sz w:val="24"/>
        <w:szCs w:val="24"/>
      </w:rPr>
    </w:lvl>
    <w:lvl w:ilvl="1" w:tplc="CE10F52E">
      <w:start w:val="1"/>
      <w:numFmt w:val="decimal"/>
      <w:lvlText w:val="%2)"/>
      <w:lvlJc w:val="left"/>
      <w:pPr>
        <w:ind w:left="1455" w:hanging="375"/>
      </w:pPr>
      <w:rPr>
        <w:rFonts w:hint="default"/>
      </w:rPr>
    </w:lvl>
    <w:lvl w:ilvl="2" w:tplc="20746BB6">
      <w:start w:val="1"/>
      <w:numFmt w:val="bullet"/>
      <w:lvlText w:val=""/>
      <w:lvlJc w:val="left"/>
      <w:pPr>
        <w:ind w:left="2135" w:hanging="1425"/>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965246E"/>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39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B94D67"/>
    <w:multiLevelType w:val="hybridMultilevel"/>
    <w:tmpl w:val="83980730"/>
    <w:lvl w:ilvl="0" w:tplc="C90C615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6F4921F0"/>
    <w:multiLevelType w:val="hybridMultilevel"/>
    <w:tmpl w:val="5D20FBF6"/>
    <w:lvl w:ilvl="0" w:tplc="0EAAE8B0">
      <w:start w:val="5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nsid w:val="6F706B5A"/>
    <w:multiLevelType w:val="multilevel"/>
    <w:tmpl w:val="F79478C6"/>
    <w:lvl w:ilvl="0">
      <w:start w:val="29"/>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652D41"/>
    <w:multiLevelType w:val="hybridMultilevel"/>
    <w:tmpl w:val="99D88520"/>
    <w:lvl w:ilvl="0" w:tplc="8ED4E332">
      <w:start w:val="107"/>
      <w:numFmt w:val="decimal"/>
      <w:lvlText w:val="%1."/>
      <w:lvlJc w:val="left"/>
      <w:pPr>
        <w:ind w:left="562" w:hanging="42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787C7703"/>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39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A802C4"/>
    <w:multiLevelType w:val="hybridMultilevel"/>
    <w:tmpl w:val="CD666E7C"/>
    <w:lvl w:ilvl="0" w:tplc="3EB298EA">
      <w:start w:val="11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7576D8"/>
    <w:multiLevelType w:val="hybridMultilevel"/>
    <w:tmpl w:val="01580DAC"/>
    <w:lvl w:ilvl="0" w:tplc="CE10F52E">
      <w:start w:val="1"/>
      <w:numFmt w:val="decimal"/>
      <w:lvlText w:val="%1)"/>
      <w:lvlJc w:val="left"/>
      <w:pPr>
        <w:ind w:left="145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DBD0FEA"/>
    <w:multiLevelType w:val="hybridMultilevel"/>
    <w:tmpl w:val="04B611B2"/>
    <w:lvl w:ilvl="0" w:tplc="ED522904">
      <w:start w:val="35"/>
      <w:numFmt w:val="decimal"/>
      <w:lvlText w:val="%1."/>
      <w:lvlJc w:val="left"/>
      <w:pPr>
        <w:ind w:left="502" w:hanging="360"/>
      </w:pPr>
      <w:rPr>
        <w:rFonts w:hint="default"/>
        <w:b w:val="0"/>
        <w:bCs w:val="0"/>
        <w:i w:val="0"/>
        <w:iCs w:val="0"/>
        <w:sz w:val="22"/>
        <w:szCs w:val="22"/>
      </w:rPr>
    </w:lvl>
    <w:lvl w:ilvl="1" w:tplc="C90C6152">
      <w:start w:val="1"/>
      <w:numFmt w:val="russianLower"/>
      <w:lvlText w:val="%2)"/>
      <w:lvlJc w:val="left"/>
      <w:pPr>
        <w:ind w:left="39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39"/>
  </w:num>
  <w:num w:numId="4">
    <w:abstractNumId w:val="16"/>
  </w:num>
  <w:num w:numId="5">
    <w:abstractNumId w:val="36"/>
  </w:num>
  <w:num w:numId="6">
    <w:abstractNumId w:val="1"/>
  </w:num>
  <w:num w:numId="7">
    <w:abstractNumId w:val="42"/>
  </w:num>
  <w:num w:numId="8">
    <w:abstractNumId w:val="12"/>
  </w:num>
  <w:num w:numId="9">
    <w:abstractNumId w:val="40"/>
  </w:num>
  <w:num w:numId="10">
    <w:abstractNumId w:val="33"/>
  </w:num>
  <w:num w:numId="11">
    <w:abstractNumId w:val="14"/>
  </w:num>
  <w:num w:numId="12">
    <w:abstractNumId w:val="15"/>
  </w:num>
  <w:num w:numId="13">
    <w:abstractNumId w:val="8"/>
  </w:num>
  <w:num w:numId="14">
    <w:abstractNumId w:val="5"/>
  </w:num>
  <w:num w:numId="15">
    <w:abstractNumId w:val="31"/>
  </w:num>
  <w:num w:numId="16">
    <w:abstractNumId w:val="22"/>
  </w:num>
  <w:num w:numId="17">
    <w:abstractNumId w:val="38"/>
  </w:num>
  <w:num w:numId="18">
    <w:abstractNumId w:val="23"/>
  </w:num>
  <w:num w:numId="19">
    <w:abstractNumId w:val="34"/>
  </w:num>
  <w:num w:numId="20">
    <w:abstractNumId w:val="0"/>
  </w:num>
  <w:num w:numId="21">
    <w:abstractNumId w:val="28"/>
  </w:num>
  <w:num w:numId="22">
    <w:abstractNumId w:val="19"/>
  </w:num>
  <w:num w:numId="23">
    <w:abstractNumId w:val="32"/>
  </w:num>
  <w:num w:numId="24">
    <w:abstractNumId w:val="30"/>
  </w:num>
  <w:num w:numId="25">
    <w:abstractNumId w:val="17"/>
  </w:num>
  <w:num w:numId="26">
    <w:abstractNumId w:val="20"/>
  </w:num>
  <w:num w:numId="27">
    <w:abstractNumId w:val="24"/>
  </w:num>
  <w:num w:numId="28">
    <w:abstractNumId w:val="35"/>
  </w:num>
  <w:num w:numId="29">
    <w:abstractNumId w:val="29"/>
  </w:num>
  <w:num w:numId="30">
    <w:abstractNumId w:val="26"/>
  </w:num>
  <w:num w:numId="31">
    <w:abstractNumId w:val="41"/>
  </w:num>
  <w:num w:numId="32">
    <w:abstractNumId w:val="18"/>
  </w:num>
  <w:num w:numId="33">
    <w:abstractNumId w:val="46"/>
  </w:num>
  <w:num w:numId="34">
    <w:abstractNumId w:val="2"/>
  </w:num>
  <w:num w:numId="35">
    <w:abstractNumId w:val="3"/>
  </w:num>
  <w:num w:numId="36">
    <w:abstractNumId w:val="43"/>
  </w:num>
  <w:num w:numId="37">
    <w:abstractNumId w:val="10"/>
  </w:num>
  <w:num w:numId="38">
    <w:abstractNumId w:val="13"/>
  </w:num>
  <w:num w:numId="39">
    <w:abstractNumId w:val="45"/>
  </w:num>
  <w:num w:numId="40">
    <w:abstractNumId w:val="6"/>
  </w:num>
  <w:num w:numId="41">
    <w:abstractNumId w:val="4"/>
  </w:num>
  <w:num w:numId="42">
    <w:abstractNumId w:val="25"/>
  </w:num>
  <w:num w:numId="43">
    <w:abstractNumId w:val="47"/>
  </w:num>
  <w:num w:numId="44">
    <w:abstractNumId w:val="37"/>
  </w:num>
  <w:num w:numId="45">
    <w:abstractNumId w:val="27"/>
  </w:num>
  <w:num w:numId="46">
    <w:abstractNumId w:val="11"/>
  </w:num>
  <w:num w:numId="47">
    <w:abstractNumId w:val="44"/>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rsids>
    <w:rsidRoot w:val="00C77EAE"/>
    <w:rsid w:val="00005A3F"/>
    <w:rsid w:val="0001051E"/>
    <w:rsid w:val="00017965"/>
    <w:rsid w:val="0001798A"/>
    <w:rsid w:val="000241B6"/>
    <w:rsid w:val="0002721A"/>
    <w:rsid w:val="00037121"/>
    <w:rsid w:val="00045AD8"/>
    <w:rsid w:val="00047EEB"/>
    <w:rsid w:val="000548D3"/>
    <w:rsid w:val="00066A23"/>
    <w:rsid w:val="000743B4"/>
    <w:rsid w:val="00074E75"/>
    <w:rsid w:val="000764F6"/>
    <w:rsid w:val="0007727C"/>
    <w:rsid w:val="00083443"/>
    <w:rsid w:val="000A281F"/>
    <w:rsid w:val="000A56AF"/>
    <w:rsid w:val="000B27EA"/>
    <w:rsid w:val="000C315F"/>
    <w:rsid w:val="000D72F6"/>
    <w:rsid w:val="000D7E70"/>
    <w:rsid w:val="000E3F51"/>
    <w:rsid w:val="000E4837"/>
    <w:rsid w:val="000E7756"/>
    <w:rsid w:val="001053AF"/>
    <w:rsid w:val="0010655C"/>
    <w:rsid w:val="00107986"/>
    <w:rsid w:val="0012458E"/>
    <w:rsid w:val="00130D26"/>
    <w:rsid w:val="0013491C"/>
    <w:rsid w:val="00152CDD"/>
    <w:rsid w:val="00154454"/>
    <w:rsid w:val="00161960"/>
    <w:rsid w:val="00177420"/>
    <w:rsid w:val="00181175"/>
    <w:rsid w:val="00183A41"/>
    <w:rsid w:val="00185FA3"/>
    <w:rsid w:val="00186D02"/>
    <w:rsid w:val="00190D44"/>
    <w:rsid w:val="00194B69"/>
    <w:rsid w:val="001959C0"/>
    <w:rsid w:val="00195F45"/>
    <w:rsid w:val="001B55BC"/>
    <w:rsid w:val="001D2D63"/>
    <w:rsid w:val="001D4D88"/>
    <w:rsid w:val="001D7FC1"/>
    <w:rsid w:val="001E37F9"/>
    <w:rsid w:val="001F3EE3"/>
    <w:rsid w:val="001F4A23"/>
    <w:rsid w:val="00207A14"/>
    <w:rsid w:val="002133BA"/>
    <w:rsid w:val="0021448B"/>
    <w:rsid w:val="0022099A"/>
    <w:rsid w:val="00224349"/>
    <w:rsid w:val="00236AA7"/>
    <w:rsid w:val="00242EB9"/>
    <w:rsid w:val="0024380D"/>
    <w:rsid w:val="00263F13"/>
    <w:rsid w:val="0028615F"/>
    <w:rsid w:val="00292DCC"/>
    <w:rsid w:val="00297AC9"/>
    <w:rsid w:val="002A712A"/>
    <w:rsid w:val="002C195C"/>
    <w:rsid w:val="002D1454"/>
    <w:rsid w:val="002E059B"/>
    <w:rsid w:val="002E1310"/>
    <w:rsid w:val="002E5647"/>
    <w:rsid w:val="002E5820"/>
    <w:rsid w:val="0030442D"/>
    <w:rsid w:val="00305E44"/>
    <w:rsid w:val="00310CE1"/>
    <w:rsid w:val="003178AD"/>
    <w:rsid w:val="003272E5"/>
    <w:rsid w:val="003313C2"/>
    <w:rsid w:val="00352F98"/>
    <w:rsid w:val="00376337"/>
    <w:rsid w:val="00390A2C"/>
    <w:rsid w:val="003955D3"/>
    <w:rsid w:val="00396A9F"/>
    <w:rsid w:val="003A08C9"/>
    <w:rsid w:val="003A34D0"/>
    <w:rsid w:val="003A5189"/>
    <w:rsid w:val="003B37ED"/>
    <w:rsid w:val="003B643B"/>
    <w:rsid w:val="003B7A03"/>
    <w:rsid w:val="003D2D07"/>
    <w:rsid w:val="003D3919"/>
    <w:rsid w:val="003D4760"/>
    <w:rsid w:val="003D5518"/>
    <w:rsid w:val="003F797A"/>
    <w:rsid w:val="003F7E9B"/>
    <w:rsid w:val="00401D17"/>
    <w:rsid w:val="0040622D"/>
    <w:rsid w:val="004241BA"/>
    <w:rsid w:val="00426DB4"/>
    <w:rsid w:val="00434661"/>
    <w:rsid w:val="00435584"/>
    <w:rsid w:val="00441D51"/>
    <w:rsid w:val="00454508"/>
    <w:rsid w:val="0045720E"/>
    <w:rsid w:val="00457D97"/>
    <w:rsid w:val="00473FBC"/>
    <w:rsid w:val="0048055F"/>
    <w:rsid w:val="0049063A"/>
    <w:rsid w:val="004929DF"/>
    <w:rsid w:val="004A000C"/>
    <w:rsid w:val="004A4065"/>
    <w:rsid w:val="004A69D7"/>
    <w:rsid w:val="004B1EA5"/>
    <w:rsid w:val="004B4349"/>
    <w:rsid w:val="004B4FD3"/>
    <w:rsid w:val="004C30DB"/>
    <w:rsid w:val="004C4B07"/>
    <w:rsid w:val="004C6A5B"/>
    <w:rsid w:val="004D5808"/>
    <w:rsid w:val="004F2EE1"/>
    <w:rsid w:val="00510894"/>
    <w:rsid w:val="005129A1"/>
    <w:rsid w:val="00523B46"/>
    <w:rsid w:val="00530061"/>
    <w:rsid w:val="00536A35"/>
    <w:rsid w:val="00536A3E"/>
    <w:rsid w:val="005414E2"/>
    <w:rsid w:val="005527C2"/>
    <w:rsid w:val="00556C16"/>
    <w:rsid w:val="0055782F"/>
    <w:rsid w:val="00560CB4"/>
    <w:rsid w:val="005623E5"/>
    <w:rsid w:val="00571A14"/>
    <w:rsid w:val="00583159"/>
    <w:rsid w:val="0059100A"/>
    <w:rsid w:val="00593002"/>
    <w:rsid w:val="0059341A"/>
    <w:rsid w:val="005950AA"/>
    <w:rsid w:val="00596278"/>
    <w:rsid w:val="005970E6"/>
    <w:rsid w:val="005A1C82"/>
    <w:rsid w:val="005A313C"/>
    <w:rsid w:val="005A39C1"/>
    <w:rsid w:val="005A5B87"/>
    <w:rsid w:val="005A5EF8"/>
    <w:rsid w:val="005B220D"/>
    <w:rsid w:val="005B7373"/>
    <w:rsid w:val="005C1093"/>
    <w:rsid w:val="005C6F36"/>
    <w:rsid w:val="005D11D2"/>
    <w:rsid w:val="005D2C6A"/>
    <w:rsid w:val="005D5D8A"/>
    <w:rsid w:val="005E5BCC"/>
    <w:rsid w:val="005F6045"/>
    <w:rsid w:val="00613523"/>
    <w:rsid w:val="00620460"/>
    <w:rsid w:val="00622F0C"/>
    <w:rsid w:val="00637E28"/>
    <w:rsid w:val="006457F0"/>
    <w:rsid w:val="00655BAB"/>
    <w:rsid w:val="00664938"/>
    <w:rsid w:val="006730C1"/>
    <w:rsid w:val="00685F0B"/>
    <w:rsid w:val="0069119F"/>
    <w:rsid w:val="00695846"/>
    <w:rsid w:val="00697BF9"/>
    <w:rsid w:val="006A52CC"/>
    <w:rsid w:val="006B1662"/>
    <w:rsid w:val="006B2BBA"/>
    <w:rsid w:val="006B5769"/>
    <w:rsid w:val="006C6734"/>
    <w:rsid w:val="006C6F14"/>
    <w:rsid w:val="006C74B2"/>
    <w:rsid w:val="006D4CA6"/>
    <w:rsid w:val="006E4A05"/>
    <w:rsid w:val="006E6FA0"/>
    <w:rsid w:val="006E7DA4"/>
    <w:rsid w:val="006F644D"/>
    <w:rsid w:val="00710EB2"/>
    <w:rsid w:val="0071121C"/>
    <w:rsid w:val="007118A7"/>
    <w:rsid w:val="00714392"/>
    <w:rsid w:val="00714E36"/>
    <w:rsid w:val="00716C2B"/>
    <w:rsid w:val="00717141"/>
    <w:rsid w:val="007309A2"/>
    <w:rsid w:val="0073145E"/>
    <w:rsid w:val="007321C7"/>
    <w:rsid w:val="00734C53"/>
    <w:rsid w:val="00735051"/>
    <w:rsid w:val="007358E9"/>
    <w:rsid w:val="00743808"/>
    <w:rsid w:val="00747154"/>
    <w:rsid w:val="007471E9"/>
    <w:rsid w:val="007619D6"/>
    <w:rsid w:val="007639AC"/>
    <w:rsid w:val="00765F27"/>
    <w:rsid w:val="00776772"/>
    <w:rsid w:val="00782401"/>
    <w:rsid w:val="007828D2"/>
    <w:rsid w:val="0078608D"/>
    <w:rsid w:val="007922E4"/>
    <w:rsid w:val="007A1A4C"/>
    <w:rsid w:val="007A2473"/>
    <w:rsid w:val="007A589C"/>
    <w:rsid w:val="007D04BB"/>
    <w:rsid w:val="007E1670"/>
    <w:rsid w:val="007E2856"/>
    <w:rsid w:val="007E7C11"/>
    <w:rsid w:val="007E7F4F"/>
    <w:rsid w:val="007F188D"/>
    <w:rsid w:val="008028FD"/>
    <w:rsid w:val="00803B03"/>
    <w:rsid w:val="00812051"/>
    <w:rsid w:val="00831C39"/>
    <w:rsid w:val="00837534"/>
    <w:rsid w:val="00844474"/>
    <w:rsid w:val="00854A4C"/>
    <w:rsid w:val="00854E2F"/>
    <w:rsid w:val="0085654D"/>
    <w:rsid w:val="008571FD"/>
    <w:rsid w:val="00875B78"/>
    <w:rsid w:val="00886FD0"/>
    <w:rsid w:val="00895A4D"/>
    <w:rsid w:val="008B27FE"/>
    <w:rsid w:val="008B4BF8"/>
    <w:rsid w:val="008B62D6"/>
    <w:rsid w:val="008C1046"/>
    <w:rsid w:val="008C49E1"/>
    <w:rsid w:val="008C75FC"/>
    <w:rsid w:val="008D01EB"/>
    <w:rsid w:val="008E3E57"/>
    <w:rsid w:val="008E5918"/>
    <w:rsid w:val="008E60CC"/>
    <w:rsid w:val="008F3F40"/>
    <w:rsid w:val="008F4165"/>
    <w:rsid w:val="00903E0F"/>
    <w:rsid w:val="009065B3"/>
    <w:rsid w:val="00916886"/>
    <w:rsid w:val="00921675"/>
    <w:rsid w:val="009375D3"/>
    <w:rsid w:val="00951505"/>
    <w:rsid w:val="009523B5"/>
    <w:rsid w:val="00954513"/>
    <w:rsid w:val="00962254"/>
    <w:rsid w:val="009633D9"/>
    <w:rsid w:val="00984A03"/>
    <w:rsid w:val="0099465D"/>
    <w:rsid w:val="009A6541"/>
    <w:rsid w:val="009A664F"/>
    <w:rsid w:val="009D1823"/>
    <w:rsid w:val="009D2191"/>
    <w:rsid w:val="009D318F"/>
    <w:rsid w:val="009E4ADD"/>
    <w:rsid w:val="009E6FA5"/>
    <w:rsid w:val="009F0249"/>
    <w:rsid w:val="009F156B"/>
    <w:rsid w:val="009F35BA"/>
    <w:rsid w:val="00A0011C"/>
    <w:rsid w:val="00A177A5"/>
    <w:rsid w:val="00A20299"/>
    <w:rsid w:val="00A2100B"/>
    <w:rsid w:val="00A25761"/>
    <w:rsid w:val="00A32C72"/>
    <w:rsid w:val="00A445FC"/>
    <w:rsid w:val="00A475F3"/>
    <w:rsid w:val="00A5014B"/>
    <w:rsid w:val="00A553FC"/>
    <w:rsid w:val="00A72589"/>
    <w:rsid w:val="00A767CA"/>
    <w:rsid w:val="00A9284C"/>
    <w:rsid w:val="00AA384E"/>
    <w:rsid w:val="00AA583C"/>
    <w:rsid w:val="00AB08D6"/>
    <w:rsid w:val="00AB1A40"/>
    <w:rsid w:val="00AC2A3B"/>
    <w:rsid w:val="00AC49FF"/>
    <w:rsid w:val="00AD4C35"/>
    <w:rsid w:val="00AD5742"/>
    <w:rsid w:val="00AF0614"/>
    <w:rsid w:val="00AF1ABA"/>
    <w:rsid w:val="00AF3FD6"/>
    <w:rsid w:val="00AF77D9"/>
    <w:rsid w:val="00B0053D"/>
    <w:rsid w:val="00B26024"/>
    <w:rsid w:val="00B3075F"/>
    <w:rsid w:val="00B35F8E"/>
    <w:rsid w:val="00B5643A"/>
    <w:rsid w:val="00B56C89"/>
    <w:rsid w:val="00B83D7B"/>
    <w:rsid w:val="00BA18D5"/>
    <w:rsid w:val="00BA5729"/>
    <w:rsid w:val="00BB1779"/>
    <w:rsid w:val="00BC4A9B"/>
    <w:rsid w:val="00BC6C9A"/>
    <w:rsid w:val="00BE1AD3"/>
    <w:rsid w:val="00BE1CE7"/>
    <w:rsid w:val="00BE42BA"/>
    <w:rsid w:val="00BE578F"/>
    <w:rsid w:val="00BE58F9"/>
    <w:rsid w:val="00BE799D"/>
    <w:rsid w:val="00BF6D5F"/>
    <w:rsid w:val="00C05993"/>
    <w:rsid w:val="00C11B34"/>
    <w:rsid w:val="00C206C2"/>
    <w:rsid w:val="00C32A53"/>
    <w:rsid w:val="00C32ACC"/>
    <w:rsid w:val="00C5120C"/>
    <w:rsid w:val="00C560D6"/>
    <w:rsid w:val="00C63669"/>
    <w:rsid w:val="00C76B70"/>
    <w:rsid w:val="00C77EAE"/>
    <w:rsid w:val="00C80AED"/>
    <w:rsid w:val="00C877E8"/>
    <w:rsid w:val="00C9041F"/>
    <w:rsid w:val="00C9276C"/>
    <w:rsid w:val="00CA28A0"/>
    <w:rsid w:val="00CB5581"/>
    <w:rsid w:val="00CD52ED"/>
    <w:rsid w:val="00CD68A5"/>
    <w:rsid w:val="00CF5247"/>
    <w:rsid w:val="00CF6B1B"/>
    <w:rsid w:val="00D074D4"/>
    <w:rsid w:val="00D16C04"/>
    <w:rsid w:val="00D21415"/>
    <w:rsid w:val="00D27483"/>
    <w:rsid w:val="00D31717"/>
    <w:rsid w:val="00D372F9"/>
    <w:rsid w:val="00D3754F"/>
    <w:rsid w:val="00D4489D"/>
    <w:rsid w:val="00D453F1"/>
    <w:rsid w:val="00D45B60"/>
    <w:rsid w:val="00D4644D"/>
    <w:rsid w:val="00D70266"/>
    <w:rsid w:val="00D76397"/>
    <w:rsid w:val="00D77840"/>
    <w:rsid w:val="00D80BDE"/>
    <w:rsid w:val="00D8737B"/>
    <w:rsid w:val="00D93584"/>
    <w:rsid w:val="00D962E1"/>
    <w:rsid w:val="00D96C27"/>
    <w:rsid w:val="00DA0C88"/>
    <w:rsid w:val="00DB2F79"/>
    <w:rsid w:val="00DC086E"/>
    <w:rsid w:val="00DD6C12"/>
    <w:rsid w:val="00DF1CEB"/>
    <w:rsid w:val="00E06500"/>
    <w:rsid w:val="00E06EC3"/>
    <w:rsid w:val="00E12E06"/>
    <w:rsid w:val="00E215BE"/>
    <w:rsid w:val="00E46B74"/>
    <w:rsid w:val="00E5556E"/>
    <w:rsid w:val="00E55F5A"/>
    <w:rsid w:val="00E60C1D"/>
    <w:rsid w:val="00E6762C"/>
    <w:rsid w:val="00E6784E"/>
    <w:rsid w:val="00E7014A"/>
    <w:rsid w:val="00E70C80"/>
    <w:rsid w:val="00E77BBE"/>
    <w:rsid w:val="00E90C9B"/>
    <w:rsid w:val="00E93435"/>
    <w:rsid w:val="00EB29C8"/>
    <w:rsid w:val="00EB51C5"/>
    <w:rsid w:val="00EB5CDF"/>
    <w:rsid w:val="00EC2B02"/>
    <w:rsid w:val="00EC78EB"/>
    <w:rsid w:val="00EC7AF5"/>
    <w:rsid w:val="00ED13E1"/>
    <w:rsid w:val="00ED1650"/>
    <w:rsid w:val="00ED51B9"/>
    <w:rsid w:val="00EE0CDE"/>
    <w:rsid w:val="00EE3DA5"/>
    <w:rsid w:val="00F04415"/>
    <w:rsid w:val="00F06E4D"/>
    <w:rsid w:val="00F1208C"/>
    <w:rsid w:val="00F20399"/>
    <w:rsid w:val="00F25877"/>
    <w:rsid w:val="00F327F7"/>
    <w:rsid w:val="00F32B6E"/>
    <w:rsid w:val="00F46AA3"/>
    <w:rsid w:val="00F52965"/>
    <w:rsid w:val="00F5697B"/>
    <w:rsid w:val="00F66F2E"/>
    <w:rsid w:val="00F71C9F"/>
    <w:rsid w:val="00F80366"/>
    <w:rsid w:val="00F80A9B"/>
    <w:rsid w:val="00F86D68"/>
    <w:rsid w:val="00F86F23"/>
    <w:rsid w:val="00F9168C"/>
    <w:rsid w:val="00F94388"/>
    <w:rsid w:val="00F96C2F"/>
    <w:rsid w:val="00FA4913"/>
    <w:rsid w:val="00FA59BB"/>
    <w:rsid w:val="00FB1622"/>
    <w:rsid w:val="00FB3C0E"/>
    <w:rsid w:val="00FB7CFB"/>
    <w:rsid w:val="00FE08FA"/>
    <w:rsid w:val="00FF338E"/>
    <w:rsid w:val="00FF525A"/>
    <w:rsid w:val="00FF53C0"/>
    <w:rsid w:val="00FF598C"/>
    <w:rsid w:val="00FF69E7"/>
    <w:rsid w:val="00FF76F1"/>
    <w:rsid w:val="00FF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7E70"/>
    <w:pPr>
      <w:spacing w:after="0" w:line="240" w:lineRule="auto"/>
    </w:pPr>
    <w:rPr>
      <w:sz w:val="24"/>
      <w:szCs w:val="24"/>
    </w:rPr>
  </w:style>
  <w:style w:type="paragraph" w:styleId="1">
    <w:name w:val="heading 1"/>
    <w:basedOn w:val="a"/>
    <w:link w:val="10"/>
    <w:uiPriority w:val="99"/>
    <w:qFormat/>
    <w:rsid w:val="00951505"/>
    <w:pPr>
      <w:spacing w:before="375" w:after="375"/>
      <w:jc w:val="center"/>
      <w:outlineLvl w:val="0"/>
    </w:pPr>
    <w:rPr>
      <w:rFonts w:ascii="Arial" w:hAnsi="Arial" w:cs="Arial"/>
      <w:b/>
      <w:bCs/>
      <w:kern w:val="36"/>
      <w:lang w:val="en-US" w:eastAsia="en-US"/>
    </w:rPr>
  </w:style>
  <w:style w:type="paragraph" w:styleId="2">
    <w:name w:val="heading 2"/>
    <w:basedOn w:val="a"/>
    <w:next w:val="a"/>
    <w:link w:val="20"/>
    <w:uiPriority w:val="99"/>
    <w:qFormat/>
    <w:rsid w:val="00831C3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831C39"/>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1505"/>
    <w:rPr>
      <w:rFonts w:ascii="Arial" w:hAnsi="Arial" w:cs="Arial"/>
      <w:b/>
      <w:bCs/>
      <w:kern w:val="36"/>
      <w:sz w:val="24"/>
      <w:szCs w:val="24"/>
      <w:lang w:val="en-US" w:eastAsia="en-US"/>
    </w:rPr>
  </w:style>
  <w:style w:type="character" w:customStyle="1" w:styleId="20">
    <w:name w:val="Заголовок 2 Знак"/>
    <w:basedOn w:val="a0"/>
    <w:link w:val="2"/>
    <w:uiPriority w:val="99"/>
    <w:semiHidden/>
    <w:locked/>
    <w:rsid w:val="00831C39"/>
    <w:rPr>
      <w:rFonts w:ascii="Cambria" w:hAnsi="Cambria" w:cs="Cambria"/>
      <w:b/>
      <w:bCs/>
      <w:i/>
      <w:iCs/>
      <w:sz w:val="28"/>
      <w:szCs w:val="28"/>
    </w:rPr>
  </w:style>
  <w:style w:type="character" w:customStyle="1" w:styleId="30">
    <w:name w:val="Заголовок 3 Знак"/>
    <w:basedOn w:val="a0"/>
    <w:link w:val="3"/>
    <w:uiPriority w:val="99"/>
    <w:semiHidden/>
    <w:locked/>
    <w:rsid w:val="00831C39"/>
    <w:rPr>
      <w:rFonts w:ascii="Cambria" w:hAnsi="Cambria" w:cs="Cambria"/>
      <w:b/>
      <w:bCs/>
      <w:sz w:val="26"/>
      <w:szCs w:val="26"/>
    </w:rPr>
  </w:style>
  <w:style w:type="table" w:styleId="a3">
    <w:name w:val="Table Grid"/>
    <w:basedOn w:val="a1"/>
    <w:uiPriority w:val="99"/>
    <w:rsid w:val="008B4B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5643A"/>
    <w:pPr>
      <w:widowControl w:val="0"/>
      <w:autoSpaceDE w:val="0"/>
      <w:autoSpaceDN w:val="0"/>
      <w:adjustRightInd w:val="0"/>
      <w:spacing w:after="0" w:line="240" w:lineRule="auto"/>
      <w:ind w:firstLine="720"/>
    </w:pPr>
    <w:rPr>
      <w:rFonts w:ascii="Arial" w:hAnsi="Arial" w:cs="Arial"/>
      <w:sz w:val="20"/>
      <w:szCs w:val="20"/>
    </w:rPr>
  </w:style>
  <w:style w:type="paragraph" w:styleId="a4">
    <w:name w:val="header"/>
    <w:basedOn w:val="a"/>
    <w:link w:val="a5"/>
    <w:uiPriority w:val="99"/>
    <w:rsid w:val="00B5643A"/>
    <w:pPr>
      <w:tabs>
        <w:tab w:val="center" w:pos="4677"/>
        <w:tab w:val="right" w:pos="9355"/>
      </w:tabs>
    </w:pPr>
  </w:style>
  <w:style w:type="character" w:customStyle="1" w:styleId="a5">
    <w:name w:val="Верхний колонтитул Знак"/>
    <w:basedOn w:val="a0"/>
    <w:link w:val="a4"/>
    <w:uiPriority w:val="99"/>
    <w:semiHidden/>
    <w:locked/>
    <w:rsid w:val="0048055F"/>
    <w:rPr>
      <w:sz w:val="24"/>
      <w:szCs w:val="24"/>
    </w:rPr>
  </w:style>
  <w:style w:type="paragraph" w:styleId="a6">
    <w:name w:val="footer"/>
    <w:basedOn w:val="a"/>
    <w:link w:val="a7"/>
    <w:uiPriority w:val="99"/>
    <w:rsid w:val="00B5643A"/>
    <w:pPr>
      <w:tabs>
        <w:tab w:val="center" w:pos="4677"/>
        <w:tab w:val="right" w:pos="9355"/>
      </w:tabs>
    </w:pPr>
  </w:style>
  <w:style w:type="character" w:customStyle="1" w:styleId="a7">
    <w:name w:val="Нижний колонтитул Знак"/>
    <w:basedOn w:val="a0"/>
    <w:link w:val="a6"/>
    <w:uiPriority w:val="99"/>
    <w:semiHidden/>
    <w:locked/>
    <w:rsid w:val="0048055F"/>
    <w:rPr>
      <w:sz w:val="24"/>
      <w:szCs w:val="24"/>
    </w:rPr>
  </w:style>
  <w:style w:type="character" w:styleId="a8">
    <w:name w:val="page number"/>
    <w:basedOn w:val="a0"/>
    <w:uiPriority w:val="99"/>
    <w:rsid w:val="00B5643A"/>
  </w:style>
  <w:style w:type="paragraph" w:styleId="a9">
    <w:name w:val="Balloon Text"/>
    <w:basedOn w:val="a"/>
    <w:link w:val="aa"/>
    <w:uiPriority w:val="99"/>
    <w:semiHidden/>
    <w:rsid w:val="00152CDD"/>
    <w:rPr>
      <w:rFonts w:ascii="Tahoma" w:hAnsi="Tahoma" w:cs="Tahoma"/>
      <w:sz w:val="16"/>
      <w:szCs w:val="16"/>
    </w:rPr>
  </w:style>
  <w:style w:type="character" w:customStyle="1" w:styleId="aa">
    <w:name w:val="Текст выноски Знак"/>
    <w:basedOn w:val="a0"/>
    <w:link w:val="a9"/>
    <w:uiPriority w:val="99"/>
    <w:semiHidden/>
    <w:locked/>
    <w:rsid w:val="0048055F"/>
    <w:rPr>
      <w:rFonts w:ascii="Tahoma" w:hAnsi="Tahoma" w:cs="Tahoma"/>
      <w:sz w:val="16"/>
      <w:szCs w:val="16"/>
    </w:rPr>
  </w:style>
  <w:style w:type="paragraph" w:customStyle="1" w:styleId="11">
    <w:name w:val="Знак1"/>
    <w:basedOn w:val="a"/>
    <w:uiPriority w:val="99"/>
    <w:rsid w:val="007E7F4F"/>
    <w:pPr>
      <w:spacing w:after="160" w:line="240" w:lineRule="exact"/>
    </w:pPr>
    <w:rPr>
      <w:rFonts w:ascii="Verdana" w:hAnsi="Verdana" w:cs="Verdana"/>
      <w:sz w:val="20"/>
      <w:szCs w:val="20"/>
      <w:lang w:val="en-US" w:eastAsia="en-US"/>
    </w:rPr>
  </w:style>
  <w:style w:type="character" w:styleId="ab">
    <w:name w:val="Hyperlink"/>
    <w:basedOn w:val="a0"/>
    <w:uiPriority w:val="99"/>
    <w:rsid w:val="005D11D2"/>
    <w:rPr>
      <w:color w:val="0000FF"/>
      <w:u w:val="single"/>
    </w:rPr>
  </w:style>
  <w:style w:type="paragraph" w:customStyle="1" w:styleId="ConsPlusNormal">
    <w:name w:val="ConsPlusNormal"/>
    <w:uiPriority w:val="99"/>
    <w:rsid w:val="00EB51C5"/>
    <w:pPr>
      <w:widowControl w:val="0"/>
      <w:autoSpaceDE w:val="0"/>
      <w:autoSpaceDN w:val="0"/>
      <w:adjustRightInd w:val="0"/>
      <w:spacing w:after="0" w:line="240" w:lineRule="auto"/>
      <w:ind w:firstLine="720"/>
    </w:pPr>
    <w:rPr>
      <w:rFonts w:ascii="Arial" w:hAnsi="Arial" w:cs="Arial"/>
      <w:sz w:val="20"/>
      <w:szCs w:val="20"/>
    </w:rPr>
  </w:style>
  <w:style w:type="character" w:styleId="ac">
    <w:name w:val="annotation reference"/>
    <w:basedOn w:val="a0"/>
    <w:uiPriority w:val="99"/>
    <w:semiHidden/>
    <w:rsid w:val="00441D51"/>
    <w:rPr>
      <w:sz w:val="16"/>
      <w:szCs w:val="16"/>
    </w:rPr>
  </w:style>
  <w:style w:type="paragraph" w:styleId="ad">
    <w:name w:val="annotation text"/>
    <w:basedOn w:val="a"/>
    <w:link w:val="ae"/>
    <w:uiPriority w:val="99"/>
    <w:semiHidden/>
    <w:rsid w:val="00441D51"/>
    <w:rPr>
      <w:sz w:val="20"/>
      <w:szCs w:val="20"/>
    </w:rPr>
  </w:style>
  <w:style w:type="character" w:customStyle="1" w:styleId="ae">
    <w:name w:val="Текст примечания Знак"/>
    <w:basedOn w:val="a0"/>
    <w:link w:val="ad"/>
    <w:uiPriority w:val="99"/>
    <w:semiHidden/>
    <w:locked/>
    <w:rsid w:val="00441D51"/>
  </w:style>
  <w:style w:type="paragraph" w:styleId="af">
    <w:name w:val="annotation subject"/>
    <w:basedOn w:val="ad"/>
    <w:next w:val="ad"/>
    <w:link w:val="af0"/>
    <w:uiPriority w:val="99"/>
    <w:semiHidden/>
    <w:rsid w:val="00441D51"/>
    <w:rPr>
      <w:b/>
      <w:bCs/>
    </w:rPr>
  </w:style>
  <w:style w:type="character" w:customStyle="1" w:styleId="af0">
    <w:name w:val="Тема примечания Знак"/>
    <w:basedOn w:val="ae"/>
    <w:link w:val="af"/>
    <w:uiPriority w:val="99"/>
    <w:semiHidden/>
    <w:locked/>
    <w:rsid w:val="00441D51"/>
    <w:rPr>
      <w:b/>
      <w:bCs/>
    </w:rPr>
  </w:style>
  <w:style w:type="paragraph" w:customStyle="1" w:styleId="fieldcomment">
    <w:name w:val="field_comment"/>
    <w:basedOn w:val="a"/>
    <w:uiPriority w:val="99"/>
    <w:rsid w:val="00951505"/>
    <w:pPr>
      <w:spacing w:before="45" w:after="45"/>
    </w:pPr>
    <w:rPr>
      <w:rFonts w:ascii="Arial" w:hAnsi="Arial" w:cs="Arial"/>
      <w:sz w:val="9"/>
      <w:szCs w:val="9"/>
      <w:lang w:val="en-US" w:eastAsia="en-US"/>
    </w:rPr>
  </w:style>
  <w:style w:type="paragraph" w:customStyle="1" w:styleId="fieldname">
    <w:name w:val="field_name"/>
    <w:basedOn w:val="a"/>
    <w:uiPriority w:val="99"/>
    <w:rsid w:val="00951505"/>
    <w:pPr>
      <w:spacing w:before="45" w:after="45"/>
      <w:jc w:val="right"/>
    </w:pPr>
    <w:rPr>
      <w:rFonts w:ascii="Arial" w:hAnsi="Arial" w:cs="Arial"/>
      <w:b/>
      <w:bCs/>
      <w:sz w:val="16"/>
      <w:szCs w:val="16"/>
      <w:lang w:val="en-US" w:eastAsia="en-US"/>
    </w:rPr>
  </w:style>
  <w:style w:type="paragraph" w:customStyle="1" w:styleId="fielddata">
    <w:name w:val="field_data"/>
    <w:basedOn w:val="a"/>
    <w:uiPriority w:val="99"/>
    <w:rsid w:val="00951505"/>
    <w:pPr>
      <w:spacing w:before="45" w:after="45"/>
    </w:pPr>
    <w:rPr>
      <w:rFonts w:ascii="Arial" w:hAnsi="Arial" w:cs="Arial"/>
      <w:sz w:val="16"/>
      <w:szCs w:val="16"/>
      <w:lang w:val="en-US" w:eastAsia="en-US"/>
    </w:rPr>
  </w:style>
  <w:style w:type="paragraph" w:styleId="af1">
    <w:name w:val="Normal (Web)"/>
    <w:basedOn w:val="a"/>
    <w:uiPriority w:val="99"/>
    <w:rsid w:val="00831C39"/>
    <w:pPr>
      <w:spacing w:before="45" w:after="45"/>
    </w:pPr>
    <w:rPr>
      <w:rFonts w:ascii="Arial" w:hAnsi="Arial" w:cs="Arial"/>
      <w:sz w:val="16"/>
      <w:szCs w:val="16"/>
      <w:lang w:val="en-US" w:eastAsia="en-US"/>
    </w:rPr>
  </w:style>
  <w:style w:type="paragraph" w:customStyle="1" w:styleId="signfield">
    <w:name w:val="sign_field"/>
    <w:basedOn w:val="a"/>
    <w:uiPriority w:val="99"/>
    <w:rsid w:val="00831C39"/>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831C39"/>
    <w:pPr>
      <w:spacing w:after="150"/>
      <w:ind w:left="6120"/>
      <w:jc w:val="center"/>
      <w:textAlignment w:val="top"/>
    </w:pPr>
    <w:rPr>
      <w:rFonts w:ascii="Arial" w:hAnsi="Arial" w:cs="Arial"/>
      <w:sz w:val="20"/>
      <w:szCs w:val="20"/>
      <w:lang w:val="en-US" w:eastAsia="en-US"/>
    </w:rPr>
  </w:style>
  <w:style w:type="character" w:customStyle="1" w:styleId="fieldcomment1">
    <w:name w:val="field_comment1"/>
    <w:basedOn w:val="a0"/>
    <w:uiPriority w:val="99"/>
    <w:rsid w:val="00831C39"/>
    <w:rPr>
      <w:sz w:val="9"/>
      <w:szCs w:val="9"/>
    </w:rPr>
  </w:style>
  <w:style w:type="paragraph" w:styleId="21">
    <w:name w:val="Body Text Indent 2"/>
    <w:basedOn w:val="a"/>
    <w:link w:val="22"/>
    <w:uiPriority w:val="99"/>
    <w:semiHidden/>
    <w:rsid w:val="00C877E8"/>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C877E8"/>
    <w:rPr>
      <w:rFonts w:ascii="Times New Roman CYR" w:hAnsi="Times New Roman CYR" w:cs="Times New Roman CYR"/>
      <w:sz w:val="28"/>
      <w:szCs w:val="28"/>
    </w:rPr>
  </w:style>
  <w:style w:type="paragraph" w:customStyle="1" w:styleId="af2">
    <w:name w:val="Стиль"/>
    <w:basedOn w:val="a"/>
    <w:uiPriority w:val="99"/>
    <w:rsid w:val="00EB5CDF"/>
    <w:pPr>
      <w:spacing w:after="160" w:line="240" w:lineRule="exact"/>
    </w:pPr>
    <w:rPr>
      <w:rFonts w:ascii="Verdana" w:hAnsi="Verdana" w:cs="Verdana"/>
      <w:sz w:val="20"/>
      <w:szCs w:val="20"/>
      <w:lang w:val="en-US" w:eastAsia="en-US"/>
    </w:rPr>
  </w:style>
  <w:style w:type="paragraph" w:styleId="af3">
    <w:name w:val="List Paragraph"/>
    <w:basedOn w:val="a"/>
    <w:uiPriority w:val="99"/>
    <w:qFormat/>
    <w:rsid w:val="006C6734"/>
    <w:pPr>
      <w:ind w:left="720"/>
    </w:pPr>
  </w:style>
  <w:style w:type="paragraph" w:customStyle="1" w:styleId="ConsPlusNonformat">
    <w:name w:val="ConsPlusNonformat"/>
    <w:uiPriority w:val="99"/>
    <w:rsid w:val="00556C1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097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kbars-capita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bars-capital.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nsultant.ru/online/base/?req=doc;base=LAW;n=62199;dst=100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003_не вступили в силу.Ждем публикацию</Статус_x0020_документа>
    <_EndDate xmlns="http://schemas.microsoft.com/sharepoint/v3/fields">2012-03-12T20:00:00+00:00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CA65F-BDE2-445C-9AFD-AD1E4222832F}"/>
</file>

<file path=customXml/itemProps2.xml><?xml version="1.0" encoding="utf-8"?>
<ds:datastoreItem xmlns:ds="http://schemas.openxmlformats.org/officeDocument/2006/customXml" ds:itemID="{BBB7A3ED-F3F9-4DC2-ABBF-D878F2F12418}"/>
</file>

<file path=customXml/itemProps3.xml><?xml version="1.0" encoding="utf-8"?>
<ds:datastoreItem xmlns:ds="http://schemas.openxmlformats.org/officeDocument/2006/customXml" ds:itemID="{90D53B54-CAA3-4359-BEBE-2F0001B9508E}"/>
</file>

<file path=docProps/app.xml><?xml version="1.0" encoding="utf-8"?>
<Properties xmlns="http://schemas.openxmlformats.org/officeDocument/2006/extended-properties" xmlns:vt="http://schemas.openxmlformats.org/officeDocument/2006/docPropsVTypes">
  <Template>Normal</Template>
  <TotalTime>0</TotalTime>
  <Pages>17</Pages>
  <Words>7417</Words>
  <Characters>53287</Characters>
  <Application>Microsoft Office Word</Application>
  <DocSecurity>0</DocSecurity>
  <Lines>444</Lines>
  <Paragraphs>121</Paragraphs>
  <ScaleCrop>false</ScaleCrop>
  <Company>tfb</Company>
  <LinksUpToDate>false</LinksUpToDate>
  <CharactersWithSpaces>60583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tfb</dc:creator>
  <cp:keywords/>
  <dc:description/>
  <cp:lastModifiedBy>malyhina</cp:lastModifiedBy>
  <cp:revision>2</cp:revision>
  <cp:lastPrinted>2012-01-27T05:24:00Z</cp:lastPrinted>
  <dcterms:created xsi:type="dcterms:W3CDTF">2012-03-05T07:19:00Z</dcterms:created>
  <dcterms:modified xsi:type="dcterms:W3CDTF">2012-03-05T07:19:00Z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ol_Department">
    <vt:lpwstr/>
  </property>
  <property fmtid="{D5CDD505-2E9C-101B-9397-08002B2CF9AE}" pid="4" name="_Contributor">
    <vt:lpwstr/>
  </property>
  <property fmtid="{D5CDD505-2E9C-101B-9397-08002B2CF9AE}" pid="5" name="_Coverage">
    <vt:lpwstr/>
  </property>
  <property fmtid="{D5CDD505-2E9C-101B-9397-08002B2CF9AE}" pid="6" name="_DCDateCreated">
    <vt:lpwstr/>
  </property>
  <property fmtid="{D5CDD505-2E9C-101B-9397-08002B2CF9AE}" pid="7" name="_DCDateModified">
    <vt:lpwstr/>
  </property>
  <property fmtid="{D5CDD505-2E9C-101B-9397-08002B2CF9AE}" pid="8" name="_Format">
    <vt:lpwstr/>
  </property>
  <property fmtid="{D5CDD505-2E9C-101B-9397-08002B2CF9AE}" pid="9" name="_Identifier">
    <vt:lpwstr/>
  </property>
  <property fmtid="{D5CDD505-2E9C-101B-9397-08002B2CF9AE}" pid="10" name="Language">
    <vt:lpwstr/>
  </property>
  <property fmtid="{D5CDD505-2E9C-101B-9397-08002B2CF9AE}" pid="11" name="_Publisher">
    <vt:lpwstr/>
  </property>
  <property fmtid="{D5CDD505-2E9C-101B-9397-08002B2CF9AE}" pid="12" name="_Relation">
    <vt:lpwstr/>
  </property>
  <property fmtid="{D5CDD505-2E9C-101B-9397-08002B2CF9AE}" pid="13" name="_RightsManagement">
    <vt:lpwstr/>
  </property>
  <property fmtid="{D5CDD505-2E9C-101B-9397-08002B2CF9AE}" pid="14" name="_Source">
    <vt:lpwstr/>
  </property>
  <property fmtid="{D5CDD505-2E9C-101B-9397-08002B2CF9AE}" pid="15" name="_ResourceType">
    <vt:lpwstr/>
  </property>
  <property fmtid="{D5CDD505-2E9C-101B-9397-08002B2CF9AE}" pid="16" name="ContentType">
    <vt:lpwstr>Документ</vt:lpwstr>
  </property>
</Properties>
</file>