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A7" w:rsidRPr="00446BA7" w:rsidRDefault="00446BA7" w:rsidP="00446BA7">
      <w:pPr>
        <w:spacing w:after="0" w:line="360" w:lineRule="auto"/>
        <w:rPr>
          <w:rFonts w:ascii="Times New Roman" w:hAnsi="Times New Roman"/>
          <w:bCs/>
        </w:rPr>
      </w:pPr>
      <w:r w:rsidRPr="00446BA7">
        <w:rPr>
          <w:rFonts w:ascii="Times New Roman" w:hAnsi="Times New Roman"/>
          <w:bCs/>
        </w:rPr>
        <w:t>Утверждено Решением</w:t>
      </w:r>
    </w:p>
    <w:p w:rsidR="00446BA7" w:rsidRPr="00446BA7" w:rsidRDefault="00EE0AC6" w:rsidP="00446BA7">
      <w:pPr>
        <w:spacing w:after="0" w:line="360" w:lineRule="auto"/>
        <w:rPr>
          <w:rFonts w:ascii="Times New Roman" w:hAnsi="Times New Roman"/>
          <w:bCs/>
        </w:rPr>
      </w:pPr>
      <w:r>
        <w:rPr>
          <w:rFonts w:ascii="Times New Roman" w:hAnsi="Times New Roman"/>
          <w:bCs/>
        </w:rPr>
        <w:t>Генерального директора от 2</w:t>
      </w:r>
      <w:r w:rsidRPr="00750340">
        <w:rPr>
          <w:rFonts w:ascii="Times New Roman" w:hAnsi="Times New Roman"/>
          <w:bCs/>
        </w:rPr>
        <w:t>5</w:t>
      </w:r>
      <w:r w:rsidR="00446BA7" w:rsidRPr="00446BA7">
        <w:rPr>
          <w:rFonts w:ascii="Times New Roman" w:hAnsi="Times New Roman"/>
          <w:bCs/>
        </w:rPr>
        <w:t xml:space="preserve"> мая 2018 года</w:t>
      </w:r>
    </w:p>
    <w:p w:rsidR="00446BA7" w:rsidRPr="00446BA7" w:rsidRDefault="00446BA7" w:rsidP="00446BA7">
      <w:pPr>
        <w:spacing w:after="0" w:line="360" w:lineRule="auto"/>
        <w:rPr>
          <w:rFonts w:ascii="Times New Roman" w:hAnsi="Times New Roman"/>
          <w:b/>
          <w:bCs/>
        </w:rPr>
      </w:pP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r>
      <w:r w:rsidRPr="00446BA7">
        <w:rPr>
          <w:rFonts w:ascii="Times New Roman" w:hAnsi="Times New Roman"/>
          <w:bCs/>
        </w:rPr>
        <w:softHyphen/>
        <w:t>__________________________/Кузякин М. А.</w:t>
      </w:r>
    </w:p>
    <w:p w:rsidR="00446BA7" w:rsidRPr="00446BA7" w:rsidRDefault="00446BA7" w:rsidP="00446BA7">
      <w:pPr>
        <w:spacing w:after="0" w:line="360" w:lineRule="auto"/>
        <w:rPr>
          <w:rFonts w:ascii="Times New Roman" w:hAnsi="Times New Roman"/>
          <w:b/>
          <w:bCs/>
        </w:rPr>
      </w:pPr>
    </w:p>
    <w:p w:rsidR="00446BA7" w:rsidRPr="00446BA7" w:rsidRDefault="00446BA7" w:rsidP="00446BA7">
      <w:pPr>
        <w:tabs>
          <w:tab w:val="left" w:pos="4395"/>
        </w:tabs>
        <w:spacing w:after="0" w:line="360" w:lineRule="auto"/>
        <w:jc w:val="center"/>
        <w:rPr>
          <w:rFonts w:ascii="Times New Roman" w:hAnsi="Times New Roman"/>
          <w:b/>
          <w:bCs/>
        </w:rPr>
      </w:pPr>
      <w:r w:rsidRPr="00446BA7">
        <w:rPr>
          <w:rFonts w:ascii="Times New Roman" w:hAnsi="Times New Roman"/>
          <w:b/>
          <w:bCs/>
        </w:rPr>
        <w:t>Изменения и дополнения № 18</w:t>
      </w:r>
    </w:p>
    <w:p w:rsidR="00446BA7" w:rsidRPr="00446BA7" w:rsidRDefault="00446BA7" w:rsidP="00446BA7">
      <w:pPr>
        <w:spacing w:after="0" w:line="360" w:lineRule="auto"/>
        <w:jc w:val="center"/>
        <w:rPr>
          <w:rFonts w:ascii="Times New Roman" w:hAnsi="Times New Roman"/>
          <w:b/>
          <w:bCs/>
        </w:rPr>
      </w:pPr>
      <w:r w:rsidRPr="00446BA7">
        <w:rPr>
          <w:rFonts w:ascii="Times New Roman" w:hAnsi="Times New Roman"/>
          <w:b/>
          <w:bCs/>
        </w:rPr>
        <w:t>в Правила доверительного управления</w:t>
      </w:r>
    </w:p>
    <w:p w:rsidR="00446BA7" w:rsidRPr="00446BA7" w:rsidRDefault="00446BA7" w:rsidP="00446BA7">
      <w:pPr>
        <w:spacing w:after="0" w:line="360" w:lineRule="auto"/>
        <w:jc w:val="center"/>
        <w:rPr>
          <w:rFonts w:ascii="Times New Roman" w:hAnsi="Times New Roman"/>
          <w:b/>
          <w:bCs/>
        </w:rPr>
      </w:pPr>
      <w:r w:rsidRPr="00446BA7">
        <w:rPr>
          <w:rFonts w:ascii="Times New Roman" w:hAnsi="Times New Roman"/>
          <w:b/>
          <w:bCs/>
        </w:rPr>
        <w:t>Открытым паевым инвестиционным фондом рыночных финансовых инструментов</w:t>
      </w:r>
    </w:p>
    <w:p w:rsidR="00446BA7" w:rsidRPr="00446BA7" w:rsidRDefault="00446BA7" w:rsidP="00446BA7">
      <w:pPr>
        <w:spacing w:after="0" w:line="360" w:lineRule="auto"/>
        <w:jc w:val="center"/>
        <w:rPr>
          <w:rFonts w:ascii="Times New Roman" w:hAnsi="Times New Roman"/>
          <w:b/>
          <w:bCs/>
        </w:rPr>
      </w:pPr>
      <w:r w:rsidRPr="00446BA7">
        <w:rPr>
          <w:rFonts w:ascii="Times New Roman" w:hAnsi="Times New Roman"/>
          <w:b/>
          <w:bCs/>
        </w:rPr>
        <w:t>«АТОН - ФОНД 2025»</w:t>
      </w:r>
    </w:p>
    <w:p w:rsidR="00446BA7" w:rsidRPr="00446BA7" w:rsidRDefault="00446BA7" w:rsidP="00446BA7">
      <w:pPr>
        <w:spacing w:after="0" w:line="240" w:lineRule="auto"/>
        <w:jc w:val="center"/>
        <w:rPr>
          <w:rFonts w:ascii="Times New Roman" w:hAnsi="Times New Roman"/>
          <w:sz w:val="20"/>
          <w:szCs w:val="20"/>
          <w:lang w:eastAsia="ru-RU"/>
        </w:rPr>
      </w:pPr>
      <w:r w:rsidRPr="00446BA7">
        <w:rPr>
          <w:rFonts w:ascii="Times New Roman" w:hAnsi="Times New Roman"/>
          <w:sz w:val="20"/>
          <w:szCs w:val="20"/>
          <w:lang w:eastAsia="ru-RU"/>
        </w:rPr>
        <w:t>(Правила доверительного управления</w:t>
      </w:r>
    </w:p>
    <w:p w:rsidR="0038691F" w:rsidRDefault="00446BA7" w:rsidP="00446BA7">
      <w:pPr>
        <w:jc w:val="center"/>
        <w:rPr>
          <w:rFonts w:ascii="Times New Roman" w:hAnsi="Times New Roman"/>
          <w:sz w:val="20"/>
          <w:szCs w:val="20"/>
          <w:lang w:eastAsia="ru-RU"/>
        </w:rPr>
      </w:pPr>
      <w:r w:rsidRPr="00446BA7">
        <w:rPr>
          <w:rFonts w:ascii="Times New Roman" w:hAnsi="Times New Roman"/>
          <w:sz w:val="20"/>
          <w:szCs w:val="20"/>
          <w:lang w:eastAsia="ru-RU"/>
        </w:rPr>
        <w:t>зарегистрированы ФСФР России 2 октября 2007 года за № 1009-94131352)</w:t>
      </w:r>
    </w:p>
    <w:tbl>
      <w:tblPr>
        <w:tblStyle w:val="a3"/>
        <w:tblW w:w="0" w:type="auto"/>
        <w:tblLook w:val="04A0"/>
      </w:tblPr>
      <w:tblGrid>
        <w:gridCol w:w="4927"/>
        <w:gridCol w:w="4926"/>
      </w:tblGrid>
      <w:tr w:rsidR="00446BA7" w:rsidTr="00446BA7">
        <w:tc>
          <w:tcPr>
            <w:tcW w:w="4927" w:type="dxa"/>
          </w:tcPr>
          <w:p w:rsidR="00446BA7" w:rsidRDefault="00446BA7" w:rsidP="00446BA7">
            <w:pPr>
              <w:jc w:val="center"/>
            </w:pPr>
            <w:r w:rsidRPr="00446BA7">
              <w:rPr>
                <w:rFonts w:ascii="Times New Roman" w:hAnsi="Times New Roman"/>
                <w:b/>
                <w:lang w:eastAsia="ru-RU"/>
              </w:rPr>
              <w:t>Старая редакция:</w:t>
            </w:r>
          </w:p>
        </w:tc>
        <w:tc>
          <w:tcPr>
            <w:tcW w:w="4927" w:type="dxa"/>
          </w:tcPr>
          <w:p w:rsidR="00446BA7" w:rsidRDefault="00446BA7" w:rsidP="00446BA7">
            <w:pPr>
              <w:jc w:val="center"/>
            </w:pPr>
            <w:r w:rsidRPr="00446BA7">
              <w:rPr>
                <w:rFonts w:ascii="Times New Roman" w:hAnsi="Times New Roman"/>
                <w:b/>
                <w:lang w:eastAsia="ru-RU"/>
              </w:rPr>
              <w:t>Новая редакция:</w:t>
            </w:r>
          </w:p>
        </w:tc>
      </w:tr>
      <w:tr w:rsidR="00446BA7" w:rsidTr="00446BA7">
        <w:tc>
          <w:tcPr>
            <w:tcW w:w="4927" w:type="dxa"/>
          </w:tcPr>
          <w:p w:rsidR="00446BA7" w:rsidRPr="00446BA7" w:rsidRDefault="00446BA7" w:rsidP="00446BA7">
            <w:pPr>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1. Полное название паевого инвестиционного фонда: Открытый паевой инвестиционный фонд рыночных финансовых инструментов «АТОН - ФОНД 2025» (далее - фонд).</w:t>
            </w:r>
          </w:p>
        </w:tc>
        <w:tc>
          <w:tcPr>
            <w:tcW w:w="4927" w:type="dxa"/>
          </w:tcPr>
          <w:p w:rsidR="00446BA7" w:rsidRDefault="00446BA7" w:rsidP="005E5AB7">
            <w:pPr>
              <w:ind w:firstLine="743"/>
              <w:jc w:val="both"/>
            </w:pPr>
            <w:r w:rsidRPr="00446BA7">
              <w:rPr>
                <w:rFonts w:ascii="Times New Roman" w:hAnsi="Times New Roman"/>
                <w:lang w:eastAsia="ru-RU"/>
              </w:rPr>
              <w:t xml:space="preserve">1. Полное название паевого инвестиционного фонда: Открытый паевой инвестиционный фонд рыночных финансовых инструментов </w:t>
            </w:r>
            <w:r w:rsidRPr="00446BA7">
              <w:rPr>
                <w:rFonts w:ascii="Times New Roman" w:hAnsi="Times New Roman"/>
                <w:b/>
                <w:lang w:eastAsia="ru-RU"/>
              </w:rPr>
              <w:t>«</w:t>
            </w:r>
            <w:r w:rsidR="005E5AB7" w:rsidRPr="005E5AB7">
              <w:rPr>
                <w:rFonts w:ascii="Times New Roman" w:hAnsi="Times New Roman"/>
                <w:b/>
                <w:lang w:eastAsia="ru-RU"/>
              </w:rPr>
              <w:t>Атон - Фонд высоких технологий</w:t>
            </w:r>
            <w:r w:rsidRPr="00446BA7">
              <w:rPr>
                <w:rFonts w:ascii="Times New Roman" w:hAnsi="Times New Roman"/>
                <w:b/>
                <w:lang w:eastAsia="ru-RU"/>
              </w:rPr>
              <w:t>»</w:t>
            </w:r>
            <w:r w:rsidRPr="00446BA7">
              <w:rPr>
                <w:rFonts w:ascii="Times New Roman" w:hAnsi="Times New Roman"/>
                <w:lang w:eastAsia="ru-RU"/>
              </w:rPr>
              <w:t xml:space="preserve"> (далее - фонд).</w:t>
            </w:r>
          </w:p>
        </w:tc>
      </w:tr>
      <w:tr w:rsidR="00446BA7" w:rsidTr="00446BA7">
        <w:tc>
          <w:tcPr>
            <w:tcW w:w="4927" w:type="dxa"/>
          </w:tcPr>
          <w:p w:rsidR="00446BA7" w:rsidRPr="00446BA7" w:rsidRDefault="00446BA7" w:rsidP="00446BA7">
            <w:pPr>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2. Краткое название фонда: ОПИФ рыночных финансовых инструментов «АТОН - ФОНД 2025».</w:t>
            </w:r>
          </w:p>
        </w:tc>
        <w:tc>
          <w:tcPr>
            <w:tcW w:w="4927" w:type="dxa"/>
          </w:tcPr>
          <w:p w:rsidR="00446BA7" w:rsidRDefault="005E5AB7" w:rsidP="005E5AB7">
            <w:pPr>
              <w:ind w:firstLine="743"/>
              <w:jc w:val="both"/>
            </w:pPr>
            <w:r w:rsidRPr="00446BA7">
              <w:rPr>
                <w:rFonts w:ascii="Times New Roman" w:hAnsi="Times New Roman"/>
                <w:lang w:eastAsia="ru-RU"/>
              </w:rPr>
              <w:t xml:space="preserve">2. Краткое название фонда: ОПИФ рыночных финансовых инструментов </w:t>
            </w:r>
            <w:r w:rsidRPr="00446BA7">
              <w:rPr>
                <w:rFonts w:ascii="Times New Roman" w:hAnsi="Times New Roman"/>
                <w:b/>
                <w:lang w:eastAsia="ru-RU"/>
              </w:rPr>
              <w:t>«</w:t>
            </w:r>
            <w:r w:rsidRPr="005E5AB7">
              <w:rPr>
                <w:rFonts w:ascii="Times New Roman" w:hAnsi="Times New Roman"/>
                <w:b/>
                <w:lang w:eastAsia="ru-RU"/>
              </w:rPr>
              <w:t>Атон - Фонд высоких технологий</w:t>
            </w:r>
            <w:r w:rsidRPr="00446BA7">
              <w:rPr>
                <w:rFonts w:ascii="Times New Roman" w:hAnsi="Times New Roman"/>
                <w:b/>
                <w:lang w:eastAsia="ru-RU"/>
              </w:rPr>
              <w:t>»</w:t>
            </w:r>
            <w:r w:rsidRPr="00446BA7">
              <w:rPr>
                <w:rFonts w:ascii="Times New Roman" w:hAnsi="Times New Roman"/>
                <w:lang w:eastAsia="ru-RU"/>
              </w:rPr>
              <w:t>.</w:t>
            </w:r>
          </w:p>
        </w:tc>
      </w:tr>
      <w:tr w:rsidR="00446BA7" w:rsidTr="00446BA7">
        <w:tc>
          <w:tcPr>
            <w:tcW w:w="4927" w:type="dxa"/>
          </w:tcPr>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22.7.  Лица, обязанные по:</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lang w:eastAsia="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446BA7">
              <w:rPr>
                <w:rFonts w:ascii="Times New Roman" w:hAnsi="Times New Roman"/>
                <w:b/>
                <w:lang w:eastAsia="ru-RU"/>
              </w:rPr>
              <w:t xml:space="preserve">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w:t>
            </w:r>
            <w:r w:rsidRPr="00446BA7">
              <w:rPr>
                <w:rFonts w:ascii="Times New Roman" w:hAnsi="Times New Roman"/>
                <w:b/>
                <w:lang w:eastAsia="ru-RU"/>
              </w:rPr>
              <w:lastRenderedPageBreak/>
              <w:t>Штатах Америки, Таиланде, Тайване, Филиппинах, Чили, Южной Корее, Японии.</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c>
          <w:tcPr>
            <w:tcW w:w="4927" w:type="dxa"/>
          </w:tcPr>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lastRenderedPageBreak/>
              <w:t>22.7.  Лица, обязанные по:</w:t>
            </w:r>
          </w:p>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5E5AB7">
              <w:rPr>
                <w:rFonts w:ascii="Times New Roman" w:hAnsi="Times New Roman"/>
                <w:b/>
                <w:lang w:eastAsia="ru-RU"/>
              </w:rPr>
              <w:t>государствах, включенных в Общероссийский классификатор стран мира;</w:t>
            </w: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5E5AB7" w:rsidRDefault="005E5AB7" w:rsidP="005E5AB7">
            <w:pPr>
              <w:jc w:val="both"/>
              <w:rPr>
                <w:rFonts w:ascii="Times New Roman" w:hAnsi="Times New Roman"/>
                <w:lang w:eastAsia="ru-RU"/>
              </w:rPr>
            </w:pPr>
          </w:p>
          <w:p w:rsidR="00350280" w:rsidRDefault="00350280" w:rsidP="005E5AB7">
            <w:pPr>
              <w:jc w:val="both"/>
              <w:rPr>
                <w:rFonts w:ascii="Times New Roman" w:hAnsi="Times New Roman"/>
                <w:lang w:eastAsia="ru-RU"/>
              </w:rPr>
            </w:pPr>
          </w:p>
          <w:p w:rsidR="00350280" w:rsidRDefault="00350280" w:rsidP="005E5AB7">
            <w:pPr>
              <w:jc w:val="both"/>
              <w:rPr>
                <w:rFonts w:ascii="Times New Roman" w:hAnsi="Times New Roman"/>
                <w:lang w:eastAsia="ru-RU"/>
              </w:rPr>
            </w:pPr>
          </w:p>
          <w:p w:rsidR="00446BA7" w:rsidRDefault="005E5AB7" w:rsidP="005E5AB7">
            <w:pPr>
              <w:jc w:val="both"/>
            </w:pPr>
            <w:r w:rsidRPr="00446BA7">
              <w:rPr>
                <w:rFonts w:ascii="Times New Roman" w:hAnsi="Times New Roman"/>
                <w:lang w:eastAsia="ru-RU"/>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r>
      <w:tr w:rsidR="00446BA7" w:rsidTr="00446BA7">
        <w:tc>
          <w:tcPr>
            <w:tcW w:w="4927" w:type="dxa"/>
          </w:tcPr>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lastRenderedPageBreak/>
              <w:t>23. Структура активов фонда должна одновременно соответствовать следующим требованиям:</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1) оценочная стоимость долговых инструментов может составлять не более 40 процентов стоимости активов;</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46BA7" w:rsidRPr="00446BA7" w:rsidRDefault="00446BA7" w:rsidP="00446BA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 xml:space="preserve">Для целей настоящего подпункта ценные бумаги инвестиционных фондов, в том числе </w:t>
            </w:r>
            <w:r w:rsidRPr="00446BA7">
              <w:rPr>
                <w:rFonts w:ascii="Times New Roman" w:hAnsi="Times New Roman"/>
                <w:lang w:eastAsia="ru-RU"/>
              </w:rPr>
              <w:lastRenderedPageBreak/>
              <w:t xml:space="preserve">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0" w:history="1">
              <w:r w:rsidRPr="00446BA7">
                <w:rPr>
                  <w:rFonts w:ascii="Times New Roman" w:hAnsi="Times New Roman"/>
                  <w:lang w:eastAsia="ru-RU"/>
                </w:rPr>
                <w:t>абзацем первым</w:t>
              </w:r>
            </w:hyperlink>
            <w:r w:rsidRPr="00446BA7">
              <w:rPr>
                <w:rFonts w:ascii="Times New Roman" w:hAnsi="Times New Roman"/>
                <w:lang w:eastAsia="ru-RU"/>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3)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4)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5) 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46BA7" w:rsidRPr="00446BA7" w:rsidRDefault="00446BA7" w:rsidP="00446BA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6)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23.1 настоящих Правил, от стоимости чистых активов фонда в совокупности должна превышать большую из следующих величин:</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пять процентов;</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Pr="00446BA7">
              <w:rPr>
                <w:rFonts w:ascii="Times New Roman" w:hAnsi="Times New Roman"/>
                <w:sz w:val="24"/>
                <w:szCs w:val="24"/>
                <w:lang w:eastAsia="ru-RU"/>
              </w:rPr>
              <w:t xml:space="preserve"> </w:t>
            </w:r>
            <w:r w:rsidRPr="00446BA7">
              <w:rPr>
                <w:rFonts w:ascii="Times New Roman" w:hAnsi="Times New Roman"/>
                <w:lang w:eastAsia="ru-RU"/>
              </w:rPr>
              <w:t>(данное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46BA7" w:rsidRPr="00446BA7" w:rsidRDefault="00446BA7" w:rsidP="00446BA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lang w:eastAsia="ru-RU"/>
              </w:rPr>
              <w:t xml:space="preserve">7) </w:t>
            </w:r>
            <w:r w:rsidRPr="00446BA7">
              <w:rPr>
                <w:rFonts w:ascii="Times New Roman" w:hAnsi="Times New Roman"/>
                <w:bCs/>
                <w:lang w:eastAsia="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446BA7" w:rsidRPr="00446BA7" w:rsidRDefault="00446BA7" w:rsidP="00446BA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8)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46BA7" w:rsidRPr="00446BA7" w:rsidRDefault="00446BA7" w:rsidP="00446BA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446BA7" w:rsidRPr="00446BA7" w:rsidRDefault="00446BA7" w:rsidP="00446BA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Требования настоящего пункта применяются до даты возникновения основания прекращения фонда.</w:t>
            </w:r>
          </w:p>
        </w:tc>
        <w:tc>
          <w:tcPr>
            <w:tcW w:w="4927" w:type="dxa"/>
          </w:tcPr>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lastRenderedPageBreak/>
              <w:t>23. Структура активов фонда должна одновременно соответствовать следующим требованиям:</w:t>
            </w:r>
          </w:p>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1) оценочная стоимость долговых инструментов может составлять не более 40 процентов стоимости активов;</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E5AB7" w:rsidRPr="00446BA7" w:rsidRDefault="005E5AB7" w:rsidP="005E5AB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 xml:space="preserve">Для целей настоящего подпункта ценные бумаги инвестиционных фондов, в том числе </w:t>
            </w:r>
            <w:r w:rsidRPr="00446BA7">
              <w:rPr>
                <w:rFonts w:ascii="Times New Roman" w:hAnsi="Times New Roman"/>
                <w:lang w:eastAsia="ru-RU"/>
              </w:rPr>
              <w:lastRenderedPageBreak/>
              <w:t xml:space="preserve">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1" w:history="1">
              <w:r w:rsidRPr="00446BA7">
                <w:rPr>
                  <w:rFonts w:ascii="Times New Roman" w:hAnsi="Times New Roman"/>
                  <w:lang w:eastAsia="ru-RU"/>
                </w:rPr>
                <w:t>абзацем первым</w:t>
              </w:r>
            </w:hyperlink>
            <w:r w:rsidRPr="00446BA7">
              <w:rPr>
                <w:rFonts w:ascii="Times New Roman" w:hAnsi="Times New Roman"/>
                <w:lang w:eastAsia="ru-RU"/>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3)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w:t>
            </w:r>
            <w:r>
              <w:rPr>
                <w:rFonts w:ascii="Times New Roman" w:hAnsi="Times New Roman"/>
                <w:lang w:eastAsia="ru-RU"/>
              </w:rPr>
              <w:t xml:space="preserve">ндов может составлять </w:t>
            </w:r>
            <w:r w:rsidRPr="005E5AB7">
              <w:rPr>
                <w:rFonts w:ascii="Times New Roman" w:hAnsi="Times New Roman"/>
                <w:b/>
                <w:lang w:eastAsia="ru-RU"/>
              </w:rPr>
              <w:t>не более 7</w:t>
            </w:r>
            <w:r w:rsidRPr="00446BA7">
              <w:rPr>
                <w:rFonts w:ascii="Times New Roman" w:hAnsi="Times New Roman"/>
                <w:b/>
                <w:lang w:eastAsia="ru-RU"/>
              </w:rPr>
              <w:t>0 процентов</w:t>
            </w:r>
            <w:r w:rsidRPr="00446BA7">
              <w:rPr>
                <w:rFonts w:ascii="Times New Roman" w:hAnsi="Times New Roman"/>
                <w:lang w:eastAsia="ru-RU"/>
              </w:rPr>
              <w:t xml:space="preserve"> стоимости активов;</w:t>
            </w:r>
          </w:p>
          <w:p w:rsidR="005E5AB7" w:rsidRPr="00446BA7" w:rsidRDefault="005E5AB7" w:rsidP="005E5AB7">
            <w:pPr>
              <w:widowControl w:val="0"/>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4)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5) 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5E5AB7" w:rsidRPr="00446BA7" w:rsidRDefault="005E5AB7" w:rsidP="005E5AB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6)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23.1 настоящих Правил, от стоимости чистых активов фонда в совокупности должна превышать большую из следующих величин:</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пять процентов;</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Pr="00446BA7">
              <w:rPr>
                <w:rFonts w:ascii="Times New Roman" w:hAnsi="Times New Roman"/>
                <w:sz w:val="24"/>
                <w:szCs w:val="24"/>
                <w:lang w:eastAsia="ru-RU"/>
              </w:rPr>
              <w:t xml:space="preserve"> </w:t>
            </w:r>
            <w:r w:rsidRPr="00446BA7">
              <w:rPr>
                <w:rFonts w:ascii="Times New Roman" w:hAnsi="Times New Roman"/>
                <w:lang w:eastAsia="ru-RU"/>
              </w:rPr>
              <w:t>(данное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5E5AB7" w:rsidRPr="00446BA7" w:rsidRDefault="005E5AB7" w:rsidP="005E5AB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lang w:eastAsia="ru-RU"/>
              </w:rPr>
              <w:t xml:space="preserve">7) </w:t>
            </w:r>
            <w:r w:rsidRPr="00446BA7">
              <w:rPr>
                <w:rFonts w:ascii="Times New Roman" w:hAnsi="Times New Roman"/>
                <w:bCs/>
                <w:lang w:eastAsia="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5E5AB7" w:rsidRPr="00446BA7" w:rsidRDefault="005E5AB7" w:rsidP="005E5AB7">
            <w:pPr>
              <w:autoSpaceDE w:val="0"/>
              <w:autoSpaceDN w:val="0"/>
              <w:adjustRightInd w:val="0"/>
              <w:ind w:firstLine="540"/>
              <w:jc w:val="both"/>
              <w:rPr>
                <w:rFonts w:ascii="Times New Roman" w:hAnsi="Times New Roman"/>
                <w:bCs/>
                <w:sz w:val="24"/>
                <w:szCs w:val="24"/>
                <w:lang w:eastAsia="ru-RU"/>
              </w:rPr>
            </w:pPr>
            <w:r w:rsidRPr="00446BA7">
              <w:rPr>
                <w:rFonts w:ascii="Times New Roman" w:hAnsi="Times New Roman"/>
                <w:bCs/>
                <w:lang w:eastAsia="ru-RU"/>
              </w:rPr>
              <w:t>8)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E5AB7" w:rsidRPr="00446BA7" w:rsidRDefault="005E5AB7" w:rsidP="005E5AB7">
            <w:pPr>
              <w:autoSpaceDE w:val="0"/>
              <w:autoSpaceDN w:val="0"/>
              <w:adjustRightInd w:val="0"/>
              <w:ind w:firstLine="540"/>
              <w:jc w:val="both"/>
              <w:rPr>
                <w:rFonts w:ascii="Times New Roman" w:hAnsi="Times New Roman"/>
                <w:sz w:val="24"/>
                <w:szCs w:val="24"/>
                <w:lang w:eastAsia="ru-RU"/>
              </w:rPr>
            </w:pPr>
            <w:r w:rsidRPr="00446BA7">
              <w:rPr>
                <w:rFonts w:ascii="Times New Roman" w:hAnsi="Times New Roman"/>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446BA7" w:rsidRDefault="005E5AB7" w:rsidP="005E5AB7">
            <w:pPr>
              <w:ind w:firstLine="743"/>
              <w:jc w:val="both"/>
            </w:pPr>
            <w:r w:rsidRPr="00446BA7">
              <w:rPr>
                <w:rFonts w:ascii="Times New Roman" w:hAnsi="Times New Roman"/>
                <w:lang w:eastAsia="ru-RU"/>
              </w:rPr>
              <w:t>Требования настоящего пункта применяются до даты возникновения основания прекращения фонда.</w:t>
            </w:r>
          </w:p>
        </w:tc>
      </w:tr>
      <w:tr w:rsidR="00446BA7" w:rsidTr="00446BA7">
        <w:tc>
          <w:tcPr>
            <w:tcW w:w="4927" w:type="dxa"/>
          </w:tcPr>
          <w:p w:rsidR="00446BA7" w:rsidRPr="00446BA7" w:rsidRDefault="00446BA7" w:rsidP="00446BA7">
            <w:pPr>
              <w:ind w:firstLine="540"/>
              <w:jc w:val="both"/>
              <w:rPr>
                <w:rFonts w:ascii="Times New Roman" w:hAnsi="Times New Roman"/>
              </w:rPr>
            </w:pPr>
            <w:r w:rsidRPr="00446BA7">
              <w:rPr>
                <w:rFonts w:ascii="Times New Roman" w:hAnsi="Times New Roman"/>
              </w:rPr>
              <w:lastRenderedPageBreak/>
              <w:t>28. Управляющая компания не вправе:</w:t>
            </w:r>
          </w:p>
          <w:p w:rsidR="00446BA7" w:rsidRPr="00446BA7" w:rsidRDefault="00446BA7" w:rsidP="00446BA7">
            <w:pPr>
              <w:ind w:firstLine="540"/>
              <w:jc w:val="both"/>
              <w:rPr>
                <w:rFonts w:ascii="Times New Roman" w:hAnsi="Times New Roman"/>
              </w:rPr>
            </w:pPr>
            <w:r w:rsidRPr="00446BA7">
              <w:rPr>
                <w:rFonts w:ascii="Times New Roman" w:hAnsi="Times New Roman"/>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446BA7" w:rsidRPr="00446BA7" w:rsidRDefault="00446BA7" w:rsidP="00446BA7">
            <w:pPr>
              <w:ind w:firstLine="540"/>
              <w:jc w:val="both"/>
              <w:rPr>
                <w:rFonts w:ascii="Times New Roman" w:hAnsi="Times New Roman"/>
              </w:rPr>
            </w:pPr>
            <w:r w:rsidRPr="00446BA7">
              <w:rPr>
                <w:rFonts w:ascii="Times New Roman" w:hAnsi="Times New Roman"/>
              </w:rPr>
              <w:t>2) распоряжаться денежными средствами, находящимися на транзитном счете, без предварительного согласия специализированного депозитария;</w:t>
            </w:r>
          </w:p>
          <w:p w:rsidR="00446BA7" w:rsidRPr="00446BA7" w:rsidRDefault="00446BA7" w:rsidP="00446BA7">
            <w:pPr>
              <w:ind w:firstLine="540"/>
              <w:jc w:val="both"/>
              <w:rPr>
                <w:rFonts w:ascii="Times New Roman" w:hAnsi="Times New Roman"/>
              </w:rPr>
            </w:pPr>
            <w:r w:rsidRPr="00446BA7">
              <w:rPr>
                <w:rFonts w:ascii="Times New Roman" w:hAnsi="Times New Roma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46BA7" w:rsidRPr="00446BA7" w:rsidRDefault="00446BA7" w:rsidP="00446BA7">
            <w:pPr>
              <w:ind w:firstLine="540"/>
              <w:jc w:val="both"/>
              <w:rPr>
                <w:rFonts w:ascii="Times New Roman" w:hAnsi="Times New Roman"/>
              </w:rPr>
            </w:pPr>
            <w:r w:rsidRPr="00446BA7">
              <w:rPr>
                <w:rFonts w:ascii="Times New Roman" w:hAnsi="Times New Roma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446BA7" w:rsidRPr="00446BA7" w:rsidRDefault="00446BA7" w:rsidP="00446BA7">
            <w:pPr>
              <w:ind w:firstLine="540"/>
              <w:jc w:val="both"/>
              <w:rPr>
                <w:rFonts w:ascii="Times New Roman" w:hAnsi="Times New Roman"/>
              </w:rPr>
            </w:pPr>
            <w:r w:rsidRPr="00446BA7">
              <w:rPr>
                <w:rFonts w:ascii="Times New Roman" w:hAnsi="Times New Roman"/>
              </w:rPr>
              <w:t>5) совершать следующие сделки или давать поручения на совершение следующих сделок:</w:t>
            </w:r>
          </w:p>
          <w:p w:rsidR="00446BA7" w:rsidRPr="00446BA7" w:rsidRDefault="00446BA7" w:rsidP="00446BA7">
            <w:pPr>
              <w:ind w:firstLine="540"/>
              <w:jc w:val="both"/>
              <w:rPr>
                <w:rFonts w:ascii="Times New Roman" w:hAnsi="Times New Roman"/>
              </w:rPr>
            </w:pPr>
            <w:r w:rsidRPr="00446BA7">
              <w:rPr>
                <w:rFonts w:ascii="Times New Roman" w:hAnsi="Times New Roman"/>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446BA7" w:rsidRPr="00446BA7" w:rsidRDefault="00446BA7" w:rsidP="00446BA7">
            <w:pPr>
              <w:ind w:firstLine="540"/>
              <w:jc w:val="both"/>
              <w:rPr>
                <w:rFonts w:ascii="Times New Roman" w:hAnsi="Times New Roman"/>
              </w:rPr>
            </w:pPr>
            <w:r w:rsidRPr="00446BA7">
              <w:rPr>
                <w:rFonts w:ascii="Times New Roman" w:hAnsi="Times New Roman"/>
              </w:rPr>
              <w:t>б) сделки по безвозмездному отчуждению имущества, составляющего фонд;</w:t>
            </w:r>
          </w:p>
          <w:p w:rsidR="00446BA7" w:rsidRPr="00446BA7" w:rsidRDefault="00446BA7" w:rsidP="00446BA7">
            <w:pPr>
              <w:ind w:firstLine="540"/>
              <w:jc w:val="both"/>
              <w:rPr>
                <w:rFonts w:ascii="Times New Roman" w:hAnsi="Times New Roman"/>
              </w:rPr>
            </w:pPr>
            <w:r w:rsidRPr="00446BA7">
              <w:rPr>
                <w:rFonts w:ascii="Times New Roman" w:hAnsi="Times New Roman"/>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46BA7" w:rsidRPr="00446BA7" w:rsidRDefault="00446BA7" w:rsidP="00446BA7">
            <w:pPr>
              <w:ind w:firstLine="540"/>
              <w:jc w:val="both"/>
              <w:rPr>
                <w:rFonts w:ascii="Times New Roman" w:hAnsi="Times New Roman"/>
              </w:rPr>
            </w:pPr>
            <w:r w:rsidRPr="00446BA7">
              <w:rPr>
                <w:rFonts w:ascii="Times New Roman" w:hAnsi="Times New Roman"/>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46BA7" w:rsidRPr="00446BA7" w:rsidRDefault="00446BA7" w:rsidP="00446BA7">
            <w:pPr>
              <w:ind w:firstLine="540"/>
              <w:jc w:val="both"/>
              <w:rPr>
                <w:rFonts w:ascii="Times New Roman" w:hAnsi="Times New Roman"/>
              </w:rPr>
            </w:pPr>
            <w:r w:rsidRPr="00446BA7">
              <w:rPr>
                <w:rFonts w:ascii="Times New Roman" w:hAnsi="Times New Roman"/>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46BA7" w:rsidRPr="00446BA7" w:rsidRDefault="00446BA7" w:rsidP="00446BA7">
            <w:pPr>
              <w:ind w:firstLine="540"/>
              <w:jc w:val="both"/>
              <w:rPr>
                <w:rFonts w:ascii="Times New Roman" w:hAnsi="Times New Roman"/>
                <w:b/>
                <w:sz w:val="24"/>
                <w:szCs w:val="24"/>
                <w:lang w:eastAsia="ru-RU"/>
              </w:rPr>
            </w:pPr>
            <w:r w:rsidRPr="00446BA7">
              <w:rPr>
                <w:rFonts w:ascii="Times New Roman" w:hAnsi="Times New Roman"/>
                <w:lang w:eastAsia="ru-RU"/>
              </w:rPr>
              <w:t xml:space="preserve">е) сделки репо, подлежащие исполнению за счет имущества фонда. </w:t>
            </w:r>
            <w:r w:rsidRPr="00446BA7">
              <w:rPr>
                <w:rFonts w:ascii="Times New Roman" w:hAnsi="Times New Roman"/>
                <w:b/>
                <w:lang w:eastAsia="ru-RU"/>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сделка репо заключается на торгах организатора торговли на рынке ценных бумаг;</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сумма первой части репо, предусматривающей продажу ценных бумаг из состава активов фонда, превышает сумму второй части репо;</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срок исполнения второй части репо не превышает 30 дней с даты заключения сделки репо;</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446BA7" w:rsidRPr="00446BA7" w:rsidRDefault="00446BA7" w:rsidP="00446BA7">
            <w:pPr>
              <w:widowControl w:val="0"/>
              <w:autoSpaceDE w:val="0"/>
              <w:autoSpaceDN w:val="0"/>
              <w:adjustRightInd w:val="0"/>
              <w:ind w:firstLine="540"/>
              <w:jc w:val="both"/>
              <w:rPr>
                <w:rFonts w:ascii="Times New Roman" w:hAnsi="Times New Roman"/>
                <w:b/>
                <w:lang w:eastAsia="ru-RU"/>
              </w:rPr>
            </w:pPr>
            <w:r w:rsidRPr="00446BA7">
              <w:rPr>
                <w:rFonts w:ascii="Times New Roman" w:hAnsi="Times New Roman"/>
                <w:b/>
                <w:lang w:eastAsia="ru-RU"/>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446BA7" w:rsidRPr="00446BA7" w:rsidRDefault="00446BA7" w:rsidP="00446BA7">
            <w:pPr>
              <w:ind w:firstLine="540"/>
              <w:jc w:val="both"/>
              <w:rPr>
                <w:rFonts w:ascii="Times New Roman" w:hAnsi="Times New Roman"/>
                <w:b/>
                <w:sz w:val="24"/>
                <w:szCs w:val="24"/>
                <w:lang w:eastAsia="ru-RU"/>
              </w:rPr>
            </w:pPr>
            <w:r w:rsidRPr="00446BA7">
              <w:rPr>
                <w:rFonts w:ascii="Times New Roman" w:hAnsi="Times New Roman"/>
                <w:b/>
                <w:lang w:eastAsia="ru-RU"/>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446BA7" w:rsidRPr="00446BA7" w:rsidRDefault="00446BA7" w:rsidP="00446BA7">
            <w:pPr>
              <w:ind w:firstLine="540"/>
              <w:jc w:val="both"/>
              <w:rPr>
                <w:rFonts w:ascii="Times New Roman" w:hAnsi="Times New Roman"/>
              </w:rPr>
            </w:pPr>
            <w:r w:rsidRPr="00446BA7">
              <w:rPr>
                <w:rFonts w:ascii="Times New Roman" w:hAnsi="Times New Roman"/>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46BA7" w:rsidRPr="00446BA7" w:rsidRDefault="00446BA7" w:rsidP="00446BA7">
            <w:pPr>
              <w:ind w:firstLine="540"/>
              <w:jc w:val="both"/>
              <w:rPr>
                <w:rFonts w:ascii="Times New Roman" w:hAnsi="Times New Roman"/>
              </w:rPr>
            </w:pPr>
            <w:r w:rsidRPr="00446BA7">
              <w:rPr>
                <w:rFonts w:ascii="Times New Roman" w:hAnsi="Times New Roman"/>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46BA7" w:rsidRPr="00446BA7" w:rsidRDefault="00446BA7" w:rsidP="00446BA7">
            <w:pPr>
              <w:ind w:firstLine="540"/>
              <w:jc w:val="both"/>
              <w:rPr>
                <w:rFonts w:ascii="Times New Roman" w:hAnsi="Times New Roman"/>
              </w:rPr>
            </w:pPr>
            <w:r w:rsidRPr="00446BA7">
              <w:rPr>
                <w:rFonts w:ascii="Times New Roman" w:hAnsi="Times New Roman"/>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46BA7" w:rsidRPr="00446BA7" w:rsidRDefault="00446BA7" w:rsidP="00446BA7">
            <w:pPr>
              <w:ind w:firstLine="540"/>
              <w:jc w:val="both"/>
              <w:rPr>
                <w:rFonts w:ascii="Times New Roman" w:hAnsi="Times New Roman"/>
              </w:rPr>
            </w:pPr>
            <w:r w:rsidRPr="00446BA7">
              <w:rPr>
                <w:rFonts w:ascii="Times New Roman" w:hAnsi="Times New Roman"/>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46BA7" w:rsidRPr="00446BA7" w:rsidRDefault="00446BA7" w:rsidP="00446BA7">
            <w:pPr>
              <w:ind w:firstLine="540"/>
              <w:jc w:val="both"/>
              <w:rPr>
                <w:rFonts w:ascii="Times New Roman" w:hAnsi="Times New Roman"/>
              </w:rPr>
            </w:pPr>
            <w:r w:rsidRPr="00446BA7">
              <w:rPr>
                <w:rFonts w:ascii="Times New Roman" w:hAnsi="Times New Roman"/>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446BA7" w:rsidRPr="00446BA7" w:rsidRDefault="00446BA7" w:rsidP="00446BA7">
            <w:pPr>
              <w:ind w:firstLine="540"/>
              <w:jc w:val="both"/>
              <w:rPr>
                <w:rFonts w:ascii="Times New Roman" w:hAnsi="Times New Roman"/>
              </w:rPr>
            </w:pPr>
            <w:r w:rsidRPr="00446BA7">
              <w:rPr>
                <w:rFonts w:ascii="Times New Roman" w:hAnsi="Times New Roman"/>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46BA7" w:rsidRPr="00446BA7" w:rsidRDefault="00446BA7" w:rsidP="00446BA7">
            <w:pPr>
              <w:ind w:firstLine="540"/>
              <w:jc w:val="both"/>
              <w:rPr>
                <w:rFonts w:ascii="Times New Roman" w:hAnsi="Times New Roman"/>
              </w:rPr>
            </w:pPr>
            <w:r w:rsidRPr="00446BA7">
              <w:rPr>
                <w:rFonts w:ascii="Times New Roman" w:hAnsi="Times New Roman"/>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927" w:type="dxa"/>
          </w:tcPr>
          <w:p w:rsidR="005E5AB7" w:rsidRPr="00446BA7" w:rsidRDefault="005E5AB7" w:rsidP="005E5AB7">
            <w:pPr>
              <w:ind w:firstLine="540"/>
              <w:jc w:val="both"/>
              <w:rPr>
                <w:rFonts w:ascii="Times New Roman" w:hAnsi="Times New Roman"/>
              </w:rPr>
            </w:pPr>
            <w:r w:rsidRPr="00446BA7">
              <w:rPr>
                <w:rFonts w:ascii="Times New Roman" w:hAnsi="Times New Roman"/>
              </w:rPr>
              <w:t>28. Управляющая компания не вправе:</w:t>
            </w:r>
          </w:p>
          <w:p w:rsidR="005E5AB7" w:rsidRPr="00446BA7" w:rsidRDefault="005E5AB7" w:rsidP="005E5AB7">
            <w:pPr>
              <w:ind w:firstLine="540"/>
              <w:jc w:val="both"/>
              <w:rPr>
                <w:rFonts w:ascii="Times New Roman" w:hAnsi="Times New Roman"/>
              </w:rPr>
            </w:pPr>
            <w:r w:rsidRPr="00446BA7">
              <w:rPr>
                <w:rFonts w:ascii="Times New Roman" w:hAnsi="Times New Roman"/>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E5AB7" w:rsidRPr="00446BA7" w:rsidRDefault="005E5AB7" w:rsidP="005E5AB7">
            <w:pPr>
              <w:ind w:firstLine="540"/>
              <w:jc w:val="both"/>
              <w:rPr>
                <w:rFonts w:ascii="Times New Roman" w:hAnsi="Times New Roman"/>
              </w:rPr>
            </w:pPr>
            <w:r w:rsidRPr="00446BA7">
              <w:rPr>
                <w:rFonts w:ascii="Times New Roman" w:hAnsi="Times New Roman"/>
              </w:rPr>
              <w:t>2) распоряжаться денежными средствами, находящимися на транзитном счете, без предварительного согласия специализированного депозитария;</w:t>
            </w:r>
          </w:p>
          <w:p w:rsidR="005E5AB7" w:rsidRPr="00446BA7" w:rsidRDefault="005E5AB7" w:rsidP="005E5AB7">
            <w:pPr>
              <w:ind w:firstLine="540"/>
              <w:jc w:val="both"/>
              <w:rPr>
                <w:rFonts w:ascii="Times New Roman" w:hAnsi="Times New Roman"/>
              </w:rPr>
            </w:pPr>
            <w:r w:rsidRPr="00446BA7">
              <w:rPr>
                <w:rFonts w:ascii="Times New Roman" w:hAnsi="Times New Roma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E5AB7" w:rsidRPr="00446BA7" w:rsidRDefault="005E5AB7" w:rsidP="005E5AB7">
            <w:pPr>
              <w:ind w:firstLine="540"/>
              <w:jc w:val="both"/>
              <w:rPr>
                <w:rFonts w:ascii="Times New Roman" w:hAnsi="Times New Roman"/>
              </w:rPr>
            </w:pPr>
            <w:r w:rsidRPr="00446BA7">
              <w:rPr>
                <w:rFonts w:ascii="Times New Roman" w:hAnsi="Times New Roma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5E5AB7" w:rsidRPr="00446BA7" w:rsidRDefault="005E5AB7" w:rsidP="005E5AB7">
            <w:pPr>
              <w:ind w:firstLine="540"/>
              <w:jc w:val="both"/>
              <w:rPr>
                <w:rFonts w:ascii="Times New Roman" w:hAnsi="Times New Roman"/>
              </w:rPr>
            </w:pPr>
            <w:r w:rsidRPr="00446BA7">
              <w:rPr>
                <w:rFonts w:ascii="Times New Roman" w:hAnsi="Times New Roman"/>
              </w:rPr>
              <w:t>5) совершать следующие сделки или давать поручения на совершение следующих сделок:</w:t>
            </w:r>
          </w:p>
          <w:p w:rsidR="005E5AB7" w:rsidRPr="00446BA7" w:rsidRDefault="005E5AB7" w:rsidP="005E5AB7">
            <w:pPr>
              <w:ind w:firstLine="540"/>
              <w:jc w:val="both"/>
              <w:rPr>
                <w:rFonts w:ascii="Times New Roman" w:hAnsi="Times New Roman"/>
              </w:rPr>
            </w:pPr>
            <w:r w:rsidRPr="00446BA7">
              <w:rPr>
                <w:rFonts w:ascii="Times New Roman" w:hAnsi="Times New Roman"/>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5E5AB7" w:rsidRPr="00446BA7" w:rsidRDefault="005E5AB7" w:rsidP="005E5AB7">
            <w:pPr>
              <w:ind w:firstLine="540"/>
              <w:jc w:val="both"/>
              <w:rPr>
                <w:rFonts w:ascii="Times New Roman" w:hAnsi="Times New Roman"/>
              </w:rPr>
            </w:pPr>
            <w:r w:rsidRPr="00446BA7">
              <w:rPr>
                <w:rFonts w:ascii="Times New Roman" w:hAnsi="Times New Roman"/>
              </w:rPr>
              <w:t>б) сделки по безвозмездному отчуждению имущества, составляющего фонд;</w:t>
            </w:r>
          </w:p>
          <w:p w:rsidR="005E5AB7" w:rsidRPr="00446BA7" w:rsidRDefault="005E5AB7" w:rsidP="005E5AB7">
            <w:pPr>
              <w:ind w:firstLine="540"/>
              <w:jc w:val="both"/>
              <w:rPr>
                <w:rFonts w:ascii="Times New Roman" w:hAnsi="Times New Roman"/>
              </w:rPr>
            </w:pPr>
            <w:r w:rsidRPr="00446BA7">
              <w:rPr>
                <w:rFonts w:ascii="Times New Roman" w:hAnsi="Times New Roman"/>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E5AB7" w:rsidRPr="00446BA7" w:rsidRDefault="005E5AB7" w:rsidP="005E5AB7">
            <w:pPr>
              <w:ind w:firstLine="540"/>
              <w:jc w:val="both"/>
              <w:rPr>
                <w:rFonts w:ascii="Times New Roman" w:hAnsi="Times New Roman"/>
              </w:rPr>
            </w:pPr>
            <w:r w:rsidRPr="00446BA7">
              <w:rPr>
                <w:rFonts w:ascii="Times New Roman" w:hAnsi="Times New Roman"/>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E5AB7" w:rsidRPr="00446BA7" w:rsidRDefault="005E5AB7" w:rsidP="005E5AB7">
            <w:pPr>
              <w:ind w:firstLine="540"/>
              <w:jc w:val="both"/>
              <w:rPr>
                <w:rFonts w:ascii="Times New Roman" w:hAnsi="Times New Roman"/>
              </w:rPr>
            </w:pPr>
            <w:r w:rsidRPr="00446BA7">
              <w:rPr>
                <w:rFonts w:ascii="Times New Roman" w:hAnsi="Times New Roman"/>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E5AB7" w:rsidRDefault="005E5AB7" w:rsidP="005E5AB7">
            <w:pPr>
              <w:ind w:firstLine="540"/>
              <w:jc w:val="both"/>
              <w:rPr>
                <w:rFonts w:ascii="Times New Roman" w:hAnsi="Times New Roman"/>
                <w:b/>
                <w:lang w:eastAsia="ru-RU"/>
              </w:rPr>
            </w:pPr>
            <w:r w:rsidRPr="00446BA7">
              <w:rPr>
                <w:rFonts w:ascii="Times New Roman" w:hAnsi="Times New Roman"/>
                <w:lang w:eastAsia="ru-RU"/>
              </w:rPr>
              <w:t xml:space="preserve">е) сделки репо, подлежащие исполнению за счет имущества фонда. </w:t>
            </w:r>
            <w:r w:rsidRPr="005E5AB7">
              <w:rPr>
                <w:rFonts w:ascii="Times New Roman" w:hAnsi="Times New Roman"/>
                <w:b/>
                <w:lang w:eastAsia="ru-RU"/>
              </w:rPr>
              <w:t>Данное ограничение не применяется в случае соблюдения требований, указанных в абзаце 2 подпункта 8 пункта 23 настоящих Правил;</w:t>
            </w: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5E5AB7" w:rsidRDefault="005E5AB7" w:rsidP="005E5AB7">
            <w:pPr>
              <w:ind w:firstLine="540"/>
              <w:jc w:val="both"/>
              <w:rPr>
                <w:rFonts w:ascii="Times New Roman" w:hAnsi="Times New Roman"/>
                <w:b/>
                <w:lang w:eastAsia="ru-RU"/>
              </w:rPr>
            </w:pPr>
          </w:p>
          <w:p w:rsidR="00350280" w:rsidRDefault="00350280" w:rsidP="005E5AB7">
            <w:pPr>
              <w:ind w:firstLine="540"/>
              <w:jc w:val="both"/>
              <w:rPr>
                <w:rFonts w:ascii="Times New Roman" w:hAnsi="Times New Roman"/>
              </w:rPr>
            </w:pPr>
          </w:p>
          <w:p w:rsidR="00350280" w:rsidRDefault="00350280" w:rsidP="005E5AB7">
            <w:pPr>
              <w:ind w:firstLine="540"/>
              <w:jc w:val="both"/>
              <w:rPr>
                <w:rFonts w:ascii="Times New Roman" w:hAnsi="Times New Roman"/>
              </w:rPr>
            </w:pPr>
          </w:p>
          <w:p w:rsidR="00350280" w:rsidRDefault="00350280" w:rsidP="005E5AB7">
            <w:pPr>
              <w:ind w:firstLine="540"/>
              <w:jc w:val="both"/>
              <w:rPr>
                <w:rFonts w:ascii="Times New Roman" w:hAnsi="Times New Roman"/>
              </w:rPr>
            </w:pPr>
          </w:p>
          <w:p w:rsidR="00350280" w:rsidRDefault="00350280" w:rsidP="005E5AB7">
            <w:pPr>
              <w:ind w:firstLine="540"/>
              <w:jc w:val="both"/>
              <w:rPr>
                <w:rFonts w:ascii="Times New Roman" w:hAnsi="Times New Roman"/>
              </w:rPr>
            </w:pPr>
          </w:p>
          <w:p w:rsidR="005E5AB7" w:rsidRPr="00446BA7" w:rsidRDefault="005E5AB7" w:rsidP="005E5AB7">
            <w:pPr>
              <w:ind w:firstLine="540"/>
              <w:jc w:val="both"/>
              <w:rPr>
                <w:rFonts w:ascii="Times New Roman" w:hAnsi="Times New Roman"/>
              </w:rPr>
            </w:pPr>
            <w:r w:rsidRPr="00446BA7">
              <w:rPr>
                <w:rFonts w:ascii="Times New Roman" w:hAnsi="Times New Roman"/>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E5AB7" w:rsidRPr="00446BA7" w:rsidRDefault="005E5AB7" w:rsidP="005E5AB7">
            <w:pPr>
              <w:ind w:firstLine="540"/>
              <w:jc w:val="both"/>
              <w:rPr>
                <w:rFonts w:ascii="Times New Roman" w:hAnsi="Times New Roman"/>
              </w:rPr>
            </w:pPr>
            <w:r w:rsidRPr="00446BA7">
              <w:rPr>
                <w:rFonts w:ascii="Times New Roman" w:hAnsi="Times New Roman"/>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E5AB7" w:rsidRPr="00446BA7" w:rsidRDefault="005E5AB7" w:rsidP="005E5AB7">
            <w:pPr>
              <w:ind w:firstLine="540"/>
              <w:jc w:val="both"/>
              <w:rPr>
                <w:rFonts w:ascii="Times New Roman" w:hAnsi="Times New Roman"/>
              </w:rPr>
            </w:pPr>
            <w:r w:rsidRPr="00446BA7">
              <w:rPr>
                <w:rFonts w:ascii="Times New Roman" w:hAnsi="Times New Roman"/>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E5AB7" w:rsidRPr="00446BA7" w:rsidRDefault="005E5AB7" w:rsidP="005E5AB7">
            <w:pPr>
              <w:ind w:firstLine="540"/>
              <w:jc w:val="both"/>
              <w:rPr>
                <w:rFonts w:ascii="Times New Roman" w:hAnsi="Times New Roman"/>
              </w:rPr>
            </w:pPr>
            <w:r w:rsidRPr="00446BA7">
              <w:rPr>
                <w:rFonts w:ascii="Times New Roman" w:hAnsi="Times New Roman"/>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E5AB7" w:rsidRPr="00446BA7" w:rsidRDefault="005E5AB7" w:rsidP="005E5AB7">
            <w:pPr>
              <w:ind w:firstLine="540"/>
              <w:jc w:val="both"/>
              <w:rPr>
                <w:rFonts w:ascii="Times New Roman" w:hAnsi="Times New Roman"/>
              </w:rPr>
            </w:pPr>
            <w:r w:rsidRPr="00446BA7">
              <w:rPr>
                <w:rFonts w:ascii="Times New Roman" w:hAnsi="Times New Roman"/>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5E5AB7" w:rsidRPr="00446BA7" w:rsidRDefault="005E5AB7" w:rsidP="005E5AB7">
            <w:pPr>
              <w:ind w:firstLine="540"/>
              <w:jc w:val="both"/>
              <w:rPr>
                <w:rFonts w:ascii="Times New Roman" w:hAnsi="Times New Roman"/>
              </w:rPr>
            </w:pPr>
            <w:r w:rsidRPr="00446BA7">
              <w:rPr>
                <w:rFonts w:ascii="Times New Roman" w:hAnsi="Times New Roman"/>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46BA7" w:rsidRDefault="005E5AB7" w:rsidP="005E5AB7">
            <w:pPr>
              <w:ind w:firstLine="743"/>
              <w:jc w:val="both"/>
            </w:pPr>
            <w:r w:rsidRPr="00446BA7">
              <w:rPr>
                <w:rFonts w:ascii="Times New Roman" w:hAnsi="Times New Roman"/>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446BA7" w:rsidTr="00446BA7">
        <w:tc>
          <w:tcPr>
            <w:tcW w:w="4927" w:type="dxa"/>
          </w:tcPr>
          <w:p w:rsidR="00446BA7" w:rsidRPr="00446BA7" w:rsidRDefault="00446BA7" w:rsidP="00446BA7">
            <w:pPr>
              <w:ind w:firstLine="540"/>
              <w:jc w:val="both"/>
              <w:rPr>
                <w:rFonts w:ascii="Times New Roman" w:hAnsi="Times New Roman"/>
              </w:rPr>
            </w:pPr>
            <w:r w:rsidRPr="00446BA7">
              <w:rPr>
                <w:rFonts w:ascii="Times New Roman" w:hAnsi="Times New Roman"/>
              </w:rPr>
              <w:t>99. За счет имущества, составляющего фонд, оплачиваются следующие расходы, связанные с доверительным управлением указанным имуществом:</w:t>
            </w:r>
          </w:p>
          <w:p w:rsidR="00446BA7" w:rsidRPr="00446BA7" w:rsidRDefault="00446BA7" w:rsidP="00446BA7">
            <w:pPr>
              <w:ind w:firstLine="540"/>
              <w:jc w:val="both"/>
              <w:rPr>
                <w:rFonts w:ascii="Times New Roman" w:hAnsi="Times New Roman"/>
              </w:rPr>
            </w:pPr>
            <w:r w:rsidRPr="00446BA7">
              <w:rPr>
                <w:rFonts w:ascii="Times New Roman" w:hAnsi="Times New Roman"/>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446BA7" w:rsidRPr="00446BA7" w:rsidRDefault="00446BA7" w:rsidP="00446BA7">
            <w:pPr>
              <w:ind w:firstLine="540"/>
              <w:jc w:val="both"/>
              <w:rPr>
                <w:rFonts w:ascii="Times New Roman" w:hAnsi="Times New Roman"/>
              </w:rPr>
            </w:pPr>
            <w:r w:rsidRPr="00446BA7">
              <w:rPr>
                <w:rFonts w:ascii="Times New Roman" w:hAnsi="Times New Roman"/>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46BA7" w:rsidRPr="00446BA7" w:rsidRDefault="00446BA7" w:rsidP="00446BA7">
            <w:pPr>
              <w:ind w:firstLine="540"/>
              <w:jc w:val="both"/>
              <w:rPr>
                <w:rFonts w:ascii="Times New Roman" w:hAnsi="Times New Roman"/>
              </w:rPr>
            </w:pPr>
            <w:r w:rsidRPr="00446BA7">
              <w:rPr>
                <w:rFonts w:ascii="Times New Roman" w:hAnsi="Times New Roman"/>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446BA7" w:rsidRPr="00446BA7" w:rsidRDefault="00446BA7" w:rsidP="00446BA7">
            <w:pPr>
              <w:ind w:firstLine="540"/>
              <w:jc w:val="both"/>
              <w:rPr>
                <w:rFonts w:ascii="Times New Roman" w:hAnsi="Times New Roman"/>
              </w:rPr>
            </w:pPr>
            <w:r w:rsidRPr="00446BA7">
              <w:rPr>
                <w:rFonts w:ascii="Times New Roman" w:hAnsi="Times New Roman"/>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46BA7" w:rsidRPr="00446BA7" w:rsidRDefault="00446BA7" w:rsidP="00446BA7">
            <w:pPr>
              <w:ind w:firstLine="540"/>
              <w:jc w:val="both"/>
              <w:rPr>
                <w:rFonts w:ascii="Times New Roman" w:hAnsi="Times New Roman"/>
              </w:rPr>
            </w:pPr>
            <w:r w:rsidRPr="00446BA7">
              <w:rPr>
                <w:rFonts w:ascii="Times New Roman" w:hAnsi="Times New Roman"/>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46BA7" w:rsidRPr="00446BA7" w:rsidRDefault="00446BA7" w:rsidP="00446BA7">
            <w:pPr>
              <w:ind w:firstLine="540"/>
              <w:jc w:val="both"/>
              <w:rPr>
                <w:rFonts w:ascii="Times New Roman" w:hAnsi="Times New Roman"/>
              </w:rPr>
            </w:pPr>
            <w:r w:rsidRPr="00446BA7">
              <w:rPr>
                <w:rFonts w:ascii="Times New Roman" w:hAnsi="Times New Roman"/>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46BA7" w:rsidRPr="00446BA7" w:rsidRDefault="00446BA7" w:rsidP="00446BA7">
            <w:pPr>
              <w:ind w:firstLine="540"/>
              <w:jc w:val="both"/>
              <w:rPr>
                <w:rFonts w:ascii="Times New Roman" w:hAnsi="Times New Roman"/>
              </w:rPr>
            </w:pPr>
            <w:r w:rsidRPr="00446BA7">
              <w:rPr>
                <w:rFonts w:ascii="Times New Roman" w:hAnsi="Times New Roman"/>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46BA7" w:rsidRPr="00446BA7" w:rsidRDefault="00446BA7" w:rsidP="00446BA7">
            <w:pPr>
              <w:ind w:firstLine="540"/>
              <w:jc w:val="both"/>
              <w:rPr>
                <w:rFonts w:ascii="Times New Roman" w:hAnsi="Times New Roman"/>
              </w:rPr>
            </w:pPr>
            <w:r w:rsidRPr="00446BA7">
              <w:rPr>
                <w:rFonts w:ascii="Times New Roman" w:hAnsi="Times New Roman"/>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46BA7" w:rsidRPr="00446BA7" w:rsidRDefault="00446BA7" w:rsidP="00446BA7">
            <w:pPr>
              <w:ind w:firstLine="540"/>
              <w:jc w:val="both"/>
              <w:rPr>
                <w:rFonts w:ascii="Times New Roman" w:hAnsi="Times New Roman"/>
              </w:rPr>
            </w:pPr>
            <w:r w:rsidRPr="00446BA7">
              <w:rPr>
                <w:rFonts w:ascii="Times New Roman" w:hAnsi="Times New Roman"/>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446BA7" w:rsidRPr="00446BA7" w:rsidRDefault="00446BA7" w:rsidP="00446BA7">
            <w:pPr>
              <w:ind w:firstLine="540"/>
              <w:jc w:val="both"/>
              <w:rPr>
                <w:rFonts w:ascii="Times New Roman" w:hAnsi="Times New Roman"/>
              </w:rPr>
            </w:pPr>
            <w:r w:rsidRPr="00446BA7">
              <w:rPr>
                <w:rFonts w:ascii="Times New Roman" w:hAnsi="Times New Roman"/>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46BA7" w:rsidRPr="00446BA7" w:rsidRDefault="00446BA7" w:rsidP="00446BA7">
            <w:pPr>
              <w:ind w:firstLine="540"/>
              <w:jc w:val="both"/>
              <w:rPr>
                <w:rFonts w:ascii="Times New Roman" w:hAnsi="Times New Roman"/>
              </w:rPr>
            </w:pPr>
            <w:r w:rsidRPr="00446BA7">
              <w:rPr>
                <w:rFonts w:ascii="Times New Roman" w:hAnsi="Times New Roman"/>
              </w:rPr>
              <w:t xml:space="preserve">11) иные расходы, не указанные в пункте 99 настоящих Правил, при условии, что такие расходы допустимы в соответствии с Федеральным </w:t>
            </w:r>
            <w:hyperlink r:id="rId12" w:history="1">
              <w:r w:rsidRPr="00446BA7">
                <w:rPr>
                  <w:rFonts w:ascii="Times New Roman" w:hAnsi="Times New Roman"/>
                </w:rPr>
                <w:t>законом</w:t>
              </w:r>
            </w:hyperlink>
            <w:r w:rsidRPr="00446BA7">
              <w:rPr>
                <w:rFonts w:ascii="Times New Roman" w:hAnsi="Times New Roman"/>
              </w:rPr>
              <w:t xml:space="preserve"> «Об инвестиционных фондах» и совокупный предельный размер таких расходов составляет не более 0,1 (Ноль целых одна десятая) процента (включая НДС) среднегодовой стоимости чистых активов фонда.</w:t>
            </w:r>
          </w:p>
          <w:p w:rsidR="00446BA7" w:rsidRPr="00446BA7" w:rsidRDefault="00446BA7" w:rsidP="00446BA7">
            <w:pPr>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46BA7" w:rsidRPr="00446BA7" w:rsidRDefault="00446BA7" w:rsidP="00446BA7">
            <w:pPr>
              <w:ind w:firstLine="540"/>
              <w:jc w:val="both"/>
              <w:rPr>
                <w:rFonts w:ascii="Times New Roman" w:hAnsi="Times New Roman"/>
              </w:rPr>
            </w:pPr>
            <w:r w:rsidRPr="00446BA7">
              <w:rPr>
                <w:rFonts w:ascii="Times New Roman" w:hAnsi="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(включая НДС) среднегодовой стоимости чистых активов фонда, определяемой в порядке, установленном нормативными актами в сфере финансовых рынков.</w:t>
            </w:r>
          </w:p>
        </w:tc>
        <w:tc>
          <w:tcPr>
            <w:tcW w:w="4927" w:type="dxa"/>
          </w:tcPr>
          <w:p w:rsidR="005E5AB7" w:rsidRPr="00446BA7" w:rsidRDefault="005E5AB7" w:rsidP="005E5AB7">
            <w:pPr>
              <w:ind w:firstLine="540"/>
              <w:jc w:val="both"/>
              <w:rPr>
                <w:rFonts w:ascii="Times New Roman" w:hAnsi="Times New Roman"/>
              </w:rPr>
            </w:pPr>
            <w:r w:rsidRPr="00446BA7">
              <w:rPr>
                <w:rFonts w:ascii="Times New Roman" w:hAnsi="Times New Roman"/>
              </w:rPr>
              <w:t>99. За счет имущества, составляющего фонд, оплачиваются следующие расходы, связанные с доверительным управлением указанным имуществом:</w:t>
            </w:r>
          </w:p>
          <w:p w:rsidR="005E5AB7" w:rsidRPr="00446BA7" w:rsidRDefault="005E5AB7" w:rsidP="005E5AB7">
            <w:pPr>
              <w:ind w:firstLine="540"/>
              <w:jc w:val="both"/>
              <w:rPr>
                <w:rFonts w:ascii="Times New Roman" w:hAnsi="Times New Roman"/>
              </w:rPr>
            </w:pPr>
            <w:r w:rsidRPr="00446BA7">
              <w:rPr>
                <w:rFonts w:ascii="Times New Roman" w:hAnsi="Times New Roman"/>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5E5AB7" w:rsidRPr="00446BA7" w:rsidRDefault="005E5AB7" w:rsidP="005E5AB7">
            <w:pPr>
              <w:ind w:firstLine="540"/>
              <w:jc w:val="both"/>
              <w:rPr>
                <w:rFonts w:ascii="Times New Roman" w:hAnsi="Times New Roman"/>
              </w:rPr>
            </w:pPr>
            <w:r w:rsidRPr="00446BA7">
              <w:rPr>
                <w:rFonts w:ascii="Times New Roman" w:hAnsi="Times New Roman"/>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E5AB7" w:rsidRPr="00446BA7" w:rsidRDefault="005E5AB7" w:rsidP="005E5AB7">
            <w:pPr>
              <w:ind w:firstLine="540"/>
              <w:jc w:val="both"/>
              <w:rPr>
                <w:rFonts w:ascii="Times New Roman" w:hAnsi="Times New Roman"/>
              </w:rPr>
            </w:pPr>
            <w:r w:rsidRPr="00446BA7">
              <w:rPr>
                <w:rFonts w:ascii="Times New Roman" w:hAnsi="Times New Roman"/>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5E5AB7" w:rsidRPr="00446BA7" w:rsidRDefault="005E5AB7" w:rsidP="005E5AB7">
            <w:pPr>
              <w:ind w:firstLine="540"/>
              <w:jc w:val="both"/>
              <w:rPr>
                <w:rFonts w:ascii="Times New Roman" w:hAnsi="Times New Roman"/>
              </w:rPr>
            </w:pPr>
            <w:r w:rsidRPr="00446BA7">
              <w:rPr>
                <w:rFonts w:ascii="Times New Roman" w:hAnsi="Times New Roman"/>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5E5AB7" w:rsidRPr="00446BA7" w:rsidRDefault="005E5AB7" w:rsidP="005E5AB7">
            <w:pPr>
              <w:ind w:firstLine="540"/>
              <w:jc w:val="both"/>
              <w:rPr>
                <w:rFonts w:ascii="Times New Roman" w:hAnsi="Times New Roman"/>
              </w:rPr>
            </w:pPr>
            <w:r w:rsidRPr="00446BA7">
              <w:rPr>
                <w:rFonts w:ascii="Times New Roman" w:hAnsi="Times New Roman"/>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E5AB7" w:rsidRPr="00446BA7" w:rsidRDefault="005E5AB7" w:rsidP="005E5AB7">
            <w:pPr>
              <w:ind w:firstLine="540"/>
              <w:jc w:val="both"/>
              <w:rPr>
                <w:rFonts w:ascii="Times New Roman" w:hAnsi="Times New Roman"/>
              </w:rPr>
            </w:pPr>
            <w:r w:rsidRPr="00446BA7">
              <w:rPr>
                <w:rFonts w:ascii="Times New Roman" w:hAnsi="Times New Roman"/>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E5AB7" w:rsidRPr="00446BA7" w:rsidRDefault="005E5AB7" w:rsidP="005E5AB7">
            <w:pPr>
              <w:ind w:firstLine="540"/>
              <w:jc w:val="both"/>
              <w:rPr>
                <w:rFonts w:ascii="Times New Roman" w:hAnsi="Times New Roman"/>
              </w:rPr>
            </w:pPr>
            <w:r w:rsidRPr="00446BA7">
              <w:rPr>
                <w:rFonts w:ascii="Times New Roman" w:hAnsi="Times New Roman"/>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E5AB7" w:rsidRPr="00446BA7" w:rsidRDefault="005E5AB7" w:rsidP="005E5AB7">
            <w:pPr>
              <w:ind w:firstLine="540"/>
              <w:jc w:val="both"/>
              <w:rPr>
                <w:rFonts w:ascii="Times New Roman" w:hAnsi="Times New Roman"/>
              </w:rPr>
            </w:pPr>
            <w:r w:rsidRPr="00446BA7">
              <w:rPr>
                <w:rFonts w:ascii="Times New Roman" w:hAnsi="Times New Roman"/>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E5AB7" w:rsidRPr="00446BA7" w:rsidRDefault="005E5AB7" w:rsidP="005E5AB7">
            <w:pPr>
              <w:ind w:firstLine="540"/>
              <w:jc w:val="both"/>
              <w:rPr>
                <w:rFonts w:ascii="Times New Roman" w:hAnsi="Times New Roman"/>
              </w:rPr>
            </w:pPr>
            <w:r w:rsidRPr="00446BA7">
              <w:rPr>
                <w:rFonts w:ascii="Times New Roman" w:hAnsi="Times New Roman"/>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5E5AB7" w:rsidRPr="00446BA7" w:rsidRDefault="005E5AB7" w:rsidP="005E5AB7">
            <w:pPr>
              <w:ind w:firstLine="540"/>
              <w:jc w:val="both"/>
              <w:rPr>
                <w:rFonts w:ascii="Times New Roman" w:hAnsi="Times New Roman"/>
              </w:rPr>
            </w:pPr>
            <w:r w:rsidRPr="00446BA7">
              <w:rPr>
                <w:rFonts w:ascii="Times New Roman" w:hAnsi="Times New Roman"/>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5E5AB7" w:rsidRPr="00446BA7" w:rsidRDefault="005E5AB7" w:rsidP="005E5AB7">
            <w:pPr>
              <w:ind w:firstLine="540"/>
              <w:jc w:val="both"/>
              <w:rPr>
                <w:rFonts w:ascii="Times New Roman" w:hAnsi="Times New Roman"/>
              </w:rPr>
            </w:pPr>
            <w:r w:rsidRPr="00446BA7">
              <w:rPr>
                <w:rFonts w:ascii="Times New Roman" w:hAnsi="Times New Roman"/>
              </w:rPr>
              <w:t xml:space="preserve">11) иные расходы, не указанные в пункте 99 настоящих Правил, при условии, что такие расходы допустимы в соответствии с Федеральным </w:t>
            </w:r>
            <w:hyperlink r:id="rId13" w:history="1">
              <w:r w:rsidRPr="00446BA7">
                <w:rPr>
                  <w:rFonts w:ascii="Times New Roman" w:hAnsi="Times New Roman"/>
                </w:rPr>
                <w:t>законом</w:t>
              </w:r>
            </w:hyperlink>
            <w:r w:rsidRPr="00446BA7">
              <w:rPr>
                <w:rFonts w:ascii="Times New Roman" w:hAnsi="Times New Roman"/>
              </w:rPr>
              <w:t xml:space="preserve"> «Об инвестиционных фондах» и совокупный предельный размер таких расходов составляет не более 0,1 (Ноль целых одна десятая) процента (включая НДС) среднегодовой стоимости чистых активов фонда.</w:t>
            </w:r>
          </w:p>
          <w:p w:rsidR="005E5AB7" w:rsidRPr="00446BA7" w:rsidRDefault="005E5AB7" w:rsidP="005E5AB7">
            <w:pPr>
              <w:autoSpaceDE w:val="0"/>
              <w:autoSpaceDN w:val="0"/>
              <w:adjustRightInd w:val="0"/>
              <w:ind w:firstLine="540"/>
              <w:jc w:val="both"/>
              <w:rPr>
                <w:rFonts w:ascii="Times New Roman" w:hAnsi="Times New Roman"/>
                <w:lang w:eastAsia="ru-RU"/>
              </w:rPr>
            </w:pPr>
            <w:r w:rsidRPr="00446BA7">
              <w:rPr>
                <w:rFonts w:ascii="Times New Roman" w:hAnsi="Times New Roman"/>
                <w:lang w:eastAsia="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46BA7" w:rsidRDefault="005E5AB7" w:rsidP="005E5AB7">
            <w:pPr>
              <w:ind w:firstLine="743"/>
              <w:jc w:val="both"/>
            </w:pPr>
            <w:r w:rsidRPr="00446BA7">
              <w:rPr>
                <w:rFonts w:ascii="Times New Roman" w:hAnsi="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5E5AB7">
              <w:rPr>
                <w:rFonts w:ascii="Times New Roman" w:hAnsi="Times New Roman"/>
                <w:b/>
              </w:rPr>
              <w:t>5</w:t>
            </w:r>
            <w:r w:rsidRPr="00446BA7">
              <w:rPr>
                <w:rFonts w:ascii="Times New Roman" w:hAnsi="Times New Roman"/>
                <w:b/>
              </w:rPr>
              <w:t xml:space="preserve"> (</w:t>
            </w:r>
            <w:r w:rsidRPr="005E5AB7">
              <w:rPr>
                <w:rFonts w:ascii="Times New Roman" w:hAnsi="Times New Roman"/>
                <w:b/>
              </w:rPr>
              <w:t>Пять</w:t>
            </w:r>
            <w:r w:rsidRPr="00446BA7">
              <w:rPr>
                <w:rFonts w:ascii="Times New Roman" w:hAnsi="Times New Roman"/>
                <w:b/>
              </w:rPr>
              <w:t>) процент</w:t>
            </w:r>
            <w:r w:rsidRPr="005E5AB7">
              <w:rPr>
                <w:rFonts w:ascii="Times New Roman" w:hAnsi="Times New Roman"/>
                <w:b/>
              </w:rPr>
              <w:t>ов</w:t>
            </w:r>
            <w:r w:rsidRPr="00446BA7">
              <w:rPr>
                <w:rFonts w:ascii="Times New Roman" w:hAnsi="Times New Roman"/>
              </w:rPr>
              <w:t xml:space="preserve"> (включая НДС) среднегодовой стоимости чистых активов фонда, определяемой в порядке, установленном нормативными актами в сфере финансовых рынков.</w:t>
            </w:r>
          </w:p>
        </w:tc>
      </w:tr>
    </w:tbl>
    <w:p w:rsidR="00446BA7" w:rsidRDefault="00446BA7" w:rsidP="005E5AB7"/>
    <w:p w:rsidR="00750340" w:rsidRDefault="00750340" w:rsidP="005E5AB7"/>
    <w:p w:rsidR="005E5AB7" w:rsidRPr="005E5AB7" w:rsidRDefault="005E5AB7" w:rsidP="005E5AB7">
      <w:pPr>
        <w:autoSpaceDE w:val="0"/>
        <w:autoSpaceDN w:val="0"/>
        <w:adjustRightInd w:val="0"/>
        <w:spacing w:after="0" w:line="240" w:lineRule="auto"/>
        <w:jc w:val="both"/>
        <w:rPr>
          <w:rFonts w:ascii="Times New Roman" w:hAnsi="Times New Roman"/>
          <w:lang w:eastAsia="ru-RU"/>
        </w:rPr>
      </w:pPr>
      <w:r w:rsidRPr="005E5AB7">
        <w:rPr>
          <w:rFonts w:ascii="Times New Roman" w:hAnsi="Times New Roman"/>
          <w:lang w:eastAsia="ru-RU"/>
        </w:rPr>
        <w:t>Генеральный директор</w:t>
      </w:r>
    </w:p>
    <w:p w:rsidR="005E5AB7" w:rsidRPr="005E5AB7" w:rsidRDefault="005E5AB7" w:rsidP="005E5AB7">
      <w:pPr>
        <w:spacing w:after="0" w:line="240" w:lineRule="auto"/>
        <w:rPr>
          <w:rFonts w:ascii="Times New Roman" w:hAnsi="Times New Roman"/>
          <w:lang w:eastAsia="ru-RU"/>
        </w:rPr>
      </w:pPr>
      <w:r w:rsidRPr="005E5AB7">
        <w:rPr>
          <w:rFonts w:ascii="Times New Roman" w:hAnsi="Times New Roman"/>
          <w:lang w:eastAsia="ru-RU"/>
        </w:rPr>
        <w:t xml:space="preserve">ООО «УК «Атон-менеджмент»            </w:t>
      </w:r>
      <w:r w:rsidRPr="005E5AB7">
        <w:rPr>
          <w:rFonts w:ascii="Times New Roman" w:hAnsi="Times New Roman"/>
          <w:lang w:eastAsia="ru-RU"/>
        </w:rPr>
        <w:tab/>
      </w:r>
      <w:r w:rsidRPr="005E5AB7">
        <w:rPr>
          <w:rFonts w:ascii="Times New Roman" w:hAnsi="Times New Roman"/>
          <w:lang w:eastAsia="ru-RU"/>
        </w:rPr>
        <w:tab/>
        <w:t xml:space="preserve">           _____________</w:t>
      </w:r>
      <w:r w:rsidRPr="005E5AB7">
        <w:rPr>
          <w:rFonts w:ascii="Times New Roman" w:hAnsi="Times New Roman"/>
          <w:lang w:eastAsia="ru-RU"/>
        </w:rPr>
        <w:tab/>
        <w:t xml:space="preserve">   / Кузякин М.А./</w:t>
      </w:r>
    </w:p>
    <w:p w:rsidR="005E5AB7" w:rsidRPr="005E5AB7" w:rsidRDefault="005E5AB7" w:rsidP="005E5AB7">
      <w:pPr>
        <w:spacing w:after="0" w:line="240" w:lineRule="auto"/>
        <w:jc w:val="center"/>
        <w:rPr>
          <w:rFonts w:ascii="Times New Roman" w:hAnsi="Times New Roman"/>
          <w:color w:val="999999"/>
          <w:lang w:val="en-US" w:eastAsia="ru-RU"/>
        </w:rPr>
      </w:pPr>
      <w:r w:rsidRPr="005E5AB7">
        <w:rPr>
          <w:rFonts w:ascii="Times New Roman" w:hAnsi="Times New Roman"/>
          <w:lang w:eastAsia="ru-RU"/>
        </w:rPr>
        <w:t xml:space="preserve">                       М.П.</w:t>
      </w:r>
    </w:p>
    <w:p w:rsidR="005E5AB7" w:rsidRDefault="005E5AB7" w:rsidP="005E5AB7"/>
    <w:p w:rsidR="005E5AB7" w:rsidRDefault="005E5AB7" w:rsidP="005E5AB7"/>
    <w:sectPr w:rsidR="005E5AB7" w:rsidSect="00750340">
      <w:footerReference w:type="default" r:id="rId14"/>
      <w:pgSz w:w="11906" w:h="16838"/>
      <w:pgMar w:top="851" w:right="851" w:bottom="851"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0A" w:rsidRDefault="00281F0A" w:rsidP="00750340">
      <w:pPr>
        <w:spacing w:after="0" w:line="240" w:lineRule="auto"/>
      </w:pPr>
      <w:r>
        <w:separator/>
      </w:r>
    </w:p>
  </w:endnote>
  <w:endnote w:type="continuationSeparator" w:id="0">
    <w:p w:rsidR="00281F0A" w:rsidRDefault="00281F0A" w:rsidP="0075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40" w:rsidRDefault="00D70F3F">
    <w:pPr>
      <w:pStyle w:val="a6"/>
      <w:jc w:val="center"/>
    </w:pPr>
    <w:fldSimple w:instr="PAGE   \* MERGEFORMAT">
      <w:r w:rsidR="00656F1B">
        <w:rPr>
          <w:noProof/>
        </w:rPr>
        <w:t>1</w:t>
      </w:r>
    </w:fldSimple>
  </w:p>
  <w:p w:rsidR="00750340" w:rsidRDefault="007503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0A" w:rsidRDefault="00281F0A" w:rsidP="00750340">
      <w:pPr>
        <w:spacing w:after="0" w:line="240" w:lineRule="auto"/>
      </w:pPr>
      <w:r>
        <w:separator/>
      </w:r>
    </w:p>
  </w:footnote>
  <w:footnote w:type="continuationSeparator" w:id="0">
    <w:p w:rsidR="00281F0A" w:rsidRDefault="00281F0A" w:rsidP="00750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6BA7"/>
    <w:rsid w:val="00281F0A"/>
    <w:rsid w:val="00350280"/>
    <w:rsid w:val="0038691F"/>
    <w:rsid w:val="003A45A5"/>
    <w:rsid w:val="00446BA7"/>
    <w:rsid w:val="005E5AB7"/>
    <w:rsid w:val="00656F1B"/>
    <w:rsid w:val="00750340"/>
    <w:rsid w:val="007B2344"/>
    <w:rsid w:val="00C650E8"/>
    <w:rsid w:val="00D70F3F"/>
    <w:rsid w:val="00EE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3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BA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0340"/>
    <w:pPr>
      <w:tabs>
        <w:tab w:val="center" w:pos="4677"/>
        <w:tab w:val="right" w:pos="9355"/>
      </w:tabs>
      <w:spacing w:after="0" w:line="240" w:lineRule="auto"/>
    </w:pPr>
  </w:style>
  <w:style w:type="paragraph" w:styleId="a6">
    <w:name w:val="footer"/>
    <w:basedOn w:val="a"/>
    <w:link w:val="a7"/>
    <w:uiPriority w:val="99"/>
    <w:unhideWhenUsed/>
    <w:rsid w:val="0075034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50340"/>
    <w:rPr>
      <w:rFonts w:cs="Times New Roman"/>
    </w:rPr>
  </w:style>
  <w:style w:type="character" w:customStyle="1" w:styleId="a7">
    <w:name w:val="Нижний колонтитул Знак"/>
    <w:basedOn w:val="a0"/>
    <w:link w:val="a6"/>
    <w:uiPriority w:val="99"/>
    <w:locked/>
    <w:rsid w:val="007503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BB00C07116DD55FAA56725858F40329BB35D8297D079511A75EC34950BIAL8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BB00C07116DD55FAA56725858F40329BB35D8297D079511A75EC34950BIAL8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4BDD9628D7DE185046F8A7B7E9EFE57086349F2DD2E2F507F6A1CDD4D33C491352D6403CACCA5C7WEN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24BDD9628D7DE185046F8A7B7E9EFE57086349F2DD2E2F507F6A1CDD4D33C491352D6403CACCA5C7WE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018_частично действующая редакция</Статус_x0020_документа>
    <_EndDate xmlns="http://schemas.microsoft.com/sharepoint/v3/fields">26.06.2018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BC48-2B64-4943-B8E2-C21154F7BA3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8CE0966-ABC6-4ED5-8FE0-7D47A6C31C2F}">
  <ds:schemaRefs>
    <ds:schemaRef ds:uri="http://schemas.microsoft.com/sharepoint/v3/contenttype/forms"/>
  </ds:schemaRefs>
</ds:datastoreItem>
</file>

<file path=customXml/itemProps3.xml><?xml version="1.0" encoding="utf-8"?>
<ds:datastoreItem xmlns:ds="http://schemas.openxmlformats.org/officeDocument/2006/customXml" ds:itemID="{9B036728-CF68-48E6-B45B-CF8B3468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5D5909-C3EA-453A-BEED-C5059818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6507</Words>
  <Characters>37095</Characters>
  <Application>Microsoft Office Word</Application>
  <DocSecurity>0</DocSecurity>
  <Lines>309</Lines>
  <Paragraphs>87</Paragraphs>
  <ScaleCrop>false</ScaleCrop>
  <Company>ATON</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Gaifullina Ilmira</dc:creator>
  <cp:lastModifiedBy>voronovskaya.v</cp:lastModifiedBy>
  <cp:revision>2</cp:revision>
  <dcterms:created xsi:type="dcterms:W3CDTF">2018-07-05T11:50:00Z</dcterms:created>
  <dcterms:modified xsi:type="dcterms:W3CDTF">2018-07-05T11:50:00Z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