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81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680A81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Генерал</w:t>
      </w:r>
      <w:r w:rsidR="00524141">
        <w:rPr>
          <w:bCs/>
          <w:sz w:val="22"/>
          <w:szCs w:val="22"/>
        </w:rPr>
        <w:t xml:space="preserve">ьного директора от </w:t>
      </w:r>
      <w:r w:rsidR="00D2019E">
        <w:rPr>
          <w:bCs/>
          <w:sz w:val="22"/>
          <w:szCs w:val="22"/>
        </w:rPr>
        <w:t>«</w:t>
      </w:r>
      <w:r w:rsidR="00083C2C" w:rsidRPr="00083C2C">
        <w:rPr>
          <w:bCs/>
          <w:sz w:val="22"/>
          <w:szCs w:val="22"/>
        </w:rPr>
        <w:t>03</w:t>
      </w:r>
      <w:r w:rsidR="00D2019E">
        <w:rPr>
          <w:bCs/>
          <w:sz w:val="22"/>
          <w:szCs w:val="22"/>
        </w:rPr>
        <w:t xml:space="preserve">» </w:t>
      </w:r>
      <w:r w:rsidR="00083C2C">
        <w:rPr>
          <w:bCs/>
          <w:sz w:val="22"/>
          <w:szCs w:val="22"/>
        </w:rPr>
        <w:t xml:space="preserve">сентября </w:t>
      </w:r>
      <w:r>
        <w:rPr>
          <w:bCs/>
          <w:sz w:val="22"/>
          <w:szCs w:val="22"/>
        </w:rPr>
        <w:t>201</w:t>
      </w:r>
      <w:r w:rsidR="00A56055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года</w:t>
      </w:r>
    </w:p>
    <w:p w:rsidR="00680A81" w:rsidRPr="00DC1FA4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B40345">
        <w:rPr>
          <w:bCs/>
          <w:sz w:val="22"/>
          <w:szCs w:val="22"/>
        </w:rPr>
        <w:t xml:space="preserve">Кузякин </w:t>
      </w:r>
      <w:r>
        <w:rPr>
          <w:bCs/>
          <w:sz w:val="22"/>
          <w:szCs w:val="22"/>
        </w:rPr>
        <w:t xml:space="preserve">М. </w:t>
      </w:r>
      <w:r w:rsidR="00B40345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680A81" w:rsidRPr="00DA6CC5" w:rsidRDefault="00680A81" w:rsidP="00680A81">
      <w:pPr>
        <w:pStyle w:val="a3"/>
        <w:spacing w:line="360" w:lineRule="auto"/>
        <w:rPr>
          <w:bCs/>
          <w:sz w:val="22"/>
          <w:szCs w:val="22"/>
        </w:rPr>
      </w:pPr>
    </w:p>
    <w:p w:rsidR="00CE5507" w:rsidRPr="00CE34AC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531CB2">
        <w:rPr>
          <w:b/>
          <w:bCs/>
          <w:sz w:val="22"/>
          <w:szCs w:val="22"/>
        </w:rPr>
        <w:t xml:space="preserve">зменения и дополнения № </w:t>
      </w:r>
      <w:r w:rsidRPr="00434C7A">
        <w:rPr>
          <w:b/>
          <w:bCs/>
          <w:sz w:val="22"/>
          <w:szCs w:val="22"/>
        </w:rPr>
        <w:t>1</w:t>
      </w:r>
      <w:r w:rsidR="00CB1D46">
        <w:rPr>
          <w:b/>
          <w:bCs/>
          <w:sz w:val="22"/>
          <w:szCs w:val="22"/>
        </w:rPr>
        <w:t>9</w:t>
      </w:r>
    </w:p>
    <w:p w:rsidR="00CE5507" w:rsidRPr="00531CB2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531CB2">
        <w:rPr>
          <w:b/>
          <w:bCs/>
          <w:sz w:val="22"/>
          <w:szCs w:val="22"/>
        </w:rPr>
        <w:t>равила доверительного управления</w:t>
      </w:r>
    </w:p>
    <w:p w:rsidR="00CE5507" w:rsidRPr="00531CB2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531CB2">
        <w:rPr>
          <w:b/>
          <w:bCs/>
          <w:sz w:val="22"/>
          <w:szCs w:val="22"/>
        </w:rPr>
        <w:t xml:space="preserve">ткрытым паевым инвестиционным фондом </w:t>
      </w:r>
      <w:r w:rsidR="00307A1C" w:rsidRPr="00EF79B5">
        <w:rPr>
          <w:b/>
          <w:sz w:val="22"/>
          <w:szCs w:val="22"/>
        </w:rPr>
        <w:t xml:space="preserve">рыночных финансовых </w:t>
      </w:r>
      <w:r w:rsidR="00307A1C" w:rsidRPr="00125EAA">
        <w:rPr>
          <w:b/>
          <w:sz w:val="22"/>
          <w:szCs w:val="22"/>
        </w:rPr>
        <w:t xml:space="preserve">инструментов «АТОН </w:t>
      </w:r>
      <w:proofErr w:type="gramStart"/>
      <w:r w:rsidR="00307A1C" w:rsidRPr="00125EAA">
        <w:rPr>
          <w:b/>
          <w:sz w:val="22"/>
          <w:szCs w:val="22"/>
        </w:rPr>
        <w:t>-И</w:t>
      </w:r>
      <w:proofErr w:type="gramEnd"/>
      <w:r w:rsidR="00307A1C" w:rsidRPr="00125EAA">
        <w:rPr>
          <w:b/>
          <w:sz w:val="22"/>
          <w:szCs w:val="22"/>
        </w:rPr>
        <w:t>НФРАСТРУКТУРА»</w:t>
      </w:r>
    </w:p>
    <w:p w:rsidR="003913A6" w:rsidRDefault="00CE5507" w:rsidP="006400F0">
      <w:pPr>
        <w:jc w:val="center"/>
        <w:rPr>
          <w:sz w:val="20"/>
          <w:szCs w:val="20"/>
        </w:rPr>
      </w:pPr>
      <w:proofErr w:type="gramStart"/>
      <w:r w:rsidRPr="00531CB2">
        <w:rPr>
          <w:sz w:val="20"/>
          <w:szCs w:val="20"/>
        </w:rPr>
        <w:t xml:space="preserve">(Правила доверительного управления </w:t>
      </w:r>
      <w:proofErr w:type="gramEnd"/>
    </w:p>
    <w:p w:rsidR="00CE5507" w:rsidRPr="00531CB2" w:rsidRDefault="00CE5507" w:rsidP="00CE5507">
      <w:pPr>
        <w:jc w:val="center"/>
        <w:rPr>
          <w:sz w:val="20"/>
          <w:szCs w:val="20"/>
        </w:rPr>
      </w:pPr>
      <w:r w:rsidRPr="00531CB2">
        <w:rPr>
          <w:sz w:val="20"/>
          <w:szCs w:val="20"/>
        </w:rPr>
        <w:t xml:space="preserve"> </w:t>
      </w:r>
      <w:proofErr w:type="gramStart"/>
      <w:r w:rsidRPr="00531CB2">
        <w:rPr>
          <w:sz w:val="20"/>
          <w:szCs w:val="20"/>
        </w:rPr>
        <w:t>зарегистрированы</w:t>
      </w:r>
      <w:proofErr w:type="gramEnd"/>
      <w:r w:rsidRPr="00531CB2">
        <w:rPr>
          <w:sz w:val="20"/>
          <w:szCs w:val="20"/>
        </w:rPr>
        <w:t xml:space="preserve"> ФСФР России 2 октября 2007 года за № 1008-94131435</w:t>
      </w:r>
      <w:r w:rsidR="00531CB2" w:rsidRPr="00531CB2">
        <w:rPr>
          <w:sz w:val="20"/>
          <w:szCs w:val="20"/>
        </w:rPr>
        <w:t>)</w:t>
      </w:r>
    </w:p>
    <w:p w:rsidR="00BF0738" w:rsidRPr="00531CB2" w:rsidRDefault="00BF0738" w:rsidP="00BA2B8B">
      <w:pPr>
        <w:pStyle w:val="a3"/>
        <w:spacing w:line="360" w:lineRule="auto"/>
        <w:jc w:val="both"/>
        <w:rPr>
          <w:bCs/>
          <w:sz w:val="22"/>
          <w:szCs w:val="22"/>
        </w:rPr>
      </w:pPr>
    </w:p>
    <w:tbl>
      <w:tblPr>
        <w:tblW w:w="10237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5133"/>
      </w:tblGrid>
      <w:tr w:rsidR="0079404B" w:rsidRPr="00531CB2" w:rsidTr="002B6DB5">
        <w:trPr>
          <w:trHeight w:val="435"/>
          <w:jc w:val="center"/>
        </w:trPr>
        <w:tc>
          <w:tcPr>
            <w:tcW w:w="5104" w:type="dxa"/>
          </w:tcPr>
          <w:p w:rsidR="0079404B" w:rsidRPr="00531CB2" w:rsidRDefault="004D4D0B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79404B" w:rsidRPr="00531CB2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133" w:type="dxa"/>
          </w:tcPr>
          <w:p w:rsidR="002B6DB5" w:rsidRPr="00531CB2" w:rsidRDefault="004D4D0B" w:rsidP="00BA2B8B">
            <w:pPr>
              <w:pStyle w:val="Con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9404B" w:rsidRPr="00531CB2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2B6DB5" w:rsidRPr="00531CB2" w:rsidTr="00F95078">
        <w:trPr>
          <w:trHeight w:val="309"/>
          <w:jc w:val="center"/>
        </w:trPr>
        <w:tc>
          <w:tcPr>
            <w:tcW w:w="5104" w:type="dxa"/>
          </w:tcPr>
          <w:p w:rsidR="002B6DB5" w:rsidRPr="00751B9A" w:rsidRDefault="002B6DB5" w:rsidP="002B6DB5">
            <w:pPr>
              <w:ind w:firstLine="540"/>
              <w:jc w:val="both"/>
            </w:pPr>
            <w:r w:rsidRPr="00D96C6F">
              <w:rPr>
                <w:sz w:val="22"/>
                <w:szCs w:val="22"/>
              </w:rPr>
              <w:t>28. Управляющая компания не вправе: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1) распоряжаться имуществом, составляющим фонд, без предварительного согласия специализированного депозитария, за исключением сделок, совершаемых на организованных торгах, проводимых российской или иностранной биржей либо иным организатором торговли;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2) распоряжаться денежными средствами, находящимися на транзитном счете, без предварительного согласия специализированного депозитария;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3) использовать имущество, составляющее фонд, для обеспечения исполнения собственных обязательств, не связанных с доверительным управлением фондом, или для обеспечения исполнения обязатель</w:t>
            </w:r>
            <w:proofErr w:type="gramStart"/>
            <w:r w:rsidRPr="00751B9A">
              <w:rPr>
                <w:sz w:val="22"/>
                <w:szCs w:val="22"/>
              </w:rPr>
              <w:t>ств тр</w:t>
            </w:r>
            <w:proofErr w:type="gramEnd"/>
            <w:r w:rsidRPr="00751B9A">
              <w:rPr>
                <w:sz w:val="22"/>
                <w:szCs w:val="22"/>
              </w:rPr>
              <w:t>етьих лиц;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4) взимать проценты за пользование денежными средствами управляющей компании, предоставленными для выплаты денежной компенсации владельцам инвестиционных паев или для проведения операции обмена инвестиционных паев, в случае недостаточности денежных средств, составляющих фонд;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5) совершать следующие сделки или давать поручения на совершение следующих сделок: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а) сделки по приобретению за счет имущества, составляющего фонд, объектов, не предусмотренных Федеральным законом «Об инвестиционных фондах», нормативными актами в сфере финансовых рынков, инвестиционной декларацией фонда;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б) сделки по безвозмездному отчуждению имущества, составляющего фонд;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в) сделки, в результате которых управляющей компанией принимается обязанность по передаче имущества, которое в момент принятия такой обязанности не составляет фонд, за исключением сделок, совершаемых на организованных торгах, при условии осуществления клиринга по таким сделкам;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 xml:space="preserve">г) сделки по приобретению имущества, </w:t>
            </w:r>
            <w:r w:rsidRPr="00751B9A">
              <w:rPr>
                <w:sz w:val="22"/>
                <w:szCs w:val="22"/>
              </w:rPr>
              <w:lastRenderedPageBreak/>
              <w:t>являющегося предметом залога или иного обеспечения, в результате которых в состав фонда включается имущество, являющееся предметом залога или иного обеспечения;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д) договоры займа или кредитные договоры, возврат денежных средств по которым осуществляется за счет имущества фонда, за исключением случаев получения денежных сре</w:t>
            </w:r>
            <w:proofErr w:type="gramStart"/>
            <w:r w:rsidRPr="00751B9A">
              <w:rPr>
                <w:sz w:val="22"/>
                <w:szCs w:val="22"/>
              </w:rPr>
              <w:t>дств дл</w:t>
            </w:r>
            <w:proofErr w:type="gramEnd"/>
            <w:r w:rsidRPr="00751B9A">
              <w:rPr>
                <w:sz w:val="22"/>
                <w:szCs w:val="22"/>
              </w:rPr>
              <w:t>я погашения или обмена инвестиционных паев при недостаточности денежных средств, составляющих фонд. При этом совокупный объем задолженности, подлежащей погашению за счет имущества, составляющего фонд, по всем договорам займа и кредитным договорам не должен превышать 20 процентов стоимости чистых активов фонда, а срок привлечения заемных средств по каждому договору займа и кредитному договору (включая срок продления) не может превышать 6 месяцев;</w:t>
            </w:r>
          </w:p>
          <w:p w:rsidR="002B6DB5" w:rsidRPr="006425C7" w:rsidRDefault="002B6DB5" w:rsidP="002B6DB5">
            <w:pPr>
              <w:ind w:firstLine="540"/>
              <w:jc w:val="both"/>
              <w:rPr>
                <w:b/>
              </w:rPr>
            </w:pPr>
            <w:r w:rsidRPr="00751B9A">
              <w:rPr>
                <w:sz w:val="22"/>
                <w:szCs w:val="22"/>
              </w:rPr>
              <w:t xml:space="preserve">е) сделки репо, подлежащие исполнению за счет имущества фонда. </w:t>
            </w:r>
            <w:r w:rsidRPr="006425C7">
              <w:rPr>
                <w:b/>
                <w:sz w:val="22"/>
                <w:szCs w:val="22"/>
              </w:rPr>
              <w:t>Если иное не предусмотрено нормативными актами в сфере финансовых рынков, данное ограничение не применяется в случае одновременного соблюдения следующих требований:</w:t>
            </w:r>
          </w:p>
          <w:p w:rsidR="002B6DB5" w:rsidRPr="006425C7" w:rsidRDefault="002B6DB5" w:rsidP="002B6D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5C7">
              <w:rPr>
                <w:rFonts w:ascii="Times New Roman" w:hAnsi="Times New Roman" w:cs="Times New Roman"/>
                <w:b/>
                <w:sz w:val="22"/>
                <w:szCs w:val="22"/>
              </w:rPr>
              <w:t>- сделка репо заключается на торгах организатора торговли на рынке ценных бумаг;</w:t>
            </w:r>
          </w:p>
          <w:p w:rsidR="002B6DB5" w:rsidRPr="006425C7" w:rsidRDefault="002B6DB5" w:rsidP="002B6D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5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сумма первой части репо, предусматривающей приобретение ценных бумаг в состав активов фонда, меньше суммы второй части репо. При этом в случае заключения сделки по покупке (продаже) ценных бумаг, предусматривающей обязательство по обратной продаже (покупке) ценных бумаг, в целях настоящих Правил первой частью репо считается обязательство по покупке (продаже) ценных бумаг, а второй частью репо - обязательство по обратной продаже (покупке) ценных бумаг. </w:t>
            </w:r>
            <w:proofErr w:type="gramStart"/>
            <w:r w:rsidRPr="006425C7">
              <w:rPr>
                <w:rFonts w:ascii="Times New Roman" w:hAnsi="Times New Roman" w:cs="Times New Roman"/>
                <w:b/>
                <w:sz w:val="22"/>
                <w:szCs w:val="22"/>
              </w:rPr>
              <w:t>В случае заключения одновременно с одним и тем же лицом взаимосвязанных сделок купли-продажи по продаже (покупке) и последующей покупке (продаже) ценных бумаг в целях настоящих Правил первой частью репо считается обязательство, возникшее из сделки по продаже (покупке) ценных бумаг, а второй частью репо - обязательство, возникшее из сделки по последующей покупке (продаже) ценных бумаг;</w:t>
            </w:r>
            <w:proofErr w:type="gramEnd"/>
          </w:p>
          <w:p w:rsidR="002B6DB5" w:rsidRPr="006425C7" w:rsidRDefault="002B6DB5" w:rsidP="002B6D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5C7">
              <w:rPr>
                <w:rFonts w:ascii="Times New Roman" w:hAnsi="Times New Roman" w:cs="Times New Roman"/>
                <w:b/>
                <w:sz w:val="22"/>
                <w:szCs w:val="22"/>
              </w:rPr>
              <w:t>- сумма первой части репо, предусматривающей продажу ценных бумаг из состава активов фонда, превышает сумму второй части репо;</w:t>
            </w:r>
          </w:p>
          <w:p w:rsidR="002B6DB5" w:rsidRPr="006425C7" w:rsidRDefault="002B6DB5" w:rsidP="002B6D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5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общее количество ценных бумаг (общая сумма денежных средств), составляющих активы фонда, с учетом ценных бумаг (денежных средств), приобретенных (полученных) в состав активов фонда по первой части репо, до прекращения второй части репо не может составлять менее количества ценных бумаг (суммы денежных средств), </w:t>
            </w:r>
            <w:r w:rsidRPr="006425C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приобретенных (полученных) по первой части репо;</w:t>
            </w:r>
          </w:p>
          <w:p w:rsidR="002B6DB5" w:rsidRPr="006425C7" w:rsidRDefault="002B6DB5" w:rsidP="002B6D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5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срок исполнения второй части репо не превышает 30 дней </w:t>
            </w:r>
            <w:proofErr w:type="gramStart"/>
            <w:r w:rsidRPr="006425C7">
              <w:rPr>
                <w:rFonts w:ascii="Times New Roman" w:hAnsi="Times New Roman" w:cs="Times New Roman"/>
                <w:b/>
                <w:sz w:val="22"/>
                <w:szCs w:val="22"/>
              </w:rPr>
              <w:t>с даты заключения</w:t>
            </w:r>
            <w:proofErr w:type="gramEnd"/>
            <w:r w:rsidRPr="006425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сделки репо;</w:t>
            </w:r>
          </w:p>
          <w:p w:rsidR="002B6DB5" w:rsidRPr="006425C7" w:rsidRDefault="002B6DB5" w:rsidP="002B6D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5C7">
              <w:rPr>
                <w:rFonts w:ascii="Times New Roman" w:hAnsi="Times New Roman" w:cs="Times New Roman"/>
                <w:b/>
                <w:sz w:val="22"/>
                <w:szCs w:val="22"/>
              </w:rPr>
              <w:t>- на момент заключения сделки репо эмитентом ценных бумаг, в отношении которых заключена указанная сделка, не раскрыта информация о принятии решения о реорганизации эмитента, о конвертации ценных бумаг, о праве владельца ценных бумаг предъявить их к досрочному погашению, об отказе или об отсрочке исполнения обязательств по ценным бумагам;</w:t>
            </w:r>
          </w:p>
          <w:p w:rsidR="002B6DB5" w:rsidRPr="006425C7" w:rsidRDefault="002B6DB5" w:rsidP="002B6D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5C7">
              <w:rPr>
                <w:rFonts w:ascii="Times New Roman" w:hAnsi="Times New Roman" w:cs="Times New Roman"/>
                <w:b/>
                <w:sz w:val="22"/>
                <w:szCs w:val="22"/>
              </w:rPr>
              <w:t>- на момент заключения сделки репо просрочка исполнения денежных обязательств по ценным бумагам, в отношении которых заключена указанная сделка, составляет менее 7 дней;</w:t>
            </w:r>
          </w:p>
          <w:p w:rsidR="002B6DB5" w:rsidRPr="006425C7" w:rsidRDefault="002B6DB5" w:rsidP="002B6DB5">
            <w:pPr>
              <w:ind w:firstLine="540"/>
              <w:jc w:val="both"/>
              <w:rPr>
                <w:b/>
              </w:rPr>
            </w:pPr>
            <w:r w:rsidRPr="006425C7">
              <w:rPr>
                <w:b/>
                <w:sz w:val="22"/>
                <w:szCs w:val="22"/>
              </w:rPr>
              <w:t>- на момент заключения сделки репо не раскрыта информация о принятии решения о признании эмитента ценных бумаг, в отношении которых заключается указанная сделка, банкротом;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D96C6F">
              <w:rPr>
                <w:sz w:val="22"/>
                <w:szCs w:val="22"/>
              </w:rPr>
              <w:t>ж) сделки по приобретению в состав фонда имущества, находящегося у управляющей компании в доверительном управлении по иным договорам, и имущества, составляющего активы акционерного инвестиционного фонда</w:t>
            </w:r>
            <w:r w:rsidRPr="00751B9A">
              <w:rPr>
                <w:sz w:val="22"/>
                <w:szCs w:val="22"/>
              </w:rPr>
              <w:t>, в котором управляющая компания выполняет функции единоличного исполнительного органа;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з) сделки по отчуждению имущества, составляющего фонд, в состав имущества, находящегося у управляющей компании в доверительном управлении по иным договорам, или в состав имущества, составляющего активы акционерного инвестиционного фонда, в котором управляющая компания выполняет функции единоличного исполнительного органа;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и) сделки по приобретению в состав фонда ценных бумаг, выпущенных (выданных) участниками управляющей компании, их основными и преобладающими хозяйственными обществами, дочерними и зависимыми обществами управляющей компании, а также специализированным депозитарием, аудиторской организацией, регистратором;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к) сделки по приобретению в состав фонда имущества, принадлежащего управляющей компании, ее участникам, основным и преобладающим хозяйственным обществам ее участников, ее дочерним и зависимым обществам, либо по отчуждению имущества, составляющего фонд, указанным лицам;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л) сделки по приобретению в состав фонда имущества у специализированного депозитария, аудиторской организации, с которыми управляющей компанией заключены договоры, либо по отчуждению имущества указанным лицам, за исключением случаев оплаты расходов, перечисленных в пункте 99 настоящих Правил, а также иных случаев, предусмотренных настоящими Правилами;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м) сделки по приобретению в состав фонда ценных бумаг, выпущенных (выданных) управляющей компанией, а также акционерным инвестиционным фондом,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компания;</w:t>
            </w:r>
          </w:p>
          <w:p w:rsidR="002B6DB5" w:rsidRPr="006425C7" w:rsidRDefault="002B6DB5" w:rsidP="006425C7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6) заключать договоры возмездного оказания услуг, подлежащих оплате за счет активов фонда, в случаях, установленных нормативными актами в сфере финансовых рынков.</w:t>
            </w:r>
          </w:p>
        </w:tc>
        <w:tc>
          <w:tcPr>
            <w:tcW w:w="5133" w:type="dxa"/>
          </w:tcPr>
          <w:p w:rsidR="002B6DB5" w:rsidRPr="00751B9A" w:rsidRDefault="002B6DB5" w:rsidP="002B6DB5">
            <w:pPr>
              <w:ind w:firstLine="540"/>
              <w:jc w:val="both"/>
            </w:pPr>
            <w:r w:rsidRPr="00D96C6F">
              <w:rPr>
                <w:sz w:val="22"/>
                <w:szCs w:val="22"/>
              </w:rPr>
              <w:lastRenderedPageBreak/>
              <w:t>28. Управляющая компания не вправе: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1) распоряжаться имуществом, составляющим фонд, без предварительного согласия специализированного депозитария, за исключением сделок, совершаемых на организованных торгах, проводимых российской или иностранной биржей либо иным организатором торговли;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2) распоряжаться денежными средствами, находящимися на транзитном счете, без предварительного согласия специализированного депозитария;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3) использовать имущество, составляющее фонд, для обеспечения исполнения собственных обязательств, не связанных с доверительным управлением фондом, или для обеспечения исполнения обязатель</w:t>
            </w:r>
            <w:proofErr w:type="gramStart"/>
            <w:r w:rsidRPr="00751B9A">
              <w:rPr>
                <w:sz w:val="22"/>
                <w:szCs w:val="22"/>
              </w:rPr>
              <w:t>ств тр</w:t>
            </w:r>
            <w:proofErr w:type="gramEnd"/>
            <w:r w:rsidRPr="00751B9A">
              <w:rPr>
                <w:sz w:val="22"/>
                <w:szCs w:val="22"/>
              </w:rPr>
              <w:t>етьих лиц;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4) взимать проценты за пользование денежными средствами управляющей компании, предоставленными для выплаты денежной компенсации владельцам инвестиционных паев или для проведения операции обмена инвестиционных паев, в случае недостаточности денежных средств, составляющих фонд;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5) совершать следующие сделки или давать поручения на совершение следующих сделок: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а) сделки по приобретению за счет имущества, составляющего фонд, объектов, не предусмотренных Федеральным законом «Об инвестиционных фондах», нормативными актами в сфере финансовых рынков, инвестиционной декларацией фонда;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б) сделки по безвозмездному отчуждению имущества, составляющего фонд;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в) сделки, в результате которых управляющей компанией принимается обязанность по передаче имущества, которое в момент принятия такой обязанности не составляет фонд, за исключением сделок, совершаемых на организованных торгах, при условии осуществления клиринга по таким сделкам;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 xml:space="preserve">г) сделки по приобретению имущества, </w:t>
            </w:r>
            <w:r w:rsidRPr="00751B9A">
              <w:rPr>
                <w:sz w:val="22"/>
                <w:szCs w:val="22"/>
              </w:rPr>
              <w:lastRenderedPageBreak/>
              <w:t>являющегося предметом залога или иного обеспечения, в результате которых в состав фонда включается имущество, являющееся предметом залога или иного обеспечения;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д) договоры займа или кредитные договоры, возврат денежных средств по которым осуществляется за счет имущества фонда, за исключением случаев получения денежных сре</w:t>
            </w:r>
            <w:proofErr w:type="gramStart"/>
            <w:r w:rsidRPr="00751B9A">
              <w:rPr>
                <w:sz w:val="22"/>
                <w:szCs w:val="22"/>
              </w:rPr>
              <w:t>дств дл</w:t>
            </w:r>
            <w:proofErr w:type="gramEnd"/>
            <w:r w:rsidRPr="00751B9A">
              <w:rPr>
                <w:sz w:val="22"/>
                <w:szCs w:val="22"/>
              </w:rPr>
              <w:t>я погашения или обмена инвестиционных паев при недостаточности денежных средств, составляющих фонд. При этом совокупный объем задолженности, подлежащей погашению за счет имущества, составляющего фонд, по всем договорам займа и кредитным договорам не должен превышать 20 процентов стоимости чистых активов фонда, а срок привлечения заемных средств по каждому договору займа и кредитному договору (включая срок продления) не может превышать 6 месяцев;</w:t>
            </w:r>
          </w:p>
          <w:p w:rsidR="002B6DB5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 xml:space="preserve">е) сделки репо, подлежащие исполнению за счет имущества фонда. </w:t>
            </w:r>
            <w:r w:rsidRPr="00CC258B">
              <w:rPr>
                <w:b/>
                <w:sz w:val="22"/>
                <w:szCs w:val="22"/>
              </w:rPr>
              <w:t>Данное ограничение не применяется в случае соблюдения требований, указанных в абзаце 2 подпункта 8 пункта 23 настоящих Правил;</w:t>
            </w:r>
            <w:r w:rsidRPr="00D96C6F">
              <w:rPr>
                <w:sz w:val="22"/>
                <w:szCs w:val="22"/>
              </w:rPr>
              <w:t xml:space="preserve"> </w:t>
            </w: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2B6DB5" w:rsidRDefault="002B6DB5" w:rsidP="006425C7">
            <w:pPr>
              <w:jc w:val="both"/>
            </w:pPr>
          </w:p>
          <w:p w:rsidR="002B6DB5" w:rsidRDefault="002B6DB5" w:rsidP="002B6DB5">
            <w:pPr>
              <w:ind w:firstLine="540"/>
              <w:jc w:val="both"/>
            </w:pPr>
          </w:p>
          <w:p w:rsidR="00A0193A" w:rsidRDefault="00A0193A" w:rsidP="002B6DB5">
            <w:pPr>
              <w:ind w:firstLine="540"/>
              <w:jc w:val="both"/>
            </w:pPr>
          </w:p>
          <w:p w:rsidR="00A0193A" w:rsidRDefault="00A0193A" w:rsidP="002B6DB5">
            <w:pPr>
              <w:ind w:firstLine="540"/>
              <w:jc w:val="both"/>
            </w:pPr>
          </w:p>
          <w:p w:rsidR="00A0193A" w:rsidRDefault="00A0193A" w:rsidP="002B6DB5">
            <w:pPr>
              <w:ind w:firstLine="540"/>
              <w:jc w:val="both"/>
            </w:pPr>
          </w:p>
          <w:p w:rsidR="00A0193A" w:rsidRDefault="00A0193A" w:rsidP="002B6DB5">
            <w:pPr>
              <w:ind w:firstLine="540"/>
              <w:jc w:val="both"/>
            </w:pPr>
          </w:p>
          <w:p w:rsidR="00A0193A" w:rsidRDefault="00A0193A" w:rsidP="002B6DB5">
            <w:pPr>
              <w:ind w:firstLine="540"/>
              <w:jc w:val="both"/>
            </w:pPr>
          </w:p>
          <w:p w:rsidR="00A0193A" w:rsidRDefault="00A0193A" w:rsidP="002B6DB5">
            <w:pPr>
              <w:ind w:firstLine="540"/>
              <w:jc w:val="both"/>
            </w:pPr>
          </w:p>
          <w:p w:rsidR="002B6DB5" w:rsidRPr="00751B9A" w:rsidRDefault="002B6DB5" w:rsidP="006425C7">
            <w:pPr>
              <w:ind w:firstLine="485"/>
              <w:jc w:val="both"/>
            </w:pPr>
            <w:r w:rsidRPr="00D96C6F">
              <w:rPr>
                <w:sz w:val="22"/>
                <w:szCs w:val="22"/>
              </w:rPr>
              <w:t>ж) сделки по приобретению в состав фонда имущества, находящегося у управляющей компании в доверительном управлении по иным договорам, и имущества, составляющего активы акционерного инвестиционного фонда</w:t>
            </w:r>
            <w:r w:rsidRPr="00751B9A">
              <w:rPr>
                <w:sz w:val="22"/>
                <w:szCs w:val="22"/>
              </w:rPr>
              <w:t>, в котором управляющая компания выполняет функции единоличного исполнительного органа;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з) сделки по отчуждению имущества, составляющего фонд, в состав имущества, находящегося у управляющей компании в доверительном управлении по иным договорам, или в состав имущества, составляющего активы акционерного инвестиционного фонда, в котором управляющая компания выполняет функции единоличного исполнительного органа;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и) сделки по приобретению в состав фонда ценных бумаг, выпущенных (выданных) участниками управляющей компании, их основными и преобладающими хозяйственными обществами, дочерними и зависимыми обществами управляющей компании, а также специализированным депозитарием, аудиторской организацией, регистратором;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к) сделки по приобретению в состав фонда имущества, принадлежащего управляющей компании, ее участникам, основным и преобладающим хозяйственным обществам ее участников, ее дочерним и зависимым обществам, либо по отчуждению имущества, составляющего фонд, указанным лицам;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л) сделки по приобретению в состав фонда имущества у специализированного депозитария, аудиторской организации, с которыми управляющей компанией заключены договоры, либо по отчуждению имущества указанным лицам, за исключением случаев оплаты расходов, перечисленных в пункте 99 настоящих Правил, а также иных случаев, предусмотренных настоящими Правилами;</w:t>
            </w:r>
          </w:p>
          <w:p w:rsidR="002B6DB5" w:rsidRPr="00751B9A" w:rsidRDefault="002B6DB5" w:rsidP="002B6DB5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м) сделки по приобретению в состав фонда ценных бумаг, выпущенных (выданных) управляющей компанией, а также акционерным инвестиционным фондом,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компания;</w:t>
            </w:r>
          </w:p>
          <w:p w:rsidR="002B6DB5" w:rsidRPr="006425C7" w:rsidRDefault="002B6DB5" w:rsidP="006425C7">
            <w:pPr>
              <w:ind w:firstLine="540"/>
              <w:jc w:val="both"/>
            </w:pPr>
            <w:r w:rsidRPr="00751B9A">
              <w:rPr>
                <w:sz w:val="22"/>
                <w:szCs w:val="22"/>
              </w:rPr>
              <w:t>6) заключать договоры возмездного оказания услуг, подлежащих оплате за счет активов фонда, в случаях, установленных нормативными актами в сфере финансовых рынков.</w:t>
            </w:r>
          </w:p>
        </w:tc>
      </w:tr>
    </w:tbl>
    <w:p w:rsidR="00BF0738" w:rsidRPr="00B15A25" w:rsidRDefault="00BF0738" w:rsidP="00BA2B8B">
      <w:pPr>
        <w:jc w:val="both"/>
        <w:rPr>
          <w:sz w:val="22"/>
          <w:szCs w:val="22"/>
        </w:rPr>
      </w:pPr>
      <w:bookmarkStart w:id="0" w:name="p_85"/>
      <w:bookmarkStart w:id="1" w:name="p_81"/>
      <w:bookmarkStart w:id="2" w:name="p_82"/>
      <w:bookmarkEnd w:id="0"/>
      <w:bookmarkEnd w:id="1"/>
      <w:bookmarkEnd w:id="2"/>
    </w:p>
    <w:p w:rsidR="00467809" w:rsidRPr="00B15A25" w:rsidRDefault="00467809" w:rsidP="00BA2B8B">
      <w:pPr>
        <w:jc w:val="both"/>
        <w:rPr>
          <w:sz w:val="22"/>
          <w:szCs w:val="22"/>
        </w:rPr>
      </w:pPr>
    </w:p>
    <w:p w:rsidR="00467809" w:rsidRPr="00E563ED" w:rsidRDefault="00467809" w:rsidP="00BA2B8B">
      <w:pPr>
        <w:jc w:val="both"/>
        <w:rPr>
          <w:sz w:val="22"/>
          <w:szCs w:val="22"/>
        </w:rPr>
      </w:pPr>
    </w:p>
    <w:p w:rsidR="00F46DF7" w:rsidRPr="004D0DF1" w:rsidRDefault="00F46DF7" w:rsidP="00F46D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F46DF7" w:rsidRPr="004D0DF1" w:rsidRDefault="00F46DF7" w:rsidP="00F46DF7">
      <w:pPr>
        <w:rPr>
          <w:sz w:val="22"/>
          <w:szCs w:val="22"/>
        </w:rPr>
      </w:pPr>
      <w:r w:rsidRPr="004D0DF1">
        <w:rPr>
          <w:sz w:val="22"/>
          <w:szCs w:val="22"/>
        </w:rPr>
        <w:t xml:space="preserve">ООО «УК «Атон-менеджмент»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954FA0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954FA0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5A476C" w:rsidRDefault="00F46DF7" w:rsidP="00C37697">
      <w:pPr>
        <w:jc w:val="center"/>
        <w:rPr>
          <w:sz w:val="22"/>
          <w:szCs w:val="22"/>
          <w:lang w:val="en-US"/>
        </w:rPr>
      </w:pPr>
      <w:r w:rsidRPr="004D0DF1">
        <w:rPr>
          <w:sz w:val="22"/>
          <w:szCs w:val="22"/>
        </w:rPr>
        <w:t xml:space="preserve">                       М.П.</w:t>
      </w:r>
    </w:p>
    <w:p w:rsidR="00C62B15" w:rsidRDefault="00C62B15" w:rsidP="00C37697">
      <w:pPr>
        <w:jc w:val="center"/>
        <w:rPr>
          <w:sz w:val="22"/>
          <w:szCs w:val="22"/>
          <w:lang w:val="en-US"/>
        </w:rPr>
      </w:pPr>
    </w:p>
    <w:p w:rsidR="00C62B15" w:rsidRDefault="00C62B15" w:rsidP="00C37697">
      <w:pPr>
        <w:jc w:val="center"/>
        <w:rPr>
          <w:sz w:val="22"/>
          <w:szCs w:val="22"/>
          <w:lang w:val="en-US"/>
        </w:rPr>
      </w:pPr>
    </w:p>
    <w:sectPr w:rsidR="00C62B15" w:rsidSect="003913A6">
      <w:footerReference w:type="default" r:id="rId11"/>
      <w:pgSz w:w="11906" w:h="16838"/>
      <w:pgMar w:top="638" w:right="851" w:bottom="720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0B" w:rsidRDefault="002E390B">
      <w:r>
        <w:separator/>
      </w:r>
    </w:p>
  </w:endnote>
  <w:endnote w:type="continuationSeparator" w:id="0">
    <w:p w:rsidR="002E390B" w:rsidRDefault="002E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884B9F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0AA1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0B" w:rsidRDefault="002E390B">
      <w:r>
        <w:separator/>
      </w:r>
    </w:p>
  </w:footnote>
  <w:footnote w:type="continuationSeparator" w:id="0">
    <w:p w:rsidR="002E390B" w:rsidRDefault="002E3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0CA2"/>
    <w:rsid w:val="000012AB"/>
    <w:rsid w:val="00001948"/>
    <w:rsid w:val="00006167"/>
    <w:rsid w:val="00006E79"/>
    <w:rsid w:val="00007C28"/>
    <w:rsid w:val="00010E10"/>
    <w:rsid w:val="000145AD"/>
    <w:rsid w:val="00014A7B"/>
    <w:rsid w:val="00014D91"/>
    <w:rsid w:val="000217EF"/>
    <w:rsid w:val="00021D79"/>
    <w:rsid w:val="00021F56"/>
    <w:rsid w:val="00024603"/>
    <w:rsid w:val="00024C3C"/>
    <w:rsid w:val="000252C0"/>
    <w:rsid w:val="000307D1"/>
    <w:rsid w:val="000328C1"/>
    <w:rsid w:val="00032904"/>
    <w:rsid w:val="00034AC6"/>
    <w:rsid w:val="00035718"/>
    <w:rsid w:val="00037368"/>
    <w:rsid w:val="00041425"/>
    <w:rsid w:val="00041886"/>
    <w:rsid w:val="00041F6B"/>
    <w:rsid w:val="000440C2"/>
    <w:rsid w:val="000441A3"/>
    <w:rsid w:val="00044AA7"/>
    <w:rsid w:val="00047D66"/>
    <w:rsid w:val="00050B41"/>
    <w:rsid w:val="00052E8C"/>
    <w:rsid w:val="000532B1"/>
    <w:rsid w:val="00054411"/>
    <w:rsid w:val="00056389"/>
    <w:rsid w:val="0005670C"/>
    <w:rsid w:val="00057668"/>
    <w:rsid w:val="00057AAB"/>
    <w:rsid w:val="00062BFD"/>
    <w:rsid w:val="00063CE9"/>
    <w:rsid w:val="00065EB6"/>
    <w:rsid w:val="00066EC5"/>
    <w:rsid w:val="00067639"/>
    <w:rsid w:val="000677B9"/>
    <w:rsid w:val="00072786"/>
    <w:rsid w:val="00075550"/>
    <w:rsid w:val="00076A1E"/>
    <w:rsid w:val="00076EA1"/>
    <w:rsid w:val="00080588"/>
    <w:rsid w:val="00080BC6"/>
    <w:rsid w:val="00080DB6"/>
    <w:rsid w:val="00083C2C"/>
    <w:rsid w:val="0008740E"/>
    <w:rsid w:val="000879DB"/>
    <w:rsid w:val="00090AA1"/>
    <w:rsid w:val="0009198B"/>
    <w:rsid w:val="00091CC0"/>
    <w:rsid w:val="00091EB8"/>
    <w:rsid w:val="00093B3D"/>
    <w:rsid w:val="000956AD"/>
    <w:rsid w:val="00096802"/>
    <w:rsid w:val="0009695C"/>
    <w:rsid w:val="000A3D2D"/>
    <w:rsid w:val="000A3DB5"/>
    <w:rsid w:val="000B09D4"/>
    <w:rsid w:val="000B0FDE"/>
    <w:rsid w:val="000B12ED"/>
    <w:rsid w:val="000B2BF7"/>
    <w:rsid w:val="000B42FA"/>
    <w:rsid w:val="000B65C9"/>
    <w:rsid w:val="000B6EBE"/>
    <w:rsid w:val="000C0077"/>
    <w:rsid w:val="000C1269"/>
    <w:rsid w:val="000C1675"/>
    <w:rsid w:val="000C5425"/>
    <w:rsid w:val="000C589E"/>
    <w:rsid w:val="000C6341"/>
    <w:rsid w:val="000C75C3"/>
    <w:rsid w:val="000C7F1C"/>
    <w:rsid w:val="000D0400"/>
    <w:rsid w:val="000D060C"/>
    <w:rsid w:val="000D3447"/>
    <w:rsid w:val="000D3C0E"/>
    <w:rsid w:val="000D3D99"/>
    <w:rsid w:val="000D548C"/>
    <w:rsid w:val="000D5568"/>
    <w:rsid w:val="000D71C6"/>
    <w:rsid w:val="000D73BB"/>
    <w:rsid w:val="000E2610"/>
    <w:rsid w:val="000E2F6F"/>
    <w:rsid w:val="000E3094"/>
    <w:rsid w:val="000E30F1"/>
    <w:rsid w:val="000E36AA"/>
    <w:rsid w:val="000E56F3"/>
    <w:rsid w:val="000E68F3"/>
    <w:rsid w:val="000E694F"/>
    <w:rsid w:val="000E7B9A"/>
    <w:rsid w:val="000F23E9"/>
    <w:rsid w:val="000F3151"/>
    <w:rsid w:val="000F51CA"/>
    <w:rsid w:val="000F6889"/>
    <w:rsid w:val="000F69A4"/>
    <w:rsid w:val="00100BE0"/>
    <w:rsid w:val="0010328C"/>
    <w:rsid w:val="00105EDA"/>
    <w:rsid w:val="00106EA0"/>
    <w:rsid w:val="00111957"/>
    <w:rsid w:val="00112839"/>
    <w:rsid w:val="00113A02"/>
    <w:rsid w:val="00114C61"/>
    <w:rsid w:val="00117E5E"/>
    <w:rsid w:val="001238C1"/>
    <w:rsid w:val="00123AF2"/>
    <w:rsid w:val="00125CF1"/>
    <w:rsid w:val="00125D2A"/>
    <w:rsid w:val="00125EAA"/>
    <w:rsid w:val="001266A7"/>
    <w:rsid w:val="00127B1F"/>
    <w:rsid w:val="001302E2"/>
    <w:rsid w:val="00132396"/>
    <w:rsid w:val="00132A2C"/>
    <w:rsid w:val="00136F21"/>
    <w:rsid w:val="00136F4A"/>
    <w:rsid w:val="001377F3"/>
    <w:rsid w:val="00137A4F"/>
    <w:rsid w:val="001418A7"/>
    <w:rsid w:val="00141F2D"/>
    <w:rsid w:val="001423A2"/>
    <w:rsid w:val="00145204"/>
    <w:rsid w:val="001454E7"/>
    <w:rsid w:val="001474B2"/>
    <w:rsid w:val="001529BD"/>
    <w:rsid w:val="00153FFD"/>
    <w:rsid w:val="0015759D"/>
    <w:rsid w:val="00161911"/>
    <w:rsid w:val="00162059"/>
    <w:rsid w:val="0016331F"/>
    <w:rsid w:val="001639E0"/>
    <w:rsid w:val="00164D9C"/>
    <w:rsid w:val="00166EA0"/>
    <w:rsid w:val="00167681"/>
    <w:rsid w:val="00170F99"/>
    <w:rsid w:val="00172114"/>
    <w:rsid w:val="00173E72"/>
    <w:rsid w:val="00175652"/>
    <w:rsid w:val="00175DE6"/>
    <w:rsid w:val="001764A6"/>
    <w:rsid w:val="001779B2"/>
    <w:rsid w:val="00184C20"/>
    <w:rsid w:val="001858B3"/>
    <w:rsid w:val="00186101"/>
    <w:rsid w:val="00190267"/>
    <w:rsid w:val="00192E67"/>
    <w:rsid w:val="00195702"/>
    <w:rsid w:val="001957F1"/>
    <w:rsid w:val="00195808"/>
    <w:rsid w:val="001A1A3F"/>
    <w:rsid w:val="001A2D85"/>
    <w:rsid w:val="001A312B"/>
    <w:rsid w:val="001A5248"/>
    <w:rsid w:val="001B0C1D"/>
    <w:rsid w:val="001B1BEF"/>
    <w:rsid w:val="001B2C2C"/>
    <w:rsid w:val="001B3DA3"/>
    <w:rsid w:val="001B4C2C"/>
    <w:rsid w:val="001B55D2"/>
    <w:rsid w:val="001B5D8D"/>
    <w:rsid w:val="001C3AAD"/>
    <w:rsid w:val="001D2CE9"/>
    <w:rsid w:val="001D3452"/>
    <w:rsid w:val="001D434C"/>
    <w:rsid w:val="001D4664"/>
    <w:rsid w:val="001D48BC"/>
    <w:rsid w:val="001D5477"/>
    <w:rsid w:val="001D627F"/>
    <w:rsid w:val="001E0339"/>
    <w:rsid w:val="001E1F33"/>
    <w:rsid w:val="001E4C82"/>
    <w:rsid w:val="001E74B9"/>
    <w:rsid w:val="001F11D2"/>
    <w:rsid w:val="001F343C"/>
    <w:rsid w:val="001F5173"/>
    <w:rsid w:val="001F5248"/>
    <w:rsid w:val="001F6BF0"/>
    <w:rsid w:val="00202A8A"/>
    <w:rsid w:val="00203363"/>
    <w:rsid w:val="00203EF1"/>
    <w:rsid w:val="0020428E"/>
    <w:rsid w:val="002074E8"/>
    <w:rsid w:val="00207E2F"/>
    <w:rsid w:val="00210DDF"/>
    <w:rsid w:val="00210FE7"/>
    <w:rsid w:val="00211C4A"/>
    <w:rsid w:val="0021340D"/>
    <w:rsid w:val="00213923"/>
    <w:rsid w:val="00215A82"/>
    <w:rsid w:val="00226ACA"/>
    <w:rsid w:val="002321F4"/>
    <w:rsid w:val="00233731"/>
    <w:rsid w:val="0023750E"/>
    <w:rsid w:val="0023755B"/>
    <w:rsid w:val="00237C1F"/>
    <w:rsid w:val="00240563"/>
    <w:rsid w:val="00243E64"/>
    <w:rsid w:val="0025283D"/>
    <w:rsid w:val="00252E7C"/>
    <w:rsid w:val="002602E5"/>
    <w:rsid w:val="002620C4"/>
    <w:rsid w:val="00264778"/>
    <w:rsid w:val="00266CA0"/>
    <w:rsid w:val="00271213"/>
    <w:rsid w:val="00271AE5"/>
    <w:rsid w:val="0027202E"/>
    <w:rsid w:val="0027294D"/>
    <w:rsid w:val="002740C9"/>
    <w:rsid w:val="0027432A"/>
    <w:rsid w:val="002749E9"/>
    <w:rsid w:val="0027547F"/>
    <w:rsid w:val="00276392"/>
    <w:rsid w:val="0028115A"/>
    <w:rsid w:val="00284FA9"/>
    <w:rsid w:val="00286881"/>
    <w:rsid w:val="0028764D"/>
    <w:rsid w:val="0029110F"/>
    <w:rsid w:val="002945F5"/>
    <w:rsid w:val="00296DD2"/>
    <w:rsid w:val="002A0FFA"/>
    <w:rsid w:val="002A18D6"/>
    <w:rsid w:val="002A41F5"/>
    <w:rsid w:val="002A6BA4"/>
    <w:rsid w:val="002B2597"/>
    <w:rsid w:val="002B642D"/>
    <w:rsid w:val="002B6D99"/>
    <w:rsid w:val="002B6DB5"/>
    <w:rsid w:val="002C03DB"/>
    <w:rsid w:val="002C10FC"/>
    <w:rsid w:val="002C1DAA"/>
    <w:rsid w:val="002C20D6"/>
    <w:rsid w:val="002C3101"/>
    <w:rsid w:val="002C73D9"/>
    <w:rsid w:val="002C760F"/>
    <w:rsid w:val="002C7BFA"/>
    <w:rsid w:val="002D7275"/>
    <w:rsid w:val="002E1325"/>
    <w:rsid w:val="002E207B"/>
    <w:rsid w:val="002E28E6"/>
    <w:rsid w:val="002E2CE2"/>
    <w:rsid w:val="002E390B"/>
    <w:rsid w:val="002E4EFB"/>
    <w:rsid w:val="002E5912"/>
    <w:rsid w:val="002E774F"/>
    <w:rsid w:val="002F03E3"/>
    <w:rsid w:val="002F6BAF"/>
    <w:rsid w:val="0030048C"/>
    <w:rsid w:val="00301288"/>
    <w:rsid w:val="00301D48"/>
    <w:rsid w:val="003025F8"/>
    <w:rsid w:val="00306960"/>
    <w:rsid w:val="00306D9B"/>
    <w:rsid w:val="003070C4"/>
    <w:rsid w:val="00307A1C"/>
    <w:rsid w:val="00310440"/>
    <w:rsid w:val="00310858"/>
    <w:rsid w:val="003116F4"/>
    <w:rsid w:val="00312ED9"/>
    <w:rsid w:val="00314E04"/>
    <w:rsid w:val="00314FFA"/>
    <w:rsid w:val="003174A4"/>
    <w:rsid w:val="003207BA"/>
    <w:rsid w:val="003214F7"/>
    <w:rsid w:val="0032524A"/>
    <w:rsid w:val="0032553D"/>
    <w:rsid w:val="00325E5F"/>
    <w:rsid w:val="00326BA8"/>
    <w:rsid w:val="00331564"/>
    <w:rsid w:val="0033300C"/>
    <w:rsid w:val="00333977"/>
    <w:rsid w:val="00334658"/>
    <w:rsid w:val="00343C6D"/>
    <w:rsid w:val="00345E07"/>
    <w:rsid w:val="00351A48"/>
    <w:rsid w:val="00354715"/>
    <w:rsid w:val="003577EC"/>
    <w:rsid w:val="00360795"/>
    <w:rsid w:val="00361B87"/>
    <w:rsid w:val="0036426B"/>
    <w:rsid w:val="00365AE2"/>
    <w:rsid w:val="00366A58"/>
    <w:rsid w:val="003676E3"/>
    <w:rsid w:val="003679C2"/>
    <w:rsid w:val="00370A57"/>
    <w:rsid w:val="003726C7"/>
    <w:rsid w:val="003755E9"/>
    <w:rsid w:val="00376B74"/>
    <w:rsid w:val="00376CF6"/>
    <w:rsid w:val="00376F9B"/>
    <w:rsid w:val="003802C2"/>
    <w:rsid w:val="00380E7C"/>
    <w:rsid w:val="00382CF8"/>
    <w:rsid w:val="0038387B"/>
    <w:rsid w:val="003862CB"/>
    <w:rsid w:val="00390E22"/>
    <w:rsid w:val="00391158"/>
    <w:rsid w:val="003913A6"/>
    <w:rsid w:val="00395E6F"/>
    <w:rsid w:val="00396EC1"/>
    <w:rsid w:val="003B16E4"/>
    <w:rsid w:val="003B1EE5"/>
    <w:rsid w:val="003B7132"/>
    <w:rsid w:val="003B72AD"/>
    <w:rsid w:val="003C2AAB"/>
    <w:rsid w:val="003C45CF"/>
    <w:rsid w:val="003C46B1"/>
    <w:rsid w:val="003C5633"/>
    <w:rsid w:val="003C5F4A"/>
    <w:rsid w:val="003D0296"/>
    <w:rsid w:val="003D05A6"/>
    <w:rsid w:val="003D1095"/>
    <w:rsid w:val="003D2808"/>
    <w:rsid w:val="003D2F54"/>
    <w:rsid w:val="003D3771"/>
    <w:rsid w:val="003D5894"/>
    <w:rsid w:val="003D649B"/>
    <w:rsid w:val="003E1906"/>
    <w:rsid w:val="003E32DF"/>
    <w:rsid w:val="003E562D"/>
    <w:rsid w:val="003E719D"/>
    <w:rsid w:val="003F20BB"/>
    <w:rsid w:val="003F3789"/>
    <w:rsid w:val="003F4185"/>
    <w:rsid w:val="003F4218"/>
    <w:rsid w:val="003F447E"/>
    <w:rsid w:val="003F7849"/>
    <w:rsid w:val="00402CBE"/>
    <w:rsid w:val="00403D3C"/>
    <w:rsid w:val="00404355"/>
    <w:rsid w:val="0041141C"/>
    <w:rsid w:val="00412509"/>
    <w:rsid w:val="00413161"/>
    <w:rsid w:val="0041408A"/>
    <w:rsid w:val="00414B37"/>
    <w:rsid w:val="004157BB"/>
    <w:rsid w:val="00417484"/>
    <w:rsid w:val="00420273"/>
    <w:rsid w:val="00420770"/>
    <w:rsid w:val="00420978"/>
    <w:rsid w:val="0042117F"/>
    <w:rsid w:val="00421696"/>
    <w:rsid w:val="00422243"/>
    <w:rsid w:val="004253B7"/>
    <w:rsid w:val="004257A7"/>
    <w:rsid w:val="0042750A"/>
    <w:rsid w:val="0042778F"/>
    <w:rsid w:val="00430D21"/>
    <w:rsid w:val="00432258"/>
    <w:rsid w:val="00432D5E"/>
    <w:rsid w:val="00434C7A"/>
    <w:rsid w:val="004350D6"/>
    <w:rsid w:val="004354BB"/>
    <w:rsid w:val="00436CED"/>
    <w:rsid w:val="004373BD"/>
    <w:rsid w:val="00437525"/>
    <w:rsid w:val="00440F20"/>
    <w:rsid w:val="004444BF"/>
    <w:rsid w:val="004453ED"/>
    <w:rsid w:val="0044585E"/>
    <w:rsid w:val="00445A9E"/>
    <w:rsid w:val="00447595"/>
    <w:rsid w:val="004477E1"/>
    <w:rsid w:val="00450BAD"/>
    <w:rsid w:val="00450E28"/>
    <w:rsid w:val="00451212"/>
    <w:rsid w:val="00451CFB"/>
    <w:rsid w:val="004525C8"/>
    <w:rsid w:val="00452C1E"/>
    <w:rsid w:val="0045647D"/>
    <w:rsid w:val="00456988"/>
    <w:rsid w:val="00460188"/>
    <w:rsid w:val="00461D7E"/>
    <w:rsid w:val="00464FDD"/>
    <w:rsid w:val="004650D6"/>
    <w:rsid w:val="0046618B"/>
    <w:rsid w:val="00467809"/>
    <w:rsid w:val="00470497"/>
    <w:rsid w:val="0047132C"/>
    <w:rsid w:val="0047185F"/>
    <w:rsid w:val="00472A38"/>
    <w:rsid w:val="004810A2"/>
    <w:rsid w:val="0048147A"/>
    <w:rsid w:val="004816FA"/>
    <w:rsid w:val="00484540"/>
    <w:rsid w:val="004866DD"/>
    <w:rsid w:val="004872EB"/>
    <w:rsid w:val="0048750E"/>
    <w:rsid w:val="0049718D"/>
    <w:rsid w:val="0049768B"/>
    <w:rsid w:val="0049790D"/>
    <w:rsid w:val="004A2D40"/>
    <w:rsid w:val="004A2E9F"/>
    <w:rsid w:val="004A4693"/>
    <w:rsid w:val="004A71B7"/>
    <w:rsid w:val="004A7F76"/>
    <w:rsid w:val="004B11E3"/>
    <w:rsid w:val="004B4154"/>
    <w:rsid w:val="004B5AD2"/>
    <w:rsid w:val="004B5BBC"/>
    <w:rsid w:val="004B6723"/>
    <w:rsid w:val="004B6AF0"/>
    <w:rsid w:val="004B6B69"/>
    <w:rsid w:val="004B7624"/>
    <w:rsid w:val="004B7D53"/>
    <w:rsid w:val="004B7E07"/>
    <w:rsid w:val="004C2514"/>
    <w:rsid w:val="004C5472"/>
    <w:rsid w:val="004C6040"/>
    <w:rsid w:val="004C7CF0"/>
    <w:rsid w:val="004D0DF1"/>
    <w:rsid w:val="004D282D"/>
    <w:rsid w:val="004D2E10"/>
    <w:rsid w:val="004D4D0B"/>
    <w:rsid w:val="004E1FD2"/>
    <w:rsid w:val="004E2B93"/>
    <w:rsid w:val="004E4065"/>
    <w:rsid w:val="004F21EB"/>
    <w:rsid w:val="004F5A11"/>
    <w:rsid w:val="00502F54"/>
    <w:rsid w:val="00503EE7"/>
    <w:rsid w:val="00504E6B"/>
    <w:rsid w:val="00504E94"/>
    <w:rsid w:val="0050501F"/>
    <w:rsid w:val="005052E5"/>
    <w:rsid w:val="00505BE3"/>
    <w:rsid w:val="00506ECC"/>
    <w:rsid w:val="005104B1"/>
    <w:rsid w:val="00511DEA"/>
    <w:rsid w:val="00512697"/>
    <w:rsid w:val="00513C14"/>
    <w:rsid w:val="0051520A"/>
    <w:rsid w:val="00517080"/>
    <w:rsid w:val="00521722"/>
    <w:rsid w:val="00523A88"/>
    <w:rsid w:val="00524141"/>
    <w:rsid w:val="00524B5A"/>
    <w:rsid w:val="00531CB2"/>
    <w:rsid w:val="005322EF"/>
    <w:rsid w:val="005342B9"/>
    <w:rsid w:val="00534F8E"/>
    <w:rsid w:val="00542885"/>
    <w:rsid w:val="0054395D"/>
    <w:rsid w:val="00544C8A"/>
    <w:rsid w:val="0054727B"/>
    <w:rsid w:val="00547782"/>
    <w:rsid w:val="00551514"/>
    <w:rsid w:val="00556D98"/>
    <w:rsid w:val="005571E1"/>
    <w:rsid w:val="005578C6"/>
    <w:rsid w:val="00562847"/>
    <w:rsid w:val="00564B84"/>
    <w:rsid w:val="00564E20"/>
    <w:rsid w:val="0056602F"/>
    <w:rsid w:val="00567655"/>
    <w:rsid w:val="00570CE3"/>
    <w:rsid w:val="00572315"/>
    <w:rsid w:val="00572E5C"/>
    <w:rsid w:val="005730B8"/>
    <w:rsid w:val="00573274"/>
    <w:rsid w:val="00573344"/>
    <w:rsid w:val="00573BB8"/>
    <w:rsid w:val="00575A25"/>
    <w:rsid w:val="005772AB"/>
    <w:rsid w:val="00580D76"/>
    <w:rsid w:val="00584AF1"/>
    <w:rsid w:val="00585572"/>
    <w:rsid w:val="00587D87"/>
    <w:rsid w:val="00590095"/>
    <w:rsid w:val="005905D9"/>
    <w:rsid w:val="0059359D"/>
    <w:rsid w:val="00593B1D"/>
    <w:rsid w:val="00595294"/>
    <w:rsid w:val="00595CF3"/>
    <w:rsid w:val="005A0A82"/>
    <w:rsid w:val="005A0AFB"/>
    <w:rsid w:val="005A0DA9"/>
    <w:rsid w:val="005A2D2D"/>
    <w:rsid w:val="005A4147"/>
    <w:rsid w:val="005A476C"/>
    <w:rsid w:val="005A49D8"/>
    <w:rsid w:val="005A51B8"/>
    <w:rsid w:val="005A5C6B"/>
    <w:rsid w:val="005A6816"/>
    <w:rsid w:val="005A6F9B"/>
    <w:rsid w:val="005B0D66"/>
    <w:rsid w:val="005B5D1A"/>
    <w:rsid w:val="005B7E52"/>
    <w:rsid w:val="005C0916"/>
    <w:rsid w:val="005C1267"/>
    <w:rsid w:val="005C74C9"/>
    <w:rsid w:val="005D0EAB"/>
    <w:rsid w:val="005D316C"/>
    <w:rsid w:val="005D40BB"/>
    <w:rsid w:val="005D5118"/>
    <w:rsid w:val="005D5FCE"/>
    <w:rsid w:val="005D6A9B"/>
    <w:rsid w:val="005E00A7"/>
    <w:rsid w:val="005E0B8A"/>
    <w:rsid w:val="005E1043"/>
    <w:rsid w:val="005E26AF"/>
    <w:rsid w:val="005E31EF"/>
    <w:rsid w:val="005E4425"/>
    <w:rsid w:val="005E575D"/>
    <w:rsid w:val="005E5887"/>
    <w:rsid w:val="005F1F95"/>
    <w:rsid w:val="005F23D0"/>
    <w:rsid w:val="005F3EA9"/>
    <w:rsid w:val="005F519B"/>
    <w:rsid w:val="005F5E93"/>
    <w:rsid w:val="005F622F"/>
    <w:rsid w:val="005F6E9C"/>
    <w:rsid w:val="0060716A"/>
    <w:rsid w:val="006075EE"/>
    <w:rsid w:val="0061015B"/>
    <w:rsid w:val="00613CDE"/>
    <w:rsid w:val="00614FA0"/>
    <w:rsid w:val="006158FB"/>
    <w:rsid w:val="00615FE1"/>
    <w:rsid w:val="00616FD8"/>
    <w:rsid w:val="006206CE"/>
    <w:rsid w:val="00620A8A"/>
    <w:rsid w:val="00621C67"/>
    <w:rsid w:val="00622217"/>
    <w:rsid w:val="006229EA"/>
    <w:rsid w:val="006243AC"/>
    <w:rsid w:val="00627A9E"/>
    <w:rsid w:val="0063032A"/>
    <w:rsid w:val="00631A64"/>
    <w:rsid w:val="006341C3"/>
    <w:rsid w:val="00636E59"/>
    <w:rsid w:val="00637321"/>
    <w:rsid w:val="006400F0"/>
    <w:rsid w:val="0064027F"/>
    <w:rsid w:val="0064077D"/>
    <w:rsid w:val="00640B06"/>
    <w:rsid w:val="00641BE1"/>
    <w:rsid w:val="006425C7"/>
    <w:rsid w:val="00644F8A"/>
    <w:rsid w:val="0065141A"/>
    <w:rsid w:val="00651D77"/>
    <w:rsid w:val="00652BE5"/>
    <w:rsid w:val="006551A4"/>
    <w:rsid w:val="00656CEB"/>
    <w:rsid w:val="00656EB5"/>
    <w:rsid w:val="0065741B"/>
    <w:rsid w:val="0065789C"/>
    <w:rsid w:val="00663210"/>
    <w:rsid w:val="006669BC"/>
    <w:rsid w:val="0067025B"/>
    <w:rsid w:val="00670DFF"/>
    <w:rsid w:val="00672EDC"/>
    <w:rsid w:val="00674AA5"/>
    <w:rsid w:val="00675529"/>
    <w:rsid w:val="0067563F"/>
    <w:rsid w:val="00680219"/>
    <w:rsid w:val="0068095D"/>
    <w:rsid w:val="00680A81"/>
    <w:rsid w:val="006813A9"/>
    <w:rsid w:val="00687D7D"/>
    <w:rsid w:val="00694379"/>
    <w:rsid w:val="006A0083"/>
    <w:rsid w:val="006A2887"/>
    <w:rsid w:val="006A6621"/>
    <w:rsid w:val="006A687E"/>
    <w:rsid w:val="006A7FB5"/>
    <w:rsid w:val="006B0066"/>
    <w:rsid w:val="006B03A2"/>
    <w:rsid w:val="006B2868"/>
    <w:rsid w:val="006B2E21"/>
    <w:rsid w:val="006B5C87"/>
    <w:rsid w:val="006B676D"/>
    <w:rsid w:val="006B69C0"/>
    <w:rsid w:val="006C005C"/>
    <w:rsid w:val="006C0E55"/>
    <w:rsid w:val="006C2509"/>
    <w:rsid w:val="006C3437"/>
    <w:rsid w:val="006C59CA"/>
    <w:rsid w:val="006D6B9D"/>
    <w:rsid w:val="006E071B"/>
    <w:rsid w:val="006E39EB"/>
    <w:rsid w:val="006E4633"/>
    <w:rsid w:val="006E4929"/>
    <w:rsid w:val="006E6189"/>
    <w:rsid w:val="006E78E9"/>
    <w:rsid w:val="006E7D77"/>
    <w:rsid w:val="006F005A"/>
    <w:rsid w:val="006F3028"/>
    <w:rsid w:val="006F3439"/>
    <w:rsid w:val="006F4B2C"/>
    <w:rsid w:val="006F7257"/>
    <w:rsid w:val="006F7BA4"/>
    <w:rsid w:val="006F7C56"/>
    <w:rsid w:val="00700C35"/>
    <w:rsid w:val="00701F0F"/>
    <w:rsid w:val="00705011"/>
    <w:rsid w:val="007052D8"/>
    <w:rsid w:val="00706E3D"/>
    <w:rsid w:val="007136D9"/>
    <w:rsid w:val="007139FD"/>
    <w:rsid w:val="0071503E"/>
    <w:rsid w:val="0071513C"/>
    <w:rsid w:val="0071699C"/>
    <w:rsid w:val="007173F4"/>
    <w:rsid w:val="00722E9B"/>
    <w:rsid w:val="00723671"/>
    <w:rsid w:val="00730015"/>
    <w:rsid w:val="007362C0"/>
    <w:rsid w:val="007378FA"/>
    <w:rsid w:val="00737D55"/>
    <w:rsid w:val="00741242"/>
    <w:rsid w:val="00741D2B"/>
    <w:rsid w:val="007425D3"/>
    <w:rsid w:val="00745A03"/>
    <w:rsid w:val="00746943"/>
    <w:rsid w:val="007470C8"/>
    <w:rsid w:val="00747E3B"/>
    <w:rsid w:val="007500EE"/>
    <w:rsid w:val="00751236"/>
    <w:rsid w:val="00751B9A"/>
    <w:rsid w:val="00751EAE"/>
    <w:rsid w:val="007521A8"/>
    <w:rsid w:val="00752F9A"/>
    <w:rsid w:val="007537CC"/>
    <w:rsid w:val="0075438E"/>
    <w:rsid w:val="0075447E"/>
    <w:rsid w:val="007603B8"/>
    <w:rsid w:val="007618C7"/>
    <w:rsid w:val="007637F0"/>
    <w:rsid w:val="00763BC4"/>
    <w:rsid w:val="0076622F"/>
    <w:rsid w:val="00772705"/>
    <w:rsid w:val="00772D52"/>
    <w:rsid w:val="00773EAE"/>
    <w:rsid w:val="00774BB0"/>
    <w:rsid w:val="007773BF"/>
    <w:rsid w:val="0077750E"/>
    <w:rsid w:val="0078046F"/>
    <w:rsid w:val="007814A4"/>
    <w:rsid w:val="007826C1"/>
    <w:rsid w:val="007840CE"/>
    <w:rsid w:val="0078623D"/>
    <w:rsid w:val="00786AD6"/>
    <w:rsid w:val="0079404B"/>
    <w:rsid w:val="00795272"/>
    <w:rsid w:val="007A0224"/>
    <w:rsid w:val="007A1898"/>
    <w:rsid w:val="007A1E90"/>
    <w:rsid w:val="007A61D2"/>
    <w:rsid w:val="007A6A53"/>
    <w:rsid w:val="007B3189"/>
    <w:rsid w:val="007B490A"/>
    <w:rsid w:val="007B4F31"/>
    <w:rsid w:val="007B51D4"/>
    <w:rsid w:val="007B5667"/>
    <w:rsid w:val="007B6615"/>
    <w:rsid w:val="007B7595"/>
    <w:rsid w:val="007C0038"/>
    <w:rsid w:val="007C2DDB"/>
    <w:rsid w:val="007C390B"/>
    <w:rsid w:val="007C6030"/>
    <w:rsid w:val="007C7C9A"/>
    <w:rsid w:val="007D3A17"/>
    <w:rsid w:val="007D50C8"/>
    <w:rsid w:val="007D5506"/>
    <w:rsid w:val="007D5788"/>
    <w:rsid w:val="007D6510"/>
    <w:rsid w:val="007D7A26"/>
    <w:rsid w:val="007D7CBD"/>
    <w:rsid w:val="007E00FD"/>
    <w:rsid w:val="007E333F"/>
    <w:rsid w:val="007E47BC"/>
    <w:rsid w:val="007E4F0E"/>
    <w:rsid w:val="007E52A0"/>
    <w:rsid w:val="007F48A9"/>
    <w:rsid w:val="007F49F6"/>
    <w:rsid w:val="007F4B20"/>
    <w:rsid w:val="007F504D"/>
    <w:rsid w:val="007F539E"/>
    <w:rsid w:val="007F6A51"/>
    <w:rsid w:val="007F70E3"/>
    <w:rsid w:val="007F76BD"/>
    <w:rsid w:val="0080076A"/>
    <w:rsid w:val="008008BC"/>
    <w:rsid w:val="008013B2"/>
    <w:rsid w:val="008029D3"/>
    <w:rsid w:val="0080446C"/>
    <w:rsid w:val="00804C03"/>
    <w:rsid w:val="00805C8C"/>
    <w:rsid w:val="00806207"/>
    <w:rsid w:val="00806ABB"/>
    <w:rsid w:val="00807617"/>
    <w:rsid w:val="008079AD"/>
    <w:rsid w:val="008102A8"/>
    <w:rsid w:val="008114D8"/>
    <w:rsid w:val="00811889"/>
    <w:rsid w:val="00812296"/>
    <w:rsid w:val="00814AFA"/>
    <w:rsid w:val="00815BBA"/>
    <w:rsid w:val="00816289"/>
    <w:rsid w:val="0082001E"/>
    <w:rsid w:val="00822F90"/>
    <w:rsid w:val="0082686A"/>
    <w:rsid w:val="008272F6"/>
    <w:rsid w:val="00830438"/>
    <w:rsid w:val="00835ED8"/>
    <w:rsid w:val="00837A55"/>
    <w:rsid w:val="00837D1B"/>
    <w:rsid w:val="008404A2"/>
    <w:rsid w:val="00841305"/>
    <w:rsid w:val="00842C7B"/>
    <w:rsid w:val="00844753"/>
    <w:rsid w:val="00844B2E"/>
    <w:rsid w:val="008460A9"/>
    <w:rsid w:val="00847201"/>
    <w:rsid w:val="00850348"/>
    <w:rsid w:val="00852912"/>
    <w:rsid w:val="008548E7"/>
    <w:rsid w:val="008549C1"/>
    <w:rsid w:val="00855069"/>
    <w:rsid w:val="008556ED"/>
    <w:rsid w:val="00857B6B"/>
    <w:rsid w:val="0087177F"/>
    <w:rsid w:val="008724E1"/>
    <w:rsid w:val="00874193"/>
    <w:rsid w:val="00875000"/>
    <w:rsid w:val="008757A2"/>
    <w:rsid w:val="00876121"/>
    <w:rsid w:val="00882361"/>
    <w:rsid w:val="008829E7"/>
    <w:rsid w:val="00884188"/>
    <w:rsid w:val="008843EF"/>
    <w:rsid w:val="00884B9F"/>
    <w:rsid w:val="00886F7A"/>
    <w:rsid w:val="008912D7"/>
    <w:rsid w:val="00892D0E"/>
    <w:rsid w:val="008935E3"/>
    <w:rsid w:val="00896CD3"/>
    <w:rsid w:val="008A3124"/>
    <w:rsid w:val="008A5D6C"/>
    <w:rsid w:val="008A5E7C"/>
    <w:rsid w:val="008A60DC"/>
    <w:rsid w:val="008B0B84"/>
    <w:rsid w:val="008B33F2"/>
    <w:rsid w:val="008B4E48"/>
    <w:rsid w:val="008B6AE8"/>
    <w:rsid w:val="008B7077"/>
    <w:rsid w:val="008C0583"/>
    <w:rsid w:val="008C23E0"/>
    <w:rsid w:val="008C33E6"/>
    <w:rsid w:val="008C409B"/>
    <w:rsid w:val="008C604B"/>
    <w:rsid w:val="008C61C5"/>
    <w:rsid w:val="008C6C44"/>
    <w:rsid w:val="008C7E90"/>
    <w:rsid w:val="008D232A"/>
    <w:rsid w:val="008D48BF"/>
    <w:rsid w:val="008D4938"/>
    <w:rsid w:val="008D5399"/>
    <w:rsid w:val="008D65D4"/>
    <w:rsid w:val="008D6B1F"/>
    <w:rsid w:val="008D7FBE"/>
    <w:rsid w:val="008E0BF8"/>
    <w:rsid w:val="008E12CF"/>
    <w:rsid w:val="008E1C9B"/>
    <w:rsid w:val="008E2B12"/>
    <w:rsid w:val="008E2DF9"/>
    <w:rsid w:val="008E396A"/>
    <w:rsid w:val="008E45D5"/>
    <w:rsid w:val="008E55EE"/>
    <w:rsid w:val="008F23A7"/>
    <w:rsid w:val="008F2A27"/>
    <w:rsid w:val="008F2BE5"/>
    <w:rsid w:val="008F40BA"/>
    <w:rsid w:val="008F40D0"/>
    <w:rsid w:val="008F46F2"/>
    <w:rsid w:val="008F5EAC"/>
    <w:rsid w:val="008F5FAE"/>
    <w:rsid w:val="00900F6E"/>
    <w:rsid w:val="00901095"/>
    <w:rsid w:val="009010FD"/>
    <w:rsid w:val="00903195"/>
    <w:rsid w:val="009054A3"/>
    <w:rsid w:val="00905F9D"/>
    <w:rsid w:val="00906177"/>
    <w:rsid w:val="00906D8E"/>
    <w:rsid w:val="00907F2F"/>
    <w:rsid w:val="00911FC3"/>
    <w:rsid w:val="00913AAA"/>
    <w:rsid w:val="0092010F"/>
    <w:rsid w:val="00920373"/>
    <w:rsid w:val="00923BBA"/>
    <w:rsid w:val="009254F6"/>
    <w:rsid w:val="00925BAC"/>
    <w:rsid w:val="0092672C"/>
    <w:rsid w:val="009268D3"/>
    <w:rsid w:val="00930DB8"/>
    <w:rsid w:val="009319C5"/>
    <w:rsid w:val="0093206F"/>
    <w:rsid w:val="00934018"/>
    <w:rsid w:val="009353B8"/>
    <w:rsid w:val="009410D2"/>
    <w:rsid w:val="009438C0"/>
    <w:rsid w:val="00943F17"/>
    <w:rsid w:val="00944210"/>
    <w:rsid w:val="00945433"/>
    <w:rsid w:val="009462FC"/>
    <w:rsid w:val="00947774"/>
    <w:rsid w:val="00952E47"/>
    <w:rsid w:val="00954FA0"/>
    <w:rsid w:val="009559E6"/>
    <w:rsid w:val="009571F4"/>
    <w:rsid w:val="00960F94"/>
    <w:rsid w:val="00962517"/>
    <w:rsid w:val="00964AAD"/>
    <w:rsid w:val="00967B8A"/>
    <w:rsid w:val="00972F70"/>
    <w:rsid w:val="00975362"/>
    <w:rsid w:val="00975F62"/>
    <w:rsid w:val="00977675"/>
    <w:rsid w:val="00977799"/>
    <w:rsid w:val="00981133"/>
    <w:rsid w:val="00981434"/>
    <w:rsid w:val="00981B2C"/>
    <w:rsid w:val="009857BB"/>
    <w:rsid w:val="00987BA8"/>
    <w:rsid w:val="00991B52"/>
    <w:rsid w:val="0099350F"/>
    <w:rsid w:val="0099619A"/>
    <w:rsid w:val="009A126B"/>
    <w:rsid w:val="009A1449"/>
    <w:rsid w:val="009A64EF"/>
    <w:rsid w:val="009B0D11"/>
    <w:rsid w:val="009B1ACD"/>
    <w:rsid w:val="009B37AB"/>
    <w:rsid w:val="009B44CD"/>
    <w:rsid w:val="009B641B"/>
    <w:rsid w:val="009B6C63"/>
    <w:rsid w:val="009B6F71"/>
    <w:rsid w:val="009C14E8"/>
    <w:rsid w:val="009C305A"/>
    <w:rsid w:val="009C3205"/>
    <w:rsid w:val="009C3AE2"/>
    <w:rsid w:val="009C43D2"/>
    <w:rsid w:val="009C69E2"/>
    <w:rsid w:val="009D0B6D"/>
    <w:rsid w:val="009D176D"/>
    <w:rsid w:val="009D1D2B"/>
    <w:rsid w:val="009D361C"/>
    <w:rsid w:val="009D56B5"/>
    <w:rsid w:val="009D7AE3"/>
    <w:rsid w:val="009E13B4"/>
    <w:rsid w:val="009E1DDC"/>
    <w:rsid w:val="009E1E73"/>
    <w:rsid w:val="009E211F"/>
    <w:rsid w:val="009E28F7"/>
    <w:rsid w:val="009E2D3F"/>
    <w:rsid w:val="009E5D57"/>
    <w:rsid w:val="009F0B73"/>
    <w:rsid w:val="009F0D7F"/>
    <w:rsid w:val="009F1FA3"/>
    <w:rsid w:val="009F2DA6"/>
    <w:rsid w:val="009F342E"/>
    <w:rsid w:val="009F4089"/>
    <w:rsid w:val="009F46B2"/>
    <w:rsid w:val="009F74C0"/>
    <w:rsid w:val="009F7872"/>
    <w:rsid w:val="009F798A"/>
    <w:rsid w:val="00A0193A"/>
    <w:rsid w:val="00A019AF"/>
    <w:rsid w:val="00A02AC6"/>
    <w:rsid w:val="00A03286"/>
    <w:rsid w:val="00A04F2C"/>
    <w:rsid w:val="00A04F6F"/>
    <w:rsid w:val="00A0518F"/>
    <w:rsid w:val="00A06B6C"/>
    <w:rsid w:val="00A1073E"/>
    <w:rsid w:val="00A11F75"/>
    <w:rsid w:val="00A124E8"/>
    <w:rsid w:val="00A13412"/>
    <w:rsid w:val="00A1378B"/>
    <w:rsid w:val="00A15405"/>
    <w:rsid w:val="00A161E4"/>
    <w:rsid w:val="00A20102"/>
    <w:rsid w:val="00A23D2F"/>
    <w:rsid w:val="00A23DB8"/>
    <w:rsid w:val="00A2533C"/>
    <w:rsid w:val="00A257B4"/>
    <w:rsid w:val="00A25F8B"/>
    <w:rsid w:val="00A278B0"/>
    <w:rsid w:val="00A27CFD"/>
    <w:rsid w:val="00A308C6"/>
    <w:rsid w:val="00A31E54"/>
    <w:rsid w:val="00A369B3"/>
    <w:rsid w:val="00A36CD2"/>
    <w:rsid w:val="00A37C46"/>
    <w:rsid w:val="00A402D4"/>
    <w:rsid w:val="00A40DE0"/>
    <w:rsid w:val="00A41460"/>
    <w:rsid w:val="00A44FEC"/>
    <w:rsid w:val="00A4594D"/>
    <w:rsid w:val="00A462DF"/>
    <w:rsid w:val="00A46C9E"/>
    <w:rsid w:val="00A47384"/>
    <w:rsid w:val="00A52253"/>
    <w:rsid w:val="00A5260D"/>
    <w:rsid w:val="00A534DA"/>
    <w:rsid w:val="00A56055"/>
    <w:rsid w:val="00A616BA"/>
    <w:rsid w:val="00A623A2"/>
    <w:rsid w:val="00A6437D"/>
    <w:rsid w:val="00A6648F"/>
    <w:rsid w:val="00A67149"/>
    <w:rsid w:val="00A72370"/>
    <w:rsid w:val="00A749E1"/>
    <w:rsid w:val="00A759A2"/>
    <w:rsid w:val="00A77588"/>
    <w:rsid w:val="00A8087B"/>
    <w:rsid w:val="00A80C3A"/>
    <w:rsid w:val="00A855FE"/>
    <w:rsid w:val="00A85D72"/>
    <w:rsid w:val="00A90D35"/>
    <w:rsid w:val="00A92427"/>
    <w:rsid w:val="00A93252"/>
    <w:rsid w:val="00A9530A"/>
    <w:rsid w:val="00AA28CA"/>
    <w:rsid w:val="00AA3298"/>
    <w:rsid w:val="00AA5A60"/>
    <w:rsid w:val="00AA5DD5"/>
    <w:rsid w:val="00AB433D"/>
    <w:rsid w:val="00AB4527"/>
    <w:rsid w:val="00AC0AF4"/>
    <w:rsid w:val="00AC23F2"/>
    <w:rsid w:val="00AC29F9"/>
    <w:rsid w:val="00AC2EF0"/>
    <w:rsid w:val="00AC4378"/>
    <w:rsid w:val="00AC7AF1"/>
    <w:rsid w:val="00AD18AB"/>
    <w:rsid w:val="00AD218E"/>
    <w:rsid w:val="00AD34F3"/>
    <w:rsid w:val="00AD4F9A"/>
    <w:rsid w:val="00AD57D5"/>
    <w:rsid w:val="00AE0876"/>
    <w:rsid w:val="00AF1797"/>
    <w:rsid w:val="00AF20EC"/>
    <w:rsid w:val="00AF21F2"/>
    <w:rsid w:val="00AF255A"/>
    <w:rsid w:val="00AF3257"/>
    <w:rsid w:val="00AF3A6E"/>
    <w:rsid w:val="00AF5767"/>
    <w:rsid w:val="00AF6159"/>
    <w:rsid w:val="00AF618D"/>
    <w:rsid w:val="00AF71F6"/>
    <w:rsid w:val="00B009BA"/>
    <w:rsid w:val="00B01C5B"/>
    <w:rsid w:val="00B04E0C"/>
    <w:rsid w:val="00B056E0"/>
    <w:rsid w:val="00B05EF8"/>
    <w:rsid w:val="00B07955"/>
    <w:rsid w:val="00B13691"/>
    <w:rsid w:val="00B14223"/>
    <w:rsid w:val="00B14F77"/>
    <w:rsid w:val="00B157FD"/>
    <w:rsid w:val="00B15A25"/>
    <w:rsid w:val="00B174DC"/>
    <w:rsid w:val="00B20CCB"/>
    <w:rsid w:val="00B223AC"/>
    <w:rsid w:val="00B257B2"/>
    <w:rsid w:val="00B25A40"/>
    <w:rsid w:val="00B267C4"/>
    <w:rsid w:val="00B330F0"/>
    <w:rsid w:val="00B33D27"/>
    <w:rsid w:val="00B346C6"/>
    <w:rsid w:val="00B3579F"/>
    <w:rsid w:val="00B3696B"/>
    <w:rsid w:val="00B36A15"/>
    <w:rsid w:val="00B37BEF"/>
    <w:rsid w:val="00B40345"/>
    <w:rsid w:val="00B4081B"/>
    <w:rsid w:val="00B4081F"/>
    <w:rsid w:val="00B42E90"/>
    <w:rsid w:val="00B44918"/>
    <w:rsid w:val="00B5130B"/>
    <w:rsid w:val="00B5472D"/>
    <w:rsid w:val="00B60DE3"/>
    <w:rsid w:val="00B6183D"/>
    <w:rsid w:val="00B6196D"/>
    <w:rsid w:val="00B664C7"/>
    <w:rsid w:val="00B672D5"/>
    <w:rsid w:val="00B70D8B"/>
    <w:rsid w:val="00B7191F"/>
    <w:rsid w:val="00B7224A"/>
    <w:rsid w:val="00B73BEE"/>
    <w:rsid w:val="00B766D8"/>
    <w:rsid w:val="00B766F6"/>
    <w:rsid w:val="00B768C3"/>
    <w:rsid w:val="00B77661"/>
    <w:rsid w:val="00B77801"/>
    <w:rsid w:val="00B820A5"/>
    <w:rsid w:val="00B8346D"/>
    <w:rsid w:val="00B84C19"/>
    <w:rsid w:val="00B864C6"/>
    <w:rsid w:val="00B9229C"/>
    <w:rsid w:val="00B934AC"/>
    <w:rsid w:val="00B954BF"/>
    <w:rsid w:val="00B95A3B"/>
    <w:rsid w:val="00B97DC4"/>
    <w:rsid w:val="00BA1275"/>
    <w:rsid w:val="00BA1358"/>
    <w:rsid w:val="00BA24C8"/>
    <w:rsid w:val="00BA2B8B"/>
    <w:rsid w:val="00BA3EA1"/>
    <w:rsid w:val="00BA4490"/>
    <w:rsid w:val="00BA62F2"/>
    <w:rsid w:val="00BA7151"/>
    <w:rsid w:val="00BB34BF"/>
    <w:rsid w:val="00BB3BC4"/>
    <w:rsid w:val="00BB3EB1"/>
    <w:rsid w:val="00BB3F4E"/>
    <w:rsid w:val="00BB4E38"/>
    <w:rsid w:val="00BB63E0"/>
    <w:rsid w:val="00BB74DC"/>
    <w:rsid w:val="00BD1086"/>
    <w:rsid w:val="00BD28BE"/>
    <w:rsid w:val="00BD2D63"/>
    <w:rsid w:val="00BD55C1"/>
    <w:rsid w:val="00BE115D"/>
    <w:rsid w:val="00BE2D96"/>
    <w:rsid w:val="00BE33D3"/>
    <w:rsid w:val="00BE4302"/>
    <w:rsid w:val="00BE6E1D"/>
    <w:rsid w:val="00BE71E4"/>
    <w:rsid w:val="00BE7602"/>
    <w:rsid w:val="00BF00B1"/>
    <w:rsid w:val="00BF0738"/>
    <w:rsid w:val="00BF0984"/>
    <w:rsid w:val="00BF1814"/>
    <w:rsid w:val="00BF1D48"/>
    <w:rsid w:val="00BF281C"/>
    <w:rsid w:val="00BF2DD4"/>
    <w:rsid w:val="00BF3B8B"/>
    <w:rsid w:val="00BF751E"/>
    <w:rsid w:val="00C00CD4"/>
    <w:rsid w:val="00C012BB"/>
    <w:rsid w:val="00C01439"/>
    <w:rsid w:val="00C038DA"/>
    <w:rsid w:val="00C061FB"/>
    <w:rsid w:val="00C06C3C"/>
    <w:rsid w:val="00C076F5"/>
    <w:rsid w:val="00C07C50"/>
    <w:rsid w:val="00C10987"/>
    <w:rsid w:val="00C10D67"/>
    <w:rsid w:val="00C11DCA"/>
    <w:rsid w:val="00C13A1A"/>
    <w:rsid w:val="00C14810"/>
    <w:rsid w:val="00C17977"/>
    <w:rsid w:val="00C17AD3"/>
    <w:rsid w:val="00C20BF4"/>
    <w:rsid w:val="00C21224"/>
    <w:rsid w:val="00C213E4"/>
    <w:rsid w:val="00C21A28"/>
    <w:rsid w:val="00C25AB2"/>
    <w:rsid w:val="00C2609E"/>
    <w:rsid w:val="00C316BE"/>
    <w:rsid w:val="00C37697"/>
    <w:rsid w:val="00C41ECE"/>
    <w:rsid w:val="00C463DB"/>
    <w:rsid w:val="00C55C0D"/>
    <w:rsid w:val="00C55E50"/>
    <w:rsid w:val="00C5620D"/>
    <w:rsid w:val="00C567E8"/>
    <w:rsid w:val="00C569A2"/>
    <w:rsid w:val="00C60A5B"/>
    <w:rsid w:val="00C61A7C"/>
    <w:rsid w:val="00C62B15"/>
    <w:rsid w:val="00C643F9"/>
    <w:rsid w:val="00C64A0E"/>
    <w:rsid w:val="00C676DA"/>
    <w:rsid w:val="00C67C6C"/>
    <w:rsid w:val="00C708D1"/>
    <w:rsid w:val="00C713D2"/>
    <w:rsid w:val="00C7534A"/>
    <w:rsid w:val="00C76324"/>
    <w:rsid w:val="00C77582"/>
    <w:rsid w:val="00C83060"/>
    <w:rsid w:val="00C83CB2"/>
    <w:rsid w:val="00C83DD6"/>
    <w:rsid w:val="00C854A2"/>
    <w:rsid w:val="00C856BB"/>
    <w:rsid w:val="00C86283"/>
    <w:rsid w:val="00C9110D"/>
    <w:rsid w:val="00C91BC5"/>
    <w:rsid w:val="00C92A1F"/>
    <w:rsid w:val="00C94E48"/>
    <w:rsid w:val="00CA17BE"/>
    <w:rsid w:val="00CA4C43"/>
    <w:rsid w:val="00CB0623"/>
    <w:rsid w:val="00CB19E4"/>
    <w:rsid w:val="00CB1A21"/>
    <w:rsid w:val="00CB1D46"/>
    <w:rsid w:val="00CB639C"/>
    <w:rsid w:val="00CB6F7F"/>
    <w:rsid w:val="00CC1E68"/>
    <w:rsid w:val="00CC258B"/>
    <w:rsid w:val="00CC2812"/>
    <w:rsid w:val="00CC2AE1"/>
    <w:rsid w:val="00CC52B0"/>
    <w:rsid w:val="00CC5EF3"/>
    <w:rsid w:val="00CC6582"/>
    <w:rsid w:val="00CC6B58"/>
    <w:rsid w:val="00CD3EE6"/>
    <w:rsid w:val="00CD482D"/>
    <w:rsid w:val="00CD5BB3"/>
    <w:rsid w:val="00CD7133"/>
    <w:rsid w:val="00CE17D9"/>
    <w:rsid w:val="00CE34AC"/>
    <w:rsid w:val="00CE51D3"/>
    <w:rsid w:val="00CE5507"/>
    <w:rsid w:val="00CE56E4"/>
    <w:rsid w:val="00CE592A"/>
    <w:rsid w:val="00CE5B3F"/>
    <w:rsid w:val="00CE7EAE"/>
    <w:rsid w:val="00CF2C92"/>
    <w:rsid w:val="00CF2C9A"/>
    <w:rsid w:val="00CF751D"/>
    <w:rsid w:val="00D00690"/>
    <w:rsid w:val="00D02381"/>
    <w:rsid w:val="00D0276F"/>
    <w:rsid w:val="00D040D8"/>
    <w:rsid w:val="00D06A87"/>
    <w:rsid w:val="00D07A3F"/>
    <w:rsid w:val="00D11BE1"/>
    <w:rsid w:val="00D1650E"/>
    <w:rsid w:val="00D17201"/>
    <w:rsid w:val="00D17ADB"/>
    <w:rsid w:val="00D2019E"/>
    <w:rsid w:val="00D2287C"/>
    <w:rsid w:val="00D2395C"/>
    <w:rsid w:val="00D270D7"/>
    <w:rsid w:val="00D27EDD"/>
    <w:rsid w:val="00D311F4"/>
    <w:rsid w:val="00D3121E"/>
    <w:rsid w:val="00D317FA"/>
    <w:rsid w:val="00D34F24"/>
    <w:rsid w:val="00D35D1D"/>
    <w:rsid w:val="00D36943"/>
    <w:rsid w:val="00D37B99"/>
    <w:rsid w:val="00D40576"/>
    <w:rsid w:val="00D41E67"/>
    <w:rsid w:val="00D41F34"/>
    <w:rsid w:val="00D42B57"/>
    <w:rsid w:val="00D440B8"/>
    <w:rsid w:val="00D44D18"/>
    <w:rsid w:val="00D45023"/>
    <w:rsid w:val="00D45793"/>
    <w:rsid w:val="00D476BB"/>
    <w:rsid w:val="00D5037B"/>
    <w:rsid w:val="00D5141D"/>
    <w:rsid w:val="00D52B0E"/>
    <w:rsid w:val="00D54BD4"/>
    <w:rsid w:val="00D56963"/>
    <w:rsid w:val="00D64BB2"/>
    <w:rsid w:val="00D708A8"/>
    <w:rsid w:val="00D746C6"/>
    <w:rsid w:val="00D74993"/>
    <w:rsid w:val="00D762C5"/>
    <w:rsid w:val="00D76451"/>
    <w:rsid w:val="00D76CFA"/>
    <w:rsid w:val="00D77440"/>
    <w:rsid w:val="00D77E15"/>
    <w:rsid w:val="00D81301"/>
    <w:rsid w:val="00D8165C"/>
    <w:rsid w:val="00D8473E"/>
    <w:rsid w:val="00D877E3"/>
    <w:rsid w:val="00D920DF"/>
    <w:rsid w:val="00D94C27"/>
    <w:rsid w:val="00D962B6"/>
    <w:rsid w:val="00D96C6F"/>
    <w:rsid w:val="00D9724F"/>
    <w:rsid w:val="00D97FC6"/>
    <w:rsid w:val="00DA0CB9"/>
    <w:rsid w:val="00DA22B6"/>
    <w:rsid w:val="00DA3A55"/>
    <w:rsid w:val="00DA5163"/>
    <w:rsid w:val="00DA6CA5"/>
    <w:rsid w:val="00DA6CC5"/>
    <w:rsid w:val="00DB03F3"/>
    <w:rsid w:val="00DB1763"/>
    <w:rsid w:val="00DB1C22"/>
    <w:rsid w:val="00DB328A"/>
    <w:rsid w:val="00DB3EA3"/>
    <w:rsid w:val="00DB435E"/>
    <w:rsid w:val="00DB475C"/>
    <w:rsid w:val="00DC1FA4"/>
    <w:rsid w:val="00DC78E5"/>
    <w:rsid w:val="00DD06BF"/>
    <w:rsid w:val="00DD0DCB"/>
    <w:rsid w:val="00DD1165"/>
    <w:rsid w:val="00DD43FD"/>
    <w:rsid w:val="00DE3690"/>
    <w:rsid w:val="00DE65A9"/>
    <w:rsid w:val="00DF3884"/>
    <w:rsid w:val="00DF57D0"/>
    <w:rsid w:val="00E007FF"/>
    <w:rsid w:val="00E0138F"/>
    <w:rsid w:val="00E02BB7"/>
    <w:rsid w:val="00E05D33"/>
    <w:rsid w:val="00E06881"/>
    <w:rsid w:val="00E07637"/>
    <w:rsid w:val="00E07CD2"/>
    <w:rsid w:val="00E10F9B"/>
    <w:rsid w:val="00E1212A"/>
    <w:rsid w:val="00E1240C"/>
    <w:rsid w:val="00E15ED3"/>
    <w:rsid w:val="00E209A2"/>
    <w:rsid w:val="00E21BC7"/>
    <w:rsid w:val="00E21E83"/>
    <w:rsid w:val="00E23D41"/>
    <w:rsid w:val="00E243E1"/>
    <w:rsid w:val="00E25112"/>
    <w:rsid w:val="00E26B15"/>
    <w:rsid w:val="00E271E4"/>
    <w:rsid w:val="00E356A2"/>
    <w:rsid w:val="00E36957"/>
    <w:rsid w:val="00E36E5C"/>
    <w:rsid w:val="00E36ED5"/>
    <w:rsid w:val="00E37A12"/>
    <w:rsid w:val="00E40535"/>
    <w:rsid w:val="00E50207"/>
    <w:rsid w:val="00E52DDD"/>
    <w:rsid w:val="00E563ED"/>
    <w:rsid w:val="00E5724F"/>
    <w:rsid w:val="00E57B84"/>
    <w:rsid w:val="00E60DCC"/>
    <w:rsid w:val="00E66A37"/>
    <w:rsid w:val="00E67823"/>
    <w:rsid w:val="00E74E28"/>
    <w:rsid w:val="00E74FC6"/>
    <w:rsid w:val="00E75E9B"/>
    <w:rsid w:val="00E767DF"/>
    <w:rsid w:val="00E81370"/>
    <w:rsid w:val="00E8165E"/>
    <w:rsid w:val="00E83952"/>
    <w:rsid w:val="00E83E20"/>
    <w:rsid w:val="00E840FC"/>
    <w:rsid w:val="00E8655C"/>
    <w:rsid w:val="00E87CBB"/>
    <w:rsid w:val="00E90B5D"/>
    <w:rsid w:val="00E9163A"/>
    <w:rsid w:val="00E941ED"/>
    <w:rsid w:val="00E951AE"/>
    <w:rsid w:val="00E970A3"/>
    <w:rsid w:val="00E97A99"/>
    <w:rsid w:val="00EA31E9"/>
    <w:rsid w:val="00EA330C"/>
    <w:rsid w:val="00EA412B"/>
    <w:rsid w:val="00EA5DDB"/>
    <w:rsid w:val="00EA77C1"/>
    <w:rsid w:val="00EB201D"/>
    <w:rsid w:val="00EB23DD"/>
    <w:rsid w:val="00EB3111"/>
    <w:rsid w:val="00EB7D34"/>
    <w:rsid w:val="00EC18E8"/>
    <w:rsid w:val="00EC1963"/>
    <w:rsid w:val="00EC21D2"/>
    <w:rsid w:val="00EC240D"/>
    <w:rsid w:val="00EC247A"/>
    <w:rsid w:val="00EC28D1"/>
    <w:rsid w:val="00EC552C"/>
    <w:rsid w:val="00EC591E"/>
    <w:rsid w:val="00EC5DD1"/>
    <w:rsid w:val="00EC6AE3"/>
    <w:rsid w:val="00ED2774"/>
    <w:rsid w:val="00ED61D4"/>
    <w:rsid w:val="00ED6DD6"/>
    <w:rsid w:val="00EE1ACE"/>
    <w:rsid w:val="00EE2AD0"/>
    <w:rsid w:val="00EE4757"/>
    <w:rsid w:val="00EF0579"/>
    <w:rsid w:val="00EF0849"/>
    <w:rsid w:val="00EF0B8E"/>
    <w:rsid w:val="00EF1F15"/>
    <w:rsid w:val="00EF29FF"/>
    <w:rsid w:val="00EF79B5"/>
    <w:rsid w:val="00F02799"/>
    <w:rsid w:val="00F03085"/>
    <w:rsid w:val="00F06669"/>
    <w:rsid w:val="00F07F46"/>
    <w:rsid w:val="00F10746"/>
    <w:rsid w:val="00F11A5B"/>
    <w:rsid w:val="00F12757"/>
    <w:rsid w:val="00F12E10"/>
    <w:rsid w:val="00F12EE8"/>
    <w:rsid w:val="00F2166B"/>
    <w:rsid w:val="00F21A7F"/>
    <w:rsid w:val="00F2209B"/>
    <w:rsid w:val="00F22610"/>
    <w:rsid w:val="00F244B0"/>
    <w:rsid w:val="00F2494F"/>
    <w:rsid w:val="00F25089"/>
    <w:rsid w:val="00F2605E"/>
    <w:rsid w:val="00F2731C"/>
    <w:rsid w:val="00F3036C"/>
    <w:rsid w:val="00F3084A"/>
    <w:rsid w:val="00F349F0"/>
    <w:rsid w:val="00F35400"/>
    <w:rsid w:val="00F36397"/>
    <w:rsid w:val="00F40B20"/>
    <w:rsid w:val="00F4174A"/>
    <w:rsid w:val="00F41F0F"/>
    <w:rsid w:val="00F43E23"/>
    <w:rsid w:val="00F46DF7"/>
    <w:rsid w:val="00F47BE5"/>
    <w:rsid w:val="00F52AC8"/>
    <w:rsid w:val="00F52B07"/>
    <w:rsid w:val="00F53900"/>
    <w:rsid w:val="00F55C3A"/>
    <w:rsid w:val="00F56F2E"/>
    <w:rsid w:val="00F5703A"/>
    <w:rsid w:val="00F570A8"/>
    <w:rsid w:val="00F57E4D"/>
    <w:rsid w:val="00F62704"/>
    <w:rsid w:val="00F630C3"/>
    <w:rsid w:val="00F63DF0"/>
    <w:rsid w:val="00F64438"/>
    <w:rsid w:val="00F6492A"/>
    <w:rsid w:val="00F665F4"/>
    <w:rsid w:val="00F7019C"/>
    <w:rsid w:val="00F70AC9"/>
    <w:rsid w:val="00F74D1D"/>
    <w:rsid w:val="00F75238"/>
    <w:rsid w:val="00F75A91"/>
    <w:rsid w:val="00F81AB5"/>
    <w:rsid w:val="00F82E46"/>
    <w:rsid w:val="00F8682F"/>
    <w:rsid w:val="00F9328F"/>
    <w:rsid w:val="00F95078"/>
    <w:rsid w:val="00F950F5"/>
    <w:rsid w:val="00F970DB"/>
    <w:rsid w:val="00F97DF9"/>
    <w:rsid w:val="00FA1273"/>
    <w:rsid w:val="00FA520E"/>
    <w:rsid w:val="00FA6160"/>
    <w:rsid w:val="00FA6571"/>
    <w:rsid w:val="00FA7845"/>
    <w:rsid w:val="00FB1E09"/>
    <w:rsid w:val="00FB3487"/>
    <w:rsid w:val="00FB37CB"/>
    <w:rsid w:val="00FB425F"/>
    <w:rsid w:val="00FB4E91"/>
    <w:rsid w:val="00FB708F"/>
    <w:rsid w:val="00FC1F41"/>
    <w:rsid w:val="00FC2011"/>
    <w:rsid w:val="00FC6CCF"/>
    <w:rsid w:val="00FD0968"/>
    <w:rsid w:val="00FD1632"/>
    <w:rsid w:val="00FD25DA"/>
    <w:rsid w:val="00FD2F78"/>
    <w:rsid w:val="00FD2FD4"/>
    <w:rsid w:val="00FD3E3E"/>
    <w:rsid w:val="00FD5E4C"/>
    <w:rsid w:val="00FE1437"/>
    <w:rsid w:val="00FE2123"/>
    <w:rsid w:val="00FE6FBB"/>
    <w:rsid w:val="00FE73BB"/>
    <w:rsid w:val="00FE7946"/>
    <w:rsid w:val="00FF0085"/>
    <w:rsid w:val="00FF12A2"/>
    <w:rsid w:val="00FF1999"/>
    <w:rsid w:val="00FF23D8"/>
    <w:rsid w:val="00FF3002"/>
    <w:rsid w:val="00FF6CE0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1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1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A47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51D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51D7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651D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1D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476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1D7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51D77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51D77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651D7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651D77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51D7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51D77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1D77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651D77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651D77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651D77"/>
    <w:pPr>
      <w:spacing w:after="120"/>
      <w:jc w:val="both"/>
    </w:pPr>
  </w:style>
  <w:style w:type="character" w:styleId="a7">
    <w:name w:val="Strong"/>
    <w:basedOn w:val="a0"/>
    <w:uiPriority w:val="99"/>
    <w:qFormat/>
    <w:rsid w:val="00651D77"/>
    <w:rPr>
      <w:rFonts w:cs="Times New Roman"/>
      <w:b/>
      <w:bCs/>
    </w:rPr>
  </w:style>
  <w:style w:type="table" w:styleId="a8">
    <w:name w:val="Table Grid"/>
    <w:basedOn w:val="a1"/>
    <w:uiPriority w:val="99"/>
    <w:rsid w:val="00651D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51D7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651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51D77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51D7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51D77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651D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51D7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651D7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51D7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51D77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51D77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651D77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51D77"/>
    <w:rPr>
      <w:b/>
      <w:bCs/>
    </w:rPr>
  </w:style>
  <w:style w:type="paragraph" w:customStyle="1" w:styleId="af4">
    <w:name w:val="Стиль"/>
    <w:basedOn w:val="a"/>
    <w:uiPriority w:val="99"/>
    <w:rsid w:val="00651D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651D77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651D77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51D77"/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5A47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651D77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5A476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5A476C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5A476C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5A476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5A47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5A476C"/>
    <w:rPr>
      <w:sz w:val="9"/>
    </w:rPr>
  </w:style>
  <w:style w:type="paragraph" w:styleId="af8">
    <w:name w:val="footnote text"/>
    <w:basedOn w:val="a"/>
    <w:link w:val="af9"/>
    <w:uiPriority w:val="99"/>
    <w:rsid w:val="005A476C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5A476C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5A476C"/>
    <w:rPr>
      <w:rFonts w:cs="Times New Roman"/>
      <w:sz w:val="20"/>
      <w:szCs w:val="20"/>
      <w:lang w:eastAsia="en-US"/>
    </w:rPr>
  </w:style>
  <w:style w:type="paragraph" w:styleId="afb">
    <w:name w:val="Revision"/>
    <w:hidden/>
    <w:uiPriority w:val="99"/>
    <w:semiHidden/>
    <w:rsid w:val="00F97DF9"/>
    <w:pPr>
      <w:spacing w:after="0" w:line="240" w:lineRule="auto"/>
    </w:pPr>
    <w:rPr>
      <w:sz w:val="24"/>
      <w:szCs w:val="24"/>
    </w:rPr>
  </w:style>
  <w:style w:type="paragraph" w:customStyle="1" w:styleId="ConsNonformat">
    <w:name w:val="ConsNonformat"/>
    <w:uiPriority w:val="99"/>
    <w:rsid w:val="004C5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019_действующая редакция</Статус_x0020_документа>
    <_EndDate xmlns="http://schemas.microsoft.com/sharepoint/v3/fields">27.09.2018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419C-7B88-4658-8D85-9E76DA8B7605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3C55E24-38DC-41FA-8FAB-2BE091730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23F19-FBA2-4687-8501-823D3FA55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9913E-9FC4-4B84-8E7D-6CDBE9F4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1794</Words>
  <Characters>10231</Characters>
  <Application>Microsoft Office Word</Application>
  <DocSecurity>0</DocSecurity>
  <Lines>85</Lines>
  <Paragraphs>24</Paragraphs>
  <ScaleCrop>false</ScaleCrop>
  <Company>FRSD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voronovskaya.v</cp:lastModifiedBy>
  <cp:revision>2</cp:revision>
  <cp:lastPrinted>2017-04-12T12:22:00Z</cp:lastPrinted>
  <dcterms:created xsi:type="dcterms:W3CDTF">2018-10-15T13:19:00Z</dcterms:created>
  <dcterms:modified xsi:type="dcterms:W3CDTF">2018-10-15T13:19:00Z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