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B" w:rsidRDefault="00A00893" w:rsidP="00A00893">
      <w:pPr>
        <w:ind w:right="8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A00893" w:rsidRPr="00A00893" w:rsidRDefault="00A00893" w:rsidP="00A00893">
      <w:pPr>
        <w:spacing w:line="24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 xml:space="preserve">решением общего собрания владельцев </w:t>
      </w:r>
    </w:p>
    <w:p w:rsidR="00A00893" w:rsidRPr="00A00893" w:rsidRDefault="00A00893" w:rsidP="00A00893">
      <w:pPr>
        <w:spacing w:line="24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 xml:space="preserve">инвестиционных паёв Закрытого паевого </w:t>
      </w:r>
    </w:p>
    <w:p w:rsidR="00A00893" w:rsidRPr="00A00893" w:rsidRDefault="00A00893" w:rsidP="00A00893">
      <w:pPr>
        <w:spacing w:line="24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 xml:space="preserve">инвестиционного фонда недвижимости </w:t>
      </w:r>
    </w:p>
    <w:p w:rsidR="00A00893" w:rsidRPr="00A00893" w:rsidRDefault="00A00893" w:rsidP="00A00893">
      <w:pPr>
        <w:spacing w:line="24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>«Адмирал» 27 января 2016 года</w:t>
      </w:r>
    </w:p>
    <w:p w:rsidR="00A00893" w:rsidRDefault="00A00893" w:rsidP="00A00893">
      <w:pPr>
        <w:spacing w:line="36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</w:p>
    <w:p w:rsidR="004D79C3" w:rsidRPr="00A00893" w:rsidRDefault="00A00893" w:rsidP="00A00893">
      <w:pPr>
        <w:spacing w:after="240" w:line="36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>Председатель собрания</w:t>
      </w:r>
    </w:p>
    <w:p w:rsidR="00A00893" w:rsidRPr="00A00893" w:rsidRDefault="00A00893" w:rsidP="00A00893">
      <w:pPr>
        <w:spacing w:after="240" w:line="360" w:lineRule="auto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>______________</w:t>
      </w:r>
      <w:r>
        <w:rPr>
          <w:rFonts w:ascii="Times New Roman" w:hAnsi="Times New Roman"/>
          <w:b/>
          <w:sz w:val="18"/>
          <w:szCs w:val="18"/>
        </w:rPr>
        <w:t>_</w:t>
      </w:r>
      <w:r w:rsidRPr="00A00893">
        <w:rPr>
          <w:rFonts w:ascii="Times New Roman" w:hAnsi="Times New Roman"/>
          <w:b/>
          <w:sz w:val="18"/>
          <w:szCs w:val="18"/>
        </w:rPr>
        <w:t>________ Олехова Л.А.</w:t>
      </w:r>
    </w:p>
    <w:p w:rsidR="004D79C3" w:rsidRPr="00A00893" w:rsidRDefault="00A00893" w:rsidP="00A00893">
      <w:pPr>
        <w:spacing w:after="240"/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>Секретарь собрания</w:t>
      </w:r>
    </w:p>
    <w:p w:rsidR="00A00893" w:rsidRPr="00A00893" w:rsidRDefault="00A00893" w:rsidP="00A00893">
      <w:pPr>
        <w:ind w:right="850"/>
        <w:jc w:val="right"/>
        <w:rPr>
          <w:rFonts w:ascii="Times New Roman" w:hAnsi="Times New Roman"/>
          <w:b/>
          <w:sz w:val="18"/>
          <w:szCs w:val="18"/>
        </w:rPr>
      </w:pPr>
      <w:r w:rsidRPr="00A00893">
        <w:rPr>
          <w:rFonts w:ascii="Times New Roman" w:hAnsi="Times New Roman"/>
          <w:b/>
          <w:sz w:val="18"/>
          <w:szCs w:val="18"/>
        </w:rPr>
        <w:t>______________</w:t>
      </w:r>
      <w:r>
        <w:rPr>
          <w:rFonts w:ascii="Times New Roman" w:hAnsi="Times New Roman"/>
          <w:b/>
          <w:sz w:val="18"/>
          <w:szCs w:val="18"/>
        </w:rPr>
        <w:t>_</w:t>
      </w:r>
      <w:r w:rsidRPr="00A00893">
        <w:rPr>
          <w:rFonts w:ascii="Times New Roman" w:hAnsi="Times New Roman"/>
          <w:b/>
          <w:sz w:val="18"/>
          <w:szCs w:val="18"/>
        </w:rPr>
        <w:t xml:space="preserve">_____ </w:t>
      </w:r>
      <w:proofErr w:type="spellStart"/>
      <w:r w:rsidRPr="00A00893">
        <w:rPr>
          <w:rFonts w:ascii="Times New Roman" w:hAnsi="Times New Roman"/>
          <w:b/>
          <w:sz w:val="18"/>
          <w:szCs w:val="18"/>
        </w:rPr>
        <w:t>Стрищенко</w:t>
      </w:r>
      <w:proofErr w:type="spellEnd"/>
      <w:r w:rsidRPr="00A00893">
        <w:rPr>
          <w:rFonts w:ascii="Times New Roman" w:hAnsi="Times New Roman"/>
          <w:b/>
          <w:sz w:val="18"/>
          <w:szCs w:val="18"/>
        </w:rPr>
        <w:t xml:space="preserve"> Н.Г.</w:t>
      </w:r>
    </w:p>
    <w:p w:rsidR="004D79C3" w:rsidRDefault="004D79C3" w:rsidP="006959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4354" w:rsidRDefault="004C4354" w:rsidP="004C43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79C3" w:rsidRDefault="00A02407" w:rsidP="004C43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и дополнения №</w:t>
      </w:r>
      <w:r w:rsidR="004D79C3">
        <w:rPr>
          <w:rFonts w:ascii="Times New Roman" w:hAnsi="Times New Roman"/>
          <w:b/>
          <w:sz w:val="24"/>
          <w:szCs w:val="24"/>
        </w:rPr>
        <w:t xml:space="preserve"> 9</w:t>
      </w:r>
    </w:p>
    <w:p w:rsidR="00A02407" w:rsidRPr="0015782E" w:rsidRDefault="00A02407" w:rsidP="004C43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П</w:t>
      </w:r>
      <w:r w:rsidRPr="0015782E">
        <w:rPr>
          <w:rFonts w:ascii="Times New Roman" w:hAnsi="Times New Roman"/>
          <w:b/>
          <w:sz w:val="24"/>
          <w:szCs w:val="24"/>
        </w:rPr>
        <w:t>равила доверительного управления</w:t>
      </w:r>
    </w:p>
    <w:p w:rsidR="00A02407" w:rsidRDefault="00A02407" w:rsidP="004C4354">
      <w:pPr>
        <w:jc w:val="center"/>
        <w:rPr>
          <w:rFonts w:ascii="Times New Roman" w:hAnsi="Times New Roman"/>
          <w:b/>
          <w:sz w:val="24"/>
          <w:szCs w:val="24"/>
        </w:rPr>
      </w:pPr>
      <w:r w:rsidRPr="0015782E">
        <w:rPr>
          <w:rFonts w:ascii="Times New Roman" w:hAnsi="Times New Roman"/>
          <w:b/>
          <w:sz w:val="24"/>
          <w:szCs w:val="24"/>
        </w:rPr>
        <w:t>Закрытым паевым инвестиционным фондом недвижимости «Адмирал»</w:t>
      </w:r>
    </w:p>
    <w:p w:rsidR="00A02407" w:rsidRPr="0015782E" w:rsidRDefault="00A02407" w:rsidP="00695948">
      <w:pPr>
        <w:jc w:val="center"/>
        <w:rPr>
          <w:rFonts w:ascii="Times New Roman" w:hAnsi="Times New Roman"/>
          <w:sz w:val="20"/>
        </w:rPr>
      </w:pPr>
      <w:proofErr w:type="gramStart"/>
      <w:r w:rsidRPr="0015782E">
        <w:rPr>
          <w:rFonts w:ascii="Times New Roman" w:hAnsi="Times New Roman"/>
          <w:sz w:val="20"/>
        </w:rPr>
        <w:t>(Правила доверительного управления зарегистрированы  ФСФР России 05 августа 2008 года</w:t>
      </w:r>
      <w:proofErr w:type="gramEnd"/>
    </w:p>
    <w:p w:rsidR="00A02407" w:rsidRPr="0015782E" w:rsidRDefault="00A02407" w:rsidP="00695948">
      <w:pPr>
        <w:jc w:val="center"/>
        <w:rPr>
          <w:rFonts w:ascii="Times New Roman" w:hAnsi="Times New Roman"/>
          <w:sz w:val="20"/>
        </w:rPr>
      </w:pPr>
      <w:r w:rsidRPr="0015782E">
        <w:rPr>
          <w:rFonts w:ascii="Times New Roman" w:hAnsi="Times New Roman"/>
          <w:sz w:val="20"/>
        </w:rPr>
        <w:t>№</w:t>
      </w:r>
      <w:r w:rsidR="00375CB3">
        <w:rPr>
          <w:rFonts w:ascii="Times New Roman" w:hAnsi="Times New Roman"/>
          <w:sz w:val="20"/>
        </w:rPr>
        <w:t xml:space="preserve"> </w:t>
      </w:r>
      <w:r w:rsidRPr="0015782E">
        <w:rPr>
          <w:rFonts w:ascii="Times New Roman" w:hAnsi="Times New Roman"/>
          <w:sz w:val="20"/>
        </w:rPr>
        <w:t>1257-58229486)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564AEC" w:rsidRPr="00954F2B" w:rsidTr="004C4354">
        <w:tc>
          <w:tcPr>
            <w:tcW w:w="4786" w:type="dxa"/>
          </w:tcPr>
          <w:p w:rsidR="00564AEC" w:rsidRPr="006840B6" w:rsidRDefault="00564AEC" w:rsidP="00954F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B6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564AEC" w:rsidRPr="006840B6" w:rsidRDefault="00564AEC" w:rsidP="00954F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B6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564AEC" w:rsidRPr="00954F2B" w:rsidTr="004C4354">
        <w:trPr>
          <w:trHeight w:val="1753"/>
        </w:trPr>
        <w:tc>
          <w:tcPr>
            <w:tcW w:w="4786" w:type="dxa"/>
          </w:tcPr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  </w:t>
            </w:r>
            <w:bookmarkStart w:id="0" w:name="p_79"/>
            <w:bookmarkStart w:id="1" w:name="p_81"/>
            <w:bookmarkEnd w:id="0"/>
            <w:bookmarkEnd w:id="1"/>
            <w:r w:rsidRPr="006840B6">
              <w:rPr>
                <w:sz w:val="24"/>
                <w:szCs w:val="24"/>
              </w:rPr>
              <w:t xml:space="preserve"> 114. За счет имущества, составляющего фонд, выплачиваются вознаграждения управляющей компании в размере: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- 2,6 (Две целых шесть десятых) процентов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менее  90 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- 2,4 (Две целых четыре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90 000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рублей, но менее 110 000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- 2,2 (Две целых две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110 000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рублей,  но менее 140 000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-2,0 (Две целых)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140 000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рублей, но менее  </w:t>
            </w:r>
            <w:r w:rsidR="006840B6">
              <w:rPr>
                <w:sz w:val="24"/>
                <w:szCs w:val="24"/>
              </w:rPr>
              <w:t xml:space="preserve">        </w:t>
            </w:r>
            <w:r w:rsidRPr="006840B6">
              <w:rPr>
                <w:sz w:val="24"/>
                <w:szCs w:val="24"/>
              </w:rPr>
              <w:t xml:space="preserve"> 190 000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lastRenderedPageBreak/>
              <w:t xml:space="preserve">-1,9 (Одна целая девять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 равна или более 190 000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210 000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-1,8 (Одна целая восемь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 равна или более 210 000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230 000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 1,7 (Одна целая семь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 равна или более  230 000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245 000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 1,6 (Одна целая шесть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 равна или более   245 000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 275 000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- 1,5 (Одна целая пять десятых)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  275 000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рублей, но менее 300 000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- 1,4 (Одна целая четыре десятых)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 300 000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320 000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 1,3 (Одна целая три десятых)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 320 000 000 рублей, но менее 355 000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- 1,2 (Одна целая две десятых)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</w:t>
            </w:r>
            <w:r w:rsidRPr="006840B6">
              <w:rPr>
                <w:sz w:val="24"/>
                <w:szCs w:val="24"/>
              </w:rPr>
              <w:lastRenderedPageBreak/>
              <w:t xml:space="preserve">равна или более 355 000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рублей, но менее   400 000 000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 1,1 (Одна целая одна десятая)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400 000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480 000 000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-1,0 (Одна целая) процент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480 000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</w:t>
            </w:r>
            <w:r w:rsidR="006840B6">
              <w:rPr>
                <w:sz w:val="24"/>
                <w:szCs w:val="24"/>
              </w:rPr>
              <w:t xml:space="preserve">       </w:t>
            </w:r>
            <w:r w:rsidRPr="006840B6">
              <w:rPr>
                <w:sz w:val="24"/>
                <w:szCs w:val="24"/>
              </w:rPr>
              <w:t xml:space="preserve"> 550 000 000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-0,9 (Ноль целых девять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550 000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 650 000 000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-0,8 (Ноль целых восемь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650 000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 730 000 000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-0,7 (Ноль целых семь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730 000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  800 000 000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-0,6 (Ноль целых шесть десятых) процента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более  800 000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рублей, но менее 1 050 000 000  рублей;</w:t>
            </w:r>
          </w:p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- 0,55 (Ноль целых пятьдесят пять сотых) процента  среднегодовой стоимости чистых активов фонда, если на последний рабочий день </w:t>
            </w:r>
            <w:r w:rsidRPr="006840B6">
              <w:rPr>
                <w:color w:val="000000"/>
                <w:sz w:val="24"/>
                <w:szCs w:val="24"/>
              </w:rPr>
              <w:t xml:space="preserve">предшествующего календарного </w:t>
            </w:r>
            <w:r w:rsidRPr="006840B6">
              <w:rPr>
                <w:sz w:val="24"/>
                <w:szCs w:val="24"/>
              </w:rPr>
              <w:t xml:space="preserve"> месяца стоимость чистых активов фонда равна или </w:t>
            </w:r>
            <w:r w:rsidR="006840B6" w:rsidRPr="006840B6">
              <w:rPr>
                <w:sz w:val="24"/>
                <w:szCs w:val="24"/>
              </w:rPr>
              <w:t xml:space="preserve">более  </w:t>
            </w:r>
            <w:r w:rsidR="006840B6">
              <w:rPr>
                <w:sz w:val="24"/>
                <w:szCs w:val="24"/>
              </w:rPr>
              <w:t xml:space="preserve">                   </w:t>
            </w:r>
            <w:r w:rsidRPr="006840B6">
              <w:rPr>
                <w:sz w:val="24"/>
                <w:szCs w:val="24"/>
              </w:rPr>
              <w:t xml:space="preserve">1 050 000 </w:t>
            </w:r>
            <w:proofErr w:type="spellStart"/>
            <w:r w:rsidRPr="006840B6">
              <w:rPr>
                <w:sz w:val="24"/>
                <w:szCs w:val="24"/>
              </w:rPr>
              <w:t>000</w:t>
            </w:r>
            <w:proofErr w:type="spellEnd"/>
            <w:r w:rsidRPr="006840B6">
              <w:rPr>
                <w:sz w:val="24"/>
                <w:szCs w:val="24"/>
              </w:rPr>
              <w:t xml:space="preserve">  рублей;</w:t>
            </w:r>
          </w:p>
          <w:p w:rsidR="004D655A" w:rsidRPr="006840B6" w:rsidRDefault="004D655A" w:rsidP="004D655A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а также специализированному депозитарию, регистратору,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6840B6">
              <w:rPr>
                <w:sz w:val="24"/>
                <w:szCs w:val="24"/>
              </w:rPr>
              <w:t xml:space="preserve"> и оценщикам в размере не </w:t>
            </w:r>
            <w:r w:rsidRPr="006840B6">
              <w:rPr>
                <w:sz w:val="24"/>
                <w:szCs w:val="24"/>
              </w:rPr>
              <w:lastRenderedPageBreak/>
              <w:t>более 1,0 (Одного) процента (с учетом налога на добавленную стоимость) среднегодовой стоимости чистых активов фонда.</w:t>
            </w:r>
          </w:p>
          <w:p w:rsidR="00A760A7" w:rsidRPr="006840B6" w:rsidRDefault="00A760A7" w:rsidP="00A760A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117.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 по уплате обязательных </w:t>
            </w:r>
            <w:r w:rsidRPr="006840B6">
              <w:rPr>
                <w:sz w:val="24"/>
                <w:szCs w:val="24"/>
              </w:rPr>
              <w:lastRenderedPageBreak/>
              <w:t>платежей, установленных в соответствии с законодательством Российской Федерации в отношении имущества фонда или связанных с операциями с указанным имуществом;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</w:t>
            </w:r>
            <w:proofErr w:type="gramEnd"/>
            <w:r w:rsidRPr="006840B6">
              <w:rPr>
                <w:sz w:val="24"/>
                <w:szCs w:val="24"/>
              </w:rPr>
              <w:t xml:space="preserve"> инвестиционных паев по договорам доверительного управления имуществом фонда;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6840B6">
              <w:rPr>
                <w:sz w:val="24"/>
                <w:szCs w:val="24"/>
              </w:rPr>
              <w:t xml:space="preserve"> такого собрания;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расходы, связанные со страхованием </w:t>
            </w:r>
            <w:r w:rsidRPr="006840B6">
              <w:rPr>
                <w:sz w:val="24"/>
                <w:szCs w:val="24"/>
              </w:rPr>
              <w:lastRenderedPageBreak/>
              <w:t>недвижимого имущества фонда;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6840B6">
              <w:rPr>
                <w:sz w:val="24"/>
                <w:szCs w:val="24"/>
              </w:rPr>
              <w:t>регистрации права долевой собственности владельцев инвестиционных паев</w:t>
            </w:r>
            <w:proofErr w:type="gramEnd"/>
            <w:r w:rsidRPr="006840B6">
              <w:rPr>
                <w:sz w:val="24"/>
                <w:szCs w:val="24"/>
              </w:rPr>
              <w:t>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A760A7" w:rsidRPr="006840B6" w:rsidRDefault="00A760A7" w:rsidP="000D541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A760A7" w:rsidRPr="006840B6" w:rsidRDefault="00A760A7" w:rsidP="00A760A7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A760A7" w:rsidRPr="006840B6" w:rsidRDefault="00A760A7" w:rsidP="00A760A7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cs="Times New Roman CYR"/>
                <w:sz w:val="24"/>
                <w:szCs w:val="24"/>
                <w:lang w:eastAsia="ru-RU"/>
              </w:rPr>
            </w:pP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1" w:history="1">
              <w:r w:rsidRPr="006840B6">
                <w:rPr>
                  <w:rFonts w:cs="Times New Roman CYR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"Об инвестиционных фондах".</w:t>
            </w:r>
          </w:p>
          <w:p w:rsidR="00A760A7" w:rsidRPr="006840B6" w:rsidRDefault="00A760A7" w:rsidP="00A760A7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Максимальный размер расходов, подлежащих оплате за счет имущества, составляющего фонд,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за исключением налогов и иных обязательных платежей, связанных с доверительным управлением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lastRenderedPageBreak/>
              <w:t>фондом,</w:t>
            </w:r>
            <w:r w:rsidRPr="006840B6">
              <w:rPr>
                <w:sz w:val="24"/>
                <w:szCs w:val="24"/>
              </w:rPr>
              <w:t xml:space="preserve"> составляет 20 (двадцать)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1E1875" w:rsidRPr="006840B6" w:rsidRDefault="001E1875" w:rsidP="0065436F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655A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lastRenderedPageBreak/>
              <w:t xml:space="preserve">   114. За счет имущества, составляющего фонд, выплачиваются вознаграждения:           </w:t>
            </w:r>
          </w:p>
          <w:p w:rsidR="004D655A" w:rsidRPr="006840B6" w:rsidRDefault="004D655A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управляющей компании в размере 410 000  (Четыреста десять тысяч) </w:t>
            </w:r>
            <w:r w:rsidR="00A92A21" w:rsidRPr="006840B6">
              <w:rPr>
                <w:sz w:val="24"/>
                <w:szCs w:val="24"/>
              </w:rPr>
              <w:t xml:space="preserve">рублей </w:t>
            </w:r>
            <w:r w:rsidRPr="006840B6">
              <w:rPr>
                <w:sz w:val="24"/>
                <w:szCs w:val="24"/>
              </w:rPr>
              <w:t>в месяц, но не более 9 (</w:t>
            </w:r>
            <w:r w:rsidR="004239D0">
              <w:rPr>
                <w:sz w:val="24"/>
                <w:szCs w:val="24"/>
              </w:rPr>
              <w:t>Д</w:t>
            </w:r>
            <w:r w:rsidRPr="006840B6">
              <w:rPr>
                <w:sz w:val="24"/>
                <w:szCs w:val="24"/>
              </w:rPr>
              <w:t>евяти) процентов среднегодовой стоимости чистых активов фонда;</w:t>
            </w:r>
          </w:p>
          <w:p w:rsidR="00C32A66" w:rsidRPr="006840B6" w:rsidRDefault="004D655A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-специализированному депозитарию, регистратору,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6840B6">
              <w:rPr>
                <w:sz w:val="24"/>
                <w:szCs w:val="24"/>
              </w:rPr>
              <w:t xml:space="preserve"> и оценщикам в размере не более 1,0 (Одного) процента (с учетом налога на добавленную стоимость) среднегодовой стоимости чистых активов фонда</w:t>
            </w:r>
            <w:r w:rsidR="00D14EB0" w:rsidRPr="006840B6">
              <w:rPr>
                <w:sz w:val="24"/>
                <w:szCs w:val="24"/>
              </w:rPr>
              <w:t>.</w:t>
            </w: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6840B6" w:rsidRDefault="006840B6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4C4354" w:rsidRPr="006840B6" w:rsidRDefault="004C4354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sz w:val="24"/>
                <w:szCs w:val="24"/>
              </w:rPr>
            </w:pP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117.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</w:t>
            </w:r>
            <w:proofErr w:type="gramEnd"/>
            <w:r w:rsidRPr="006840B6">
              <w:rPr>
                <w:sz w:val="24"/>
                <w:szCs w:val="24"/>
              </w:rPr>
              <w:t xml:space="preserve"> агента валютного контроля при проведении операций с денежными средствами,</w:t>
            </w:r>
            <w:r w:rsidR="000D5410" w:rsidRPr="006840B6">
              <w:rPr>
                <w:sz w:val="24"/>
                <w:szCs w:val="24"/>
              </w:rPr>
              <w:t xml:space="preserve"> п</w:t>
            </w:r>
            <w:r w:rsidRPr="006840B6">
              <w:rPr>
                <w:sz w:val="24"/>
                <w:szCs w:val="24"/>
              </w:rPr>
              <w:t>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 по оплате услуг клиринговых организаций по определению взаимных обязательств по сделкам, совершенным с имуществом фонда, если такие услуги </w:t>
            </w:r>
            <w:r w:rsidRPr="006840B6">
              <w:rPr>
                <w:sz w:val="24"/>
                <w:szCs w:val="24"/>
              </w:rPr>
              <w:lastRenderedPageBreak/>
              <w:t>оказываются управляющей компании;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 по уплате обязательных платежей, установленных в соответствии с законодательством Российской Федерации в отношении имущества фонда или связанных с операциями с указанным имуществом;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</w:t>
            </w:r>
            <w:proofErr w:type="gramEnd"/>
            <w:r w:rsidRPr="006840B6">
              <w:rPr>
                <w:sz w:val="24"/>
                <w:szCs w:val="24"/>
              </w:rPr>
              <w:t xml:space="preserve"> нарушением прав владельцев инвестиционных паев по договорам доверительного управления имуществом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840B6">
              <w:rPr>
                <w:sz w:val="24"/>
                <w:szCs w:val="24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</w:t>
            </w:r>
            <w:proofErr w:type="gramEnd"/>
            <w:r w:rsidRPr="006840B6">
              <w:rPr>
                <w:sz w:val="24"/>
                <w:szCs w:val="24"/>
              </w:rPr>
              <w:t xml:space="preserve"> проведения такого собрания;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расходы, связанные с передачей прав и обязанностей новой управляющей компании по решению общего собрания владельцев </w:t>
            </w:r>
            <w:r w:rsidRPr="006840B6">
              <w:rPr>
                <w:sz w:val="24"/>
                <w:szCs w:val="24"/>
              </w:rPr>
              <w:lastRenderedPageBreak/>
              <w:t>инвестиционных паев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со страхованием недвижимого имущества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содержанием (эксплуатацией) и охраной земельных участков, зданий, строений, сооружений и помещений, составляющих имущество фонда (</w:t>
            </w:r>
            <w:proofErr w:type="gramStart"/>
            <w:r w:rsidRPr="006840B6">
              <w:rPr>
                <w:sz w:val="24"/>
                <w:szCs w:val="24"/>
              </w:rPr>
              <w:t>права</w:t>
            </w:r>
            <w:proofErr w:type="gramEnd"/>
            <w:r w:rsidRPr="006840B6">
              <w:rPr>
                <w:sz w:val="24"/>
                <w:szCs w:val="24"/>
              </w:rPr>
              <w:t xml:space="preserve"> аренды которых составляют имущество фонда), и поддержанием их в надлежащем состоянии;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6840B6">
              <w:rPr>
                <w:sz w:val="24"/>
                <w:szCs w:val="24"/>
              </w:rPr>
              <w:t>регистрации права долевой собственности владельцев инвестиционных паев</w:t>
            </w:r>
            <w:proofErr w:type="gramEnd"/>
            <w:r w:rsidRPr="006840B6">
              <w:rPr>
                <w:sz w:val="24"/>
                <w:szCs w:val="24"/>
              </w:rPr>
              <w:t>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 расходы, связанные с благоустройством земельного участка, составляющего имущество фонда (право </w:t>
            </w:r>
            <w:proofErr w:type="gramStart"/>
            <w:r w:rsidRPr="006840B6">
              <w:rPr>
                <w:sz w:val="24"/>
                <w:szCs w:val="24"/>
              </w:rPr>
              <w:t>аренды</w:t>
            </w:r>
            <w:proofErr w:type="gramEnd"/>
            <w:r w:rsidRPr="006840B6">
              <w:rPr>
                <w:sz w:val="24"/>
                <w:szCs w:val="24"/>
              </w:rPr>
              <w:t xml:space="preserve"> которого составляет имущество фонда);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рекламой подлежащих продаже или сдаче в аренду объектов недвижимости (имущественных прав), составляющих имущество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- 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D14EB0" w:rsidRPr="006840B6" w:rsidRDefault="00D14EB0" w:rsidP="00D14EB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 xml:space="preserve">-иные расходы, не указанные в настоящем пункте, при условии, что такие расходы допустимы в соответствии с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Федеральным </w:t>
            </w:r>
            <w:hyperlink r:id="rId12" w:history="1">
              <w:r w:rsidRPr="006840B6">
                <w:rPr>
                  <w:rFonts w:cs="Times New Roman CYR"/>
                  <w:sz w:val="24"/>
                  <w:szCs w:val="24"/>
                  <w:lang w:eastAsia="ru-RU"/>
                </w:rPr>
                <w:t>законом</w:t>
              </w:r>
            </w:hyperlink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"Об инвестиционных фондах" и совокупный предельный размер таких расходов  составляет не более 0,1 (нуля целых одно</w:t>
            </w:r>
            <w:r w:rsidR="00952BED">
              <w:rPr>
                <w:rFonts w:cs="Times New Roman CYR"/>
                <w:sz w:val="24"/>
                <w:szCs w:val="24"/>
                <w:lang w:eastAsia="ru-RU"/>
              </w:rPr>
              <w:t xml:space="preserve">й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>десято</w:t>
            </w:r>
            <w:r w:rsidR="00952BED">
              <w:rPr>
                <w:rFonts w:cs="Times New Roman CYR"/>
                <w:sz w:val="24"/>
                <w:szCs w:val="24"/>
                <w:lang w:eastAsia="ru-RU"/>
              </w:rPr>
              <w:t>й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) процента </w:t>
            </w:r>
            <w:r w:rsidRPr="006840B6">
              <w:rPr>
                <w:sz w:val="24"/>
                <w:szCs w:val="24"/>
              </w:rPr>
              <w:t xml:space="preserve">(с учетом налога на добавленную стоимость)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среднегодовой стоимости чистых активов 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lastRenderedPageBreak/>
              <w:t>фонда</w:t>
            </w:r>
            <w:r w:rsidRPr="006840B6">
              <w:rPr>
                <w:sz w:val="24"/>
                <w:szCs w:val="24"/>
              </w:rPr>
              <w:t>.</w:t>
            </w:r>
          </w:p>
          <w:p w:rsidR="00D14EB0" w:rsidRPr="006840B6" w:rsidRDefault="00D14EB0" w:rsidP="00D14EB0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r w:rsidRPr="006840B6">
              <w:rPr>
                <w:sz w:val="24"/>
                <w:szCs w:val="24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D14EB0" w:rsidRPr="006840B6" w:rsidRDefault="00D14EB0" w:rsidP="00D14EB0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cs="Times New Roman CYR"/>
                <w:sz w:val="24"/>
                <w:szCs w:val="24"/>
                <w:lang w:eastAsia="ru-RU"/>
              </w:rPr>
            </w:pP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3" w:history="1">
              <w:r w:rsidRPr="006840B6">
                <w:rPr>
                  <w:rFonts w:cs="Times New Roman CYR"/>
                  <w:sz w:val="24"/>
                  <w:szCs w:val="24"/>
                  <w:lang w:eastAsia="ru-RU"/>
                </w:rPr>
                <w:t>законом</w:t>
              </w:r>
            </w:hyperlink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"Об инвестиционных фондах".</w:t>
            </w:r>
          </w:p>
          <w:p w:rsidR="00D14EB0" w:rsidRPr="006840B6" w:rsidRDefault="00D14EB0" w:rsidP="00D14EB0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4"/>
                <w:szCs w:val="24"/>
              </w:rPr>
            </w:pPr>
            <w:bookmarkStart w:id="2" w:name="p_84"/>
            <w:bookmarkEnd w:id="2"/>
            <w:r w:rsidRPr="006840B6">
              <w:rPr>
                <w:sz w:val="24"/>
                <w:szCs w:val="24"/>
              </w:rPr>
              <w:t>Максимальный размер расходов, подлежащих оплате за счет имущества, составляющего фонд,</w:t>
            </w:r>
            <w:r w:rsidRPr="006840B6">
              <w:rPr>
                <w:rFonts w:cs="Times New Roman CYR"/>
                <w:sz w:val="24"/>
                <w:szCs w:val="24"/>
                <w:lang w:eastAsia="ru-RU"/>
              </w:rPr>
              <w:t xml:space="preserve"> за исключением налогов и иных обязательных платежей, связанных с доверительным управлением фондом,</w:t>
            </w:r>
            <w:r w:rsidRPr="006840B6">
              <w:rPr>
                <w:sz w:val="24"/>
                <w:szCs w:val="24"/>
              </w:rPr>
              <w:t xml:space="preserve"> составляет 20 (двадцать)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D14EB0" w:rsidRPr="006840B6" w:rsidRDefault="00D14EB0" w:rsidP="004D655A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0B6" w:rsidRDefault="006840B6" w:rsidP="00A02407">
      <w:pPr>
        <w:rPr>
          <w:rFonts w:ascii="Times New Roman" w:hAnsi="Times New Roman"/>
          <w:sz w:val="24"/>
          <w:szCs w:val="24"/>
        </w:rPr>
      </w:pPr>
      <w:bookmarkStart w:id="3" w:name="p_91"/>
      <w:bookmarkStart w:id="4" w:name="p_92"/>
      <w:bookmarkStart w:id="5" w:name="p_93"/>
      <w:bookmarkStart w:id="6" w:name="p_94"/>
      <w:bookmarkStart w:id="7" w:name="p_95"/>
      <w:bookmarkStart w:id="8" w:name="p_96"/>
      <w:bookmarkStart w:id="9" w:name="p_1012"/>
      <w:bookmarkStart w:id="10" w:name="p_97"/>
      <w:bookmarkStart w:id="11" w:name="p_98"/>
      <w:bookmarkStart w:id="12" w:name="p_1013"/>
      <w:bookmarkStart w:id="13" w:name="p_9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C4354" w:rsidRDefault="004C4354" w:rsidP="004C4354">
      <w:pPr>
        <w:rPr>
          <w:rFonts w:ascii="Times New Roman" w:hAnsi="Times New Roman"/>
          <w:sz w:val="24"/>
          <w:szCs w:val="24"/>
        </w:rPr>
      </w:pPr>
    </w:p>
    <w:p w:rsidR="004C4354" w:rsidRDefault="004C4354" w:rsidP="004C4354">
      <w:pPr>
        <w:rPr>
          <w:rFonts w:ascii="Times New Roman" w:hAnsi="Times New Roman"/>
          <w:sz w:val="24"/>
          <w:szCs w:val="24"/>
        </w:rPr>
      </w:pPr>
    </w:p>
    <w:p w:rsidR="00A02407" w:rsidRPr="0015782E" w:rsidRDefault="00A02407" w:rsidP="004C4354">
      <w:pPr>
        <w:rPr>
          <w:rFonts w:ascii="Times New Roman" w:hAnsi="Times New Roman"/>
          <w:b/>
          <w:bCs/>
          <w:spacing w:val="30"/>
          <w:sz w:val="24"/>
          <w:szCs w:val="24"/>
        </w:rPr>
      </w:pPr>
      <w:r w:rsidRPr="0015782E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                        </w:t>
      </w:r>
      <w:r w:rsidR="004D79C3">
        <w:rPr>
          <w:rFonts w:ascii="Times New Roman" w:hAnsi="Times New Roman"/>
          <w:sz w:val="24"/>
          <w:szCs w:val="24"/>
        </w:rPr>
        <w:t>Олехова Л.А.</w:t>
      </w:r>
    </w:p>
    <w:p w:rsidR="00B55F42" w:rsidRPr="00954F2B" w:rsidRDefault="00B55F42" w:rsidP="00954F2B">
      <w:pPr>
        <w:pStyle w:val="fieldcomment"/>
        <w:spacing w:line="276" w:lineRule="auto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sectPr w:rsidR="00B55F42" w:rsidRPr="00954F2B" w:rsidSect="004C4354">
      <w:headerReference w:type="default" r:id="rId14"/>
      <w:headerReference w:type="first" r:id="rId15"/>
      <w:pgSz w:w="11907" w:h="16840" w:code="9"/>
      <w:pgMar w:top="568" w:right="0" w:bottom="709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96" w:rsidRDefault="00CA7196">
      <w:r>
        <w:separator/>
      </w:r>
    </w:p>
  </w:endnote>
  <w:endnote w:type="continuationSeparator" w:id="0">
    <w:p w:rsidR="00CA7196" w:rsidRDefault="00CA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96" w:rsidRDefault="00CA7196">
      <w:r>
        <w:separator/>
      </w:r>
    </w:p>
  </w:footnote>
  <w:footnote w:type="continuationSeparator" w:id="0">
    <w:p w:rsidR="00CA7196" w:rsidRDefault="00CA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07" w:rsidRDefault="000B391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A02407"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9C1AC0">
      <w:rPr>
        <w:rStyle w:val="a7"/>
        <w:rFonts w:ascii="Times New Roman" w:hAnsi="Times New Roman"/>
        <w:noProof/>
      </w:rPr>
      <w:t>2</w:t>
    </w:r>
    <w:r>
      <w:rPr>
        <w:rStyle w:val="a7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07" w:rsidRDefault="00A0240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9126F0"/>
    <w:multiLevelType w:val="hybridMultilevel"/>
    <w:tmpl w:val="F138B8C8"/>
    <w:lvl w:ilvl="0" w:tplc="7A186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871063"/>
    <w:multiLevelType w:val="hybridMultilevel"/>
    <w:tmpl w:val="E55C8CD0"/>
    <w:lvl w:ilvl="0" w:tplc="85F6BEE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 CYR" w:eastAsia="Times New Roman" w:hAnsi="Times New Roman CYR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5311F"/>
    <w:multiLevelType w:val="hybridMultilevel"/>
    <w:tmpl w:val="77BCDC54"/>
    <w:lvl w:ilvl="0" w:tplc="0ABE6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AA5083E"/>
    <w:multiLevelType w:val="hybridMultilevel"/>
    <w:tmpl w:val="C1042C5E"/>
    <w:lvl w:ilvl="0" w:tplc="4C3AA4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9510F8"/>
    <w:multiLevelType w:val="hybridMultilevel"/>
    <w:tmpl w:val="A392A5B8"/>
    <w:lvl w:ilvl="0" w:tplc="1A64BA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 CYR" w:eastAsia="Times New Roman" w:hAnsi="Times New Roman CYR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1F33"/>
    <w:rsid w:val="0000302B"/>
    <w:rsid w:val="0000310F"/>
    <w:rsid w:val="0000630A"/>
    <w:rsid w:val="0000658E"/>
    <w:rsid w:val="00007035"/>
    <w:rsid w:val="000148CC"/>
    <w:rsid w:val="00015448"/>
    <w:rsid w:val="00021029"/>
    <w:rsid w:val="00022758"/>
    <w:rsid w:val="00031AD6"/>
    <w:rsid w:val="00031D9D"/>
    <w:rsid w:val="00031ED3"/>
    <w:rsid w:val="000370D3"/>
    <w:rsid w:val="000425CA"/>
    <w:rsid w:val="0004421E"/>
    <w:rsid w:val="00052B0F"/>
    <w:rsid w:val="0006056F"/>
    <w:rsid w:val="00062AF0"/>
    <w:rsid w:val="0006309C"/>
    <w:rsid w:val="0007348E"/>
    <w:rsid w:val="0007565E"/>
    <w:rsid w:val="00077791"/>
    <w:rsid w:val="00081408"/>
    <w:rsid w:val="0008393B"/>
    <w:rsid w:val="000853A3"/>
    <w:rsid w:val="000874F8"/>
    <w:rsid w:val="00087D2D"/>
    <w:rsid w:val="00096DC6"/>
    <w:rsid w:val="000A47FD"/>
    <w:rsid w:val="000B0215"/>
    <w:rsid w:val="000B3919"/>
    <w:rsid w:val="000C19FA"/>
    <w:rsid w:val="000D5410"/>
    <w:rsid w:val="000E1E85"/>
    <w:rsid w:val="000E35B0"/>
    <w:rsid w:val="000E4554"/>
    <w:rsid w:val="000E49B3"/>
    <w:rsid w:val="000E4A3E"/>
    <w:rsid w:val="000E5A1B"/>
    <w:rsid w:val="000F2207"/>
    <w:rsid w:val="000F3F5F"/>
    <w:rsid w:val="00102A68"/>
    <w:rsid w:val="00112A98"/>
    <w:rsid w:val="00114429"/>
    <w:rsid w:val="00115B45"/>
    <w:rsid w:val="001169B0"/>
    <w:rsid w:val="001200C4"/>
    <w:rsid w:val="001227EC"/>
    <w:rsid w:val="00122D78"/>
    <w:rsid w:val="0012390E"/>
    <w:rsid w:val="00131F77"/>
    <w:rsid w:val="00133AB5"/>
    <w:rsid w:val="001364EA"/>
    <w:rsid w:val="001409F3"/>
    <w:rsid w:val="00146464"/>
    <w:rsid w:val="00146522"/>
    <w:rsid w:val="00147340"/>
    <w:rsid w:val="0014760B"/>
    <w:rsid w:val="00147832"/>
    <w:rsid w:val="00147B76"/>
    <w:rsid w:val="00150589"/>
    <w:rsid w:val="0015782E"/>
    <w:rsid w:val="00164119"/>
    <w:rsid w:val="0017204B"/>
    <w:rsid w:val="00172713"/>
    <w:rsid w:val="001804A7"/>
    <w:rsid w:val="00180737"/>
    <w:rsid w:val="00186F80"/>
    <w:rsid w:val="00196875"/>
    <w:rsid w:val="00196C3F"/>
    <w:rsid w:val="00196CC9"/>
    <w:rsid w:val="001A5D74"/>
    <w:rsid w:val="001B1E5B"/>
    <w:rsid w:val="001B7B3A"/>
    <w:rsid w:val="001C1672"/>
    <w:rsid w:val="001C1B20"/>
    <w:rsid w:val="001C20D4"/>
    <w:rsid w:val="001C325B"/>
    <w:rsid w:val="001C3F1D"/>
    <w:rsid w:val="001C6F37"/>
    <w:rsid w:val="001C7C57"/>
    <w:rsid w:val="001D6335"/>
    <w:rsid w:val="001E1875"/>
    <w:rsid w:val="001E2CE6"/>
    <w:rsid w:val="001E4327"/>
    <w:rsid w:val="001E5842"/>
    <w:rsid w:val="001E6034"/>
    <w:rsid w:val="001E6273"/>
    <w:rsid w:val="001E6BEE"/>
    <w:rsid w:val="001E7ECE"/>
    <w:rsid w:val="001F3C03"/>
    <w:rsid w:val="001F416A"/>
    <w:rsid w:val="001F5B32"/>
    <w:rsid w:val="00200635"/>
    <w:rsid w:val="00200D6D"/>
    <w:rsid w:val="002060C2"/>
    <w:rsid w:val="00210E92"/>
    <w:rsid w:val="002134BB"/>
    <w:rsid w:val="00220B21"/>
    <w:rsid w:val="00222B60"/>
    <w:rsid w:val="00222DB7"/>
    <w:rsid w:val="0022485F"/>
    <w:rsid w:val="00231158"/>
    <w:rsid w:val="00231969"/>
    <w:rsid w:val="00234333"/>
    <w:rsid w:val="00235F37"/>
    <w:rsid w:val="00240359"/>
    <w:rsid w:val="0024415C"/>
    <w:rsid w:val="00247A7D"/>
    <w:rsid w:val="00250994"/>
    <w:rsid w:val="00252D45"/>
    <w:rsid w:val="00256331"/>
    <w:rsid w:val="002602EB"/>
    <w:rsid w:val="002652D3"/>
    <w:rsid w:val="00267B02"/>
    <w:rsid w:val="00276C02"/>
    <w:rsid w:val="00276C66"/>
    <w:rsid w:val="00276E4F"/>
    <w:rsid w:val="0028498A"/>
    <w:rsid w:val="0028648B"/>
    <w:rsid w:val="002900F9"/>
    <w:rsid w:val="00290FF7"/>
    <w:rsid w:val="00296CCB"/>
    <w:rsid w:val="002A3A61"/>
    <w:rsid w:val="002A4E70"/>
    <w:rsid w:val="002A7C9D"/>
    <w:rsid w:val="002B04E5"/>
    <w:rsid w:val="002B0B80"/>
    <w:rsid w:val="002B4876"/>
    <w:rsid w:val="002B7861"/>
    <w:rsid w:val="002B7DFB"/>
    <w:rsid w:val="002D61F6"/>
    <w:rsid w:val="002E023A"/>
    <w:rsid w:val="002E1C68"/>
    <w:rsid w:val="002E6B9B"/>
    <w:rsid w:val="002E73F1"/>
    <w:rsid w:val="002E7CD9"/>
    <w:rsid w:val="002F1AC1"/>
    <w:rsid w:val="002F7C96"/>
    <w:rsid w:val="00306E18"/>
    <w:rsid w:val="0030762C"/>
    <w:rsid w:val="00326BC7"/>
    <w:rsid w:val="00326E3D"/>
    <w:rsid w:val="00336D29"/>
    <w:rsid w:val="0035289B"/>
    <w:rsid w:val="003609A2"/>
    <w:rsid w:val="00365ED8"/>
    <w:rsid w:val="003703E8"/>
    <w:rsid w:val="0037450B"/>
    <w:rsid w:val="00375CB3"/>
    <w:rsid w:val="00380BD3"/>
    <w:rsid w:val="00383515"/>
    <w:rsid w:val="00386A90"/>
    <w:rsid w:val="003905E0"/>
    <w:rsid w:val="003A53D0"/>
    <w:rsid w:val="003A675D"/>
    <w:rsid w:val="003A6A19"/>
    <w:rsid w:val="003A7D27"/>
    <w:rsid w:val="003B2F7F"/>
    <w:rsid w:val="003B47D3"/>
    <w:rsid w:val="003B7F54"/>
    <w:rsid w:val="003C4D60"/>
    <w:rsid w:val="003D024F"/>
    <w:rsid w:val="003D08F4"/>
    <w:rsid w:val="003E3A80"/>
    <w:rsid w:val="003E6A2D"/>
    <w:rsid w:val="003F0B13"/>
    <w:rsid w:val="003F40CF"/>
    <w:rsid w:val="003F48E2"/>
    <w:rsid w:val="003F5414"/>
    <w:rsid w:val="003F5A16"/>
    <w:rsid w:val="004037DC"/>
    <w:rsid w:val="004057EE"/>
    <w:rsid w:val="0040697B"/>
    <w:rsid w:val="00410CF8"/>
    <w:rsid w:val="00412636"/>
    <w:rsid w:val="00415213"/>
    <w:rsid w:val="004166D5"/>
    <w:rsid w:val="004239D0"/>
    <w:rsid w:val="00424905"/>
    <w:rsid w:val="00427370"/>
    <w:rsid w:val="00432F51"/>
    <w:rsid w:val="00437BA7"/>
    <w:rsid w:val="0044129E"/>
    <w:rsid w:val="004432A2"/>
    <w:rsid w:val="00444251"/>
    <w:rsid w:val="00460680"/>
    <w:rsid w:val="00463C8A"/>
    <w:rsid w:val="00465C12"/>
    <w:rsid w:val="00466AEA"/>
    <w:rsid w:val="00472BE8"/>
    <w:rsid w:val="0048588A"/>
    <w:rsid w:val="004905BC"/>
    <w:rsid w:val="00492170"/>
    <w:rsid w:val="00493DBF"/>
    <w:rsid w:val="00493EF3"/>
    <w:rsid w:val="00495A68"/>
    <w:rsid w:val="00496976"/>
    <w:rsid w:val="004A3C41"/>
    <w:rsid w:val="004A4F2F"/>
    <w:rsid w:val="004B2890"/>
    <w:rsid w:val="004B49C5"/>
    <w:rsid w:val="004B7D78"/>
    <w:rsid w:val="004C02B8"/>
    <w:rsid w:val="004C1F04"/>
    <w:rsid w:val="004C4354"/>
    <w:rsid w:val="004C70BB"/>
    <w:rsid w:val="004C7512"/>
    <w:rsid w:val="004D159C"/>
    <w:rsid w:val="004D655A"/>
    <w:rsid w:val="004D79C3"/>
    <w:rsid w:val="004E10AE"/>
    <w:rsid w:val="004E306A"/>
    <w:rsid w:val="004E55EA"/>
    <w:rsid w:val="0050286C"/>
    <w:rsid w:val="00503CDA"/>
    <w:rsid w:val="00503E05"/>
    <w:rsid w:val="00510714"/>
    <w:rsid w:val="00510890"/>
    <w:rsid w:val="00517E0D"/>
    <w:rsid w:val="005247D3"/>
    <w:rsid w:val="005330AF"/>
    <w:rsid w:val="00542CE4"/>
    <w:rsid w:val="00544335"/>
    <w:rsid w:val="00544363"/>
    <w:rsid w:val="005471C7"/>
    <w:rsid w:val="00547E7F"/>
    <w:rsid w:val="00551167"/>
    <w:rsid w:val="0055746D"/>
    <w:rsid w:val="005609C3"/>
    <w:rsid w:val="00564AEC"/>
    <w:rsid w:val="0057225A"/>
    <w:rsid w:val="005724A5"/>
    <w:rsid w:val="00572C26"/>
    <w:rsid w:val="005741B2"/>
    <w:rsid w:val="005757FA"/>
    <w:rsid w:val="00577B7A"/>
    <w:rsid w:val="00587529"/>
    <w:rsid w:val="00591B82"/>
    <w:rsid w:val="005931A6"/>
    <w:rsid w:val="00595E12"/>
    <w:rsid w:val="00596E5A"/>
    <w:rsid w:val="0059715F"/>
    <w:rsid w:val="005B1176"/>
    <w:rsid w:val="005C664E"/>
    <w:rsid w:val="005D3A74"/>
    <w:rsid w:val="005D5854"/>
    <w:rsid w:val="005E0D84"/>
    <w:rsid w:val="005E3BA5"/>
    <w:rsid w:val="005E448A"/>
    <w:rsid w:val="005E7C82"/>
    <w:rsid w:val="005F501C"/>
    <w:rsid w:val="005F724C"/>
    <w:rsid w:val="005F78E2"/>
    <w:rsid w:val="00610469"/>
    <w:rsid w:val="00612557"/>
    <w:rsid w:val="006128D8"/>
    <w:rsid w:val="006211D4"/>
    <w:rsid w:val="0062124E"/>
    <w:rsid w:val="006317C4"/>
    <w:rsid w:val="00635C78"/>
    <w:rsid w:val="00640947"/>
    <w:rsid w:val="00642604"/>
    <w:rsid w:val="00643BB0"/>
    <w:rsid w:val="00646015"/>
    <w:rsid w:val="0065127B"/>
    <w:rsid w:val="00651BD4"/>
    <w:rsid w:val="006522D0"/>
    <w:rsid w:val="006540F5"/>
    <w:rsid w:val="0065436F"/>
    <w:rsid w:val="00661399"/>
    <w:rsid w:val="00667C27"/>
    <w:rsid w:val="00672DBE"/>
    <w:rsid w:val="00672E53"/>
    <w:rsid w:val="00674910"/>
    <w:rsid w:val="00681211"/>
    <w:rsid w:val="006813A9"/>
    <w:rsid w:val="00683F8C"/>
    <w:rsid w:val="006840B6"/>
    <w:rsid w:val="006842D8"/>
    <w:rsid w:val="006850A5"/>
    <w:rsid w:val="00685CA8"/>
    <w:rsid w:val="00690677"/>
    <w:rsid w:val="0069393B"/>
    <w:rsid w:val="00694205"/>
    <w:rsid w:val="00695948"/>
    <w:rsid w:val="00697A45"/>
    <w:rsid w:val="006A0E8C"/>
    <w:rsid w:val="006A62CB"/>
    <w:rsid w:val="006B0C59"/>
    <w:rsid w:val="006B1369"/>
    <w:rsid w:val="006B18B1"/>
    <w:rsid w:val="006B623E"/>
    <w:rsid w:val="006C2711"/>
    <w:rsid w:val="006C3DA1"/>
    <w:rsid w:val="006C6678"/>
    <w:rsid w:val="006D2838"/>
    <w:rsid w:val="006D6421"/>
    <w:rsid w:val="006D688B"/>
    <w:rsid w:val="006E1AD6"/>
    <w:rsid w:val="006E2814"/>
    <w:rsid w:val="006F2C2D"/>
    <w:rsid w:val="007158C3"/>
    <w:rsid w:val="00715D69"/>
    <w:rsid w:val="00717ED9"/>
    <w:rsid w:val="00720F77"/>
    <w:rsid w:val="00722CEC"/>
    <w:rsid w:val="0074206D"/>
    <w:rsid w:val="00743158"/>
    <w:rsid w:val="00743939"/>
    <w:rsid w:val="00761EEB"/>
    <w:rsid w:val="00763355"/>
    <w:rsid w:val="00763BC4"/>
    <w:rsid w:val="0076561B"/>
    <w:rsid w:val="0076671E"/>
    <w:rsid w:val="007676D2"/>
    <w:rsid w:val="007726CB"/>
    <w:rsid w:val="0077316A"/>
    <w:rsid w:val="00774CB9"/>
    <w:rsid w:val="00785C70"/>
    <w:rsid w:val="00787C0E"/>
    <w:rsid w:val="00790B62"/>
    <w:rsid w:val="007931DC"/>
    <w:rsid w:val="00794163"/>
    <w:rsid w:val="00795CD7"/>
    <w:rsid w:val="007A101B"/>
    <w:rsid w:val="007A4B11"/>
    <w:rsid w:val="007A6EF0"/>
    <w:rsid w:val="007B06F6"/>
    <w:rsid w:val="007B58B0"/>
    <w:rsid w:val="007C03AB"/>
    <w:rsid w:val="007C0473"/>
    <w:rsid w:val="007C1506"/>
    <w:rsid w:val="007C512D"/>
    <w:rsid w:val="007C6A7F"/>
    <w:rsid w:val="007D2962"/>
    <w:rsid w:val="007D33F8"/>
    <w:rsid w:val="007D3A37"/>
    <w:rsid w:val="007E126C"/>
    <w:rsid w:val="007E13DE"/>
    <w:rsid w:val="007F0670"/>
    <w:rsid w:val="007F0F7A"/>
    <w:rsid w:val="007F3203"/>
    <w:rsid w:val="007F3258"/>
    <w:rsid w:val="007F4663"/>
    <w:rsid w:val="007F46A5"/>
    <w:rsid w:val="00800CA9"/>
    <w:rsid w:val="00801CDF"/>
    <w:rsid w:val="008076DB"/>
    <w:rsid w:val="00811AC5"/>
    <w:rsid w:val="00823005"/>
    <w:rsid w:val="00831D5F"/>
    <w:rsid w:val="00837FF8"/>
    <w:rsid w:val="008431DD"/>
    <w:rsid w:val="00846B1A"/>
    <w:rsid w:val="00847441"/>
    <w:rsid w:val="00852912"/>
    <w:rsid w:val="00854880"/>
    <w:rsid w:val="00856467"/>
    <w:rsid w:val="00857B14"/>
    <w:rsid w:val="00860E1B"/>
    <w:rsid w:val="00863158"/>
    <w:rsid w:val="0086335E"/>
    <w:rsid w:val="0086414C"/>
    <w:rsid w:val="00865F40"/>
    <w:rsid w:val="008665A0"/>
    <w:rsid w:val="00871937"/>
    <w:rsid w:val="00874152"/>
    <w:rsid w:val="00874EF1"/>
    <w:rsid w:val="00875872"/>
    <w:rsid w:val="00881D5A"/>
    <w:rsid w:val="00882FCC"/>
    <w:rsid w:val="00883CAD"/>
    <w:rsid w:val="0088712D"/>
    <w:rsid w:val="008919DE"/>
    <w:rsid w:val="00894B0B"/>
    <w:rsid w:val="008A17E3"/>
    <w:rsid w:val="008A50C9"/>
    <w:rsid w:val="008A58A2"/>
    <w:rsid w:val="008A6453"/>
    <w:rsid w:val="008A7BB1"/>
    <w:rsid w:val="008B23B5"/>
    <w:rsid w:val="008B4751"/>
    <w:rsid w:val="008C2D1F"/>
    <w:rsid w:val="008C43AA"/>
    <w:rsid w:val="008C4C3D"/>
    <w:rsid w:val="008C5BF4"/>
    <w:rsid w:val="008D1738"/>
    <w:rsid w:val="008D22AC"/>
    <w:rsid w:val="008D45D7"/>
    <w:rsid w:val="008D4CC3"/>
    <w:rsid w:val="008D6D71"/>
    <w:rsid w:val="008D6FEC"/>
    <w:rsid w:val="008D7A22"/>
    <w:rsid w:val="008E16C8"/>
    <w:rsid w:val="008E5156"/>
    <w:rsid w:val="008E5505"/>
    <w:rsid w:val="008F5717"/>
    <w:rsid w:val="009005C6"/>
    <w:rsid w:val="00900CE9"/>
    <w:rsid w:val="00901C43"/>
    <w:rsid w:val="00904A7B"/>
    <w:rsid w:val="00904E3A"/>
    <w:rsid w:val="009072AF"/>
    <w:rsid w:val="00912BF6"/>
    <w:rsid w:val="00922E79"/>
    <w:rsid w:val="0092370E"/>
    <w:rsid w:val="00925F85"/>
    <w:rsid w:val="009308FD"/>
    <w:rsid w:val="00930E4A"/>
    <w:rsid w:val="009324A9"/>
    <w:rsid w:val="009333FA"/>
    <w:rsid w:val="00934349"/>
    <w:rsid w:val="00940464"/>
    <w:rsid w:val="00944CBC"/>
    <w:rsid w:val="009519B3"/>
    <w:rsid w:val="009528CB"/>
    <w:rsid w:val="00952BED"/>
    <w:rsid w:val="00954F2B"/>
    <w:rsid w:val="00955167"/>
    <w:rsid w:val="009562E7"/>
    <w:rsid w:val="00960F94"/>
    <w:rsid w:val="0096119A"/>
    <w:rsid w:val="00962483"/>
    <w:rsid w:val="0097361E"/>
    <w:rsid w:val="009767BB"/>
    <w:rsid w:val="009776DB"/>
    <w:rsid w:val="0097787F"/>
    <w:rsid w:val="00981DD5"/>
    <w:rsid w:val="009925E4"/>
    <w:rsid w:val="009955B9"/>
    <w:rsid w:val="009969FD"/>
    <w:rsid w:val="00996F92"/>
    <w:rsid w:val="009A41E5"/>
    <w:rsid w:val="009A5744"/>
    <w:rsid w:val="009B1A4B"/>
    <w:rsid w:val="009B2B63"/>
    <w:rsid w:val="009B41CC"/>
    <w:rsid w:val="009B5331"/>
    <w:rsid w:val="009B589C"/>
    <w:rsid w:val="009B5E65"/>
    <w:rsid w:val="009B67AB"/>
    <w:rsid w:val="009B77FF"/>
    <w:rsid w:val="009C1AC0"/>
    <w:rsid w:val="009C4ADB"/>
    <w:rsid w:val="009C5EB8"/>
    <w:rsid w:val="009C71BA"/>
    <w:rsid w:val="009D38FE"/>
    <w:rsid w:val="009E123D"/>
    <w:rsid w:val="009E4A28"/>
    <w:rsid w:val="009E6842"/>
    <w:rsid w:val="009F4723"/>
    <w:rsid w:val="009F4B75"/>
    <w:rsid w:val="00A0069C"/>
    <w:rsid w:val="00A00893"/>
    <w:rsid w:val="00A02407"/>
    <w:rsid w:val="00A0570A"/>
    <w:rsid w:val="00A10A68"/>
    <w:rsid w:val="00A1186B"/>
    <w:rsid w:val="00A14534"/>
    <w:rsid w:val="00A16B3E"/>
    <w:rsid w:val="00A21190"/>
    <w:rsid w:val="00A33CA2"/>
    <w:rsid w:val="00A4080D"/>
    <w:rsid w:val="00A460AC"/>
    <w:rsid w:val="00A52A46"/>
    <w:rsid w:val="00A530D6"/>
    <w:rsid w:val="00A55DD2"/>
    <w:rsid w:val="00A56915"/>
    <w:rsid w:val="00A618D0"/>
    <w:rsid w:val="00A629BF"/>
    <w:rsid w:val="00A6423A"/>
    <w:rsid w:val="00A6477B"/>
    <w:rsid w:val="00A71C9C"/>
    <w:rsid w:val="00A721A5"/>
    <w:rsid w:val="00A74160"/>
    <w:rsid w:val="00A7444D"/>
    <w:rsid w:val="00A74528"/>
    <w:rsid w:val="00A75A27"/>
    <w:rsid w:val="00A760A7"/>
    <w:rsid w:val="00A81C54"/>
    <w:rsid w:val="00A827D6"/>
    <w:rsid w:val="00A83F83"/>
    <w:rsid w:val="00A85F52"/>
    <w:rsid w:val="00A900F1"/>
    <w:rsid w:val="00A92A21"/>
    <w:rsid w:val="00A93AFB"/>
    <w:rsid w:val="00A95F02"/>
    <w:rsid w:val="00A968F1"/>
    <w:rsid w:val="00AA3DA6"/>
    <w:rsid w:val="00AA5314"/>
    <w:rsid w:val="00AA7F46"/>
    <w:rsid w:val="00AB24B2"/>
    <w:rsid w:val="00AB4186"/>
    <w:rsid w:val="00AB4AA3"/>
    <w:rsid w:val="00AB5638"/>
    <w:rsid w:val="00AC00E0"/>
    <w:rsid w:val="00AC0E38"/>
    <w:rsid w:val="00AC2D97"/>
    <w:rsid w:val="00AC420C"/>
    <w:rsid w:val="00AD34B3"/>
    <w:rsid w:val="00AD65AA"/>
    <w:rsid w:val="00AD688F"/>
    <w:rsid w:val="00AD7FFE"/>
    <w:rsid w:val="00AE100D"/>
    <w:rsid w:val="00AE2362"/>
    <w:rsid w:val="00AE5D33"/>
    <w:rsid w:val="00AE6C71"/>
    <w:rsid w:val="00AF53A1"/>
    <w:rsid w:val="00AF68F4"/>
    <w:rsid w:val="00AF769F"/>
    <w:rsid w:val="00B00693"/>
    <w:rsid w:val="00B00A56"/>
    <w:rsid w:val="00B049C5"/>
    <w:rsid w:val="00B07B64"/>
    <w:rsid w:val="00B10695"/>
    <w:rsid w:val="00B10A06"/>
    <w:rsid w:val="00B11F0A"/>
    <w:rsid w:val="00B1386F"/>
    <w:rsid w:val="00B173CA"/>
    <w:rsid w:val="00B176D2"/>
    <w:rsid w:val="00B20CF9"/>
    <w:rsid w:val="00B23F0B"/>
    <w:rsid w:val="00B2531F"/>
    <w:rsid w:val="00B272DE"/>
    <w:rsid w:val="00B3023D"/>
    <w:rsid w:val="00B3228C"/>
    <w:rsid w:val="00B36C68"/>
    <w:rsid w:val="00B4092F"/>
    <w:rsid w:val="00B40BCF"/>
    <w:rsid w:val="00B51FFA"/>
    <w:rsid w:val="00B5586D"/>
    <w:rsid w:val="00B55F42"/>
    <w:rsid w:val="00B567CD"/>
    <w:rsid w:val="00B56AE0"/>
    <w:rsid w:val="00B57CC0"/>
    <w:rsid w:val="00B651C9"/>
    <w:rsid w:val="00B656D6"/>
    <w:rsid w:val="00B6710A"/>
    <w:rsid w:val="00B6787E"/>
    <w:rsid w:val="00B711C2"/>
    <w:rsid w:val="00B71A25"/>
    <w:rsid w:val="00B740C3"/>
    <w:rsid w:val="00B75CF1"/>
    <w:rsid w:val="00B814D0"/>
    <w:rsid w:val="00B82587"/>
    <w:rsid w:val="00B912BE"/>
    <w:rsid w:val="00B93BD6"/>
    <w:rsid w:val="00BA070D"/>
    <w:rsid w:val="00BA0B7B"/>
    <w:rsid w:val="00BA1A61"/>
    <w:rsid w:val="00BA3EA1"/>
    <w:rsid w:val="00BA636E"/>
    <w:rsid w:val="00BA682D"/>
    <w:rsid w:val="00BA6C41"/>
    <w:rsid w:val="00BB3662"/>
    <w:rsid w:val="00BC28D2"/>
    <w:rsid w:val="00BC293A"/>
    <w:rsid w:val="00BC5041"/>
    <w:rsid w:val="00BC7E94"/>
    <w:rsid w:val="00BD30B6"/>
    <w:rsid w:val="00BD480D"/>
    <w:rsid w:val="00BD51C2"/>
    <w:rsid w:val="00BD56E2"/>
    <w:rsid w:val="00BD664D"/>
    <w:rsid w:val="00BE407E"/>
    <w:rsid w:val="00BE7255"/>
    <w:rsid w:val="00BF008A"/>
    <w:rsid w:val="00BF6B55"/>
    <w:rsid w:val="00C03C70"/>
    <w:rsid w:val="00C30500"/>
    <w:rsid w:val="00C30927"/>
    <w:rsid w:val="00C30F19"/>
    <w:rsid w:val="00C31BD4"/>
    <w:rsid w:val="00C32A66"/>
    <w:rsid w:val="00C32EA1"/>
    <w:rsid w:val="00C33C5B"/>
    <w:rsid w:val="00C3425F"/>
    <w:rsid w:val="00C34489"/>
    <w:rsid w:val="00C35C1E"/>
    <w:rsid w:val="00C35EB0"/>
    <w:rsid w:val="00C42740"/>
    <w:rsid w:val="00C43AE2"/>
    <w:rsid w:val="00C67479"/>
    <w:rsid w:val="00C71BBB"/>
    <w:rsid w:val="00C77889"/>
    <w:rsid w:val="00C77999"/>
    <w:rsid w:val="00C80D3C"/>
    <w:rsid w:val="00C84495"/>
    <w:rsid w:val="00C85D9F"/>
    <w:rsid w:val="00C91335"/>
    <w:rsid w:val="00C934EC"/>
    <w:rsid w:val="00CA01C0"/>
    <w:rsid w:val="00CA2E12"/>
    <w:rsid w:val="00CA4CB8"/>
    <w:rsid w:val="00CA4FCA"/>
    <w:rsid w:val="00CA7196"/>
    <w:rsid w:val="00CA7D15"/>
    <w:rsid w:val="00CC243E"/>
    <w:rsid w:val="00CC640A"/>
    <w:rsid w:val="00CD2392"/>
    <w:rsid w:val="00CD6B92"/>
    <w:rsid w:val="00CE1AFB"/>
    <w:rsid w:val="00CE6987"/>
    <w:rsid w:val="00CE6CDD"/>
    <w:rsid w:val="00CF4856"/>
    <w:rsid w:val="00CF59D6"/>
    <w:rsid w:val="00D017AC"/>
    <w:rsid w:val="00D04231"/>
    <w:rsid w:val="00D05A51"/>
    <w:rsid w:val="00D11E5F"/>
    <w:rsid w:val="00D1475C"/>
    <w:rsid w:val="00D14EB0"/>
    <w:rsid w:val="00D179DA"/>
    <w:rsid w:val="00D2287C"/>
    <w:rsid w:val="00D312E6"/>
    <w:rsid w:val="00D347E8"/>
    <w:rsid w:val="00D36320"/>
    <w:rsid w:val="00D37197"/>
    <w:rsid w:val="00D443EE"/>
    <w:rsid w:val="00D50CD0"/>
    <w:rsid w:val="00D5210E"/>
    <w:rsid w:val="00D653FC"/>
    <w:rsid w:val="00D65FE6"/>
    <w:rsid w:val="00D67EC6"/>
    <w:rsid w:val="00D7304D"/>
    <w:rsid w:val="00D751B1"/>
    <w:rsid w:val="00D771A0"/>
    <w:rsid w:val="00D80AC3"/>
    <w:rsid w:val="00D875D7"/>
    <w:rsid w:val="00D948D4"/>
    <w:rsid w:val="00D95EB1"/>
    <w:rsid w:val="00DA6898"/>
    <w:rsid w:val="00DB0114"/>
    <w:rsid w:val="00DB0E45"/>
    <w:rsid w:val="00DB1987"/>
    <w:rsid w:val="00DB1FF0"/>
    <w:rsid w:val="00DB452B"/>
    <w:rsid w:val="00DC122A"/>
    <w:rsid w:val="00DC17E7"/>
    <w:rsid w:val="00DC41F7"/>
    <w:rsid w:val="00DD0ADD"/>
    <w:rsid w:val="00DD1162"/>
    <w:rsid w:val="00DD3D59"/>
    <w:rsid w:val="00DD619B"/>
    <w:rsid w:val="00DE08FF"/>
    <w:rsid w:val="00DE104A"/>
    <w:rsid w:val="00DE1F58"/>
    <w:rsid w:val="00DE2A30"/>
    <w:rsid w:val="00DE2AA2"/>
    <w:rsid w:val="00DF1026"/>
    <w:rsid w:val="00DF118C"/>
    <w:rsid w:val="00E00E23"/>
    <w:rsid w:val="00E04C7A"/>
    <w:rsid w:val="00E051EA"/>
    <w:rsid w:val="00E11590"/>
    <w:rsid w:val="00E13D46"/>
    <w:rsid w:val="00E30BB7"/>
    <w:rsid w:val="00E31185"/>
    <w:rsid w:val="00E314BA"/>
    <w:rsid w:val="00E34CEE"/>
    <w:rsid w:val="00E375AB"/>
    <w:rsid w:val="00E44866"/>
    <w:rsid w:val="00E52264"/>
    <w:rsid w:val="00E528F5"/>
    <w:rsid w:val="00E54EE6"/>
    <w:rsid w:val="00E56A2B"/>
    <w:rsid w:val="00E606CD"/>
    <w:rsid w:val="00E726C4"/>
    <w:rsid w:val="00E7358C"/>
    <w:rsid w:val="00E77C0F"/>
    <w:rsid w:val="00E83BF0"/>
    <w:rsid w:val="00E868C2"/>
    <w:rsid w:val="00E93DCD"/>
    <w:rsid w:val="00E97F25"/>
    <w:rsid w:val="00EB0050"/>
    <w:rsid w:val="00EB2FD7"/>
    <w:rsid w:val="00EB3AA9"/>
    <w:rsid w:val="00EB4704"/>
    <w:rsid w:val="00EC3446"/>
    <w:rsid w:val="00EC502C"/>
    <w:rsid w:val="00EC5BCC"/>
    <w:rsid w:val="00EC6F14"/>
    <w:rsid w:val="00EE1A9A"/>
    <w:rsid w:val="00EE6991"/>
    <w:rsid w:val="00EF2DDC"/>
    <w:rsid w:val="00EF349F"/>
    <w:rsid w:val="00EF43AF"/>
    <w:rsid w:val="00EF4DC6"/>
    <w:rsid w:val="00EF752E"/>
    <w:rsid w:val="00F02DCB"/>
    <w:rsid w:val="00F044F3"/>
    <w:rsid w:val="00F06A88"/>
    <w:rsid w:val="00F1011D"/>
    <w:rsid w:val="00F10B13"/>
    <w:rsid w:val="00F133A6"/>
    <w:rsid w:val="00F15BEA"/>
    <w:rsid w:val="00F15F59"/>
    <w:rsid w:val="00F1686F"/>
    <w:rsid w:val="00F20C00"/>
    <w:rsid w:val="00F2647E"/>
    <w:rsid w:val="00F30CDD"/>
    <w:rsid w:val="00F355B3"/>
    <w:rsid w:val="00F3627A"/>
    <w:rsid w:val="00F41238"/>
    <w:rsid w:val="00F46A67"/>
    <w:rsid w:val="00F52717"/>
    <w:rsid w:val="00F53877"/>
    <w:rsid w:val="00F56A41"/>
    <w:rsid w:val="00F6122A"/>
    <w:rsid w:val="00F63041"/>
    <w:rsid w:val="00F63621"/>
    <w:rsid w:val="00F6469C"/>
    <w:rsid w:val="00F64785"/>
    <w:rsid w:val="00F65E6F"/>
    <w:rsid w:val="00F73506"/>
    <w:rsid w:val="00F74DAE"/>
    <w:rsid w:val="00F80D7D"/>
    <w:rsid w:val="00F963A7"/>
    <w:rsid w:val="00FA08A4"/>
    <w:rsid w:val="00FA7EB8"/>
    <w:rsid w:val="00FB1CBD"/>
    <w:rsid w:val="00FB54D6"/>
    <w:rsid w:val="00FC0822"/>
    <w:rsid w:val="00FC0E18"/>
    <w:rsid w:val="00FC45AA"/>
    <w:rsid w:val="00FD3DFE"/>
    <w:rsid w:val="00FD3E45"/>
    <w:rsid w:val="00FD46AF"/>
    <w:rsid w:val="00FD5FF2"/>
    <w:rsid w:val="00FE1A7C"/>
    <w:rsid w:val="00FE5E2C"/>
    <w:rsid w:val="00FF0DC2"/>
    <w:rsid w:val="00FF47F2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73"/>
    <w:pPr>
      <w:spacing w:line="360" w:lineRule="atLeast"/>
      <w:jc w:val="both"/>
    </w:pPr>
    <w:rPr>
      <w:rFonts w:cs="Times New Roman"/>
      <w:sz w:val="28"/>
      <w:lang w:eastAsia="zh-CN"/>
    </w:rPr>
  </w:style>
  <w:style w:type="paragraph" w:styleId="1">
    <w:name w:val="heading 1"/>
    <w:basedOn w:val="a"/>
    <w:link w:val="10"/>
    <w:uiPriority w:val="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47F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47F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47F2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F47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47F2"/>
    <w:rPr>
      <w:rFonts w:cs="Times New Roman"/>
      <w:sz w:val="28"/>
      <w:lang w:eastAsia="zh-CN"/>
    </w:rPr>
  </w:style>
  <w:style w:type="paragraph" w:styleId="a5">
    <w:name w:val="footer"/>
    <w:basedOn w:val="a"/>
    <w:link w:val="a6"/>
    <w:uiPriority w:val="99"/>
    <w:rsid w:val="00FF47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47F2"/>
    <w:rPr>
      <w:rFonts w:cs="Times New Roman"/>
      <w:sz w:val="28"/>
      <w:lang w:eastAsia="zh-CN"/>
    </w:rPr>
  </w:style>
  <w:style w:type="character" w:styleId="a7">
    <w:name w:val="page number"/>
    <w:basedOn w:val="a0"/>
    <w:uiPriority w:val="99"/>
    <w:rsid w:val="00FF47F2"/>
    <w:rPr>
      <w:rFonts w:cs="Times New Roman"/>
    </w:rPr>
  </w:style>
  <w:style w:type="character" w:styleId="a8">
    <w:name w:val="footnote reference"/>
    <w:basedOn w:val="a0"/>
    <w:uiPriority w:val="99"/>
    <w:semiHidden/>
    <w:rsid w:val="00FF47F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F47F2"/>
    <w:pPr>
      <w:spacing w:line="240" w:lineRule="auto"/>
      <w:jc w:val="left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F47F2"/>
    <w:rPr>
      <w:rFonts w:cs="Times New Roman"/>
      <w:lang w:eastAsia="zh-CN"/>
    </w:rPr>
  </w:style>
  <w:style w:type="paragraph" w:styleId="ab">
    <w:name w:val="Balloon Text"/>
    <w:basedOn w:val="a"/>
    <w:link w:val="ac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47F2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rsid w:val="00A0570A"/>
    <w:rPr>
      <w:rFonts w:cs="Times New Roman"/>
      <w:b/>
      <w:bCs/>
      <w:color w:val="000080"/>
      <w:u w:val="none"/>
      <w:effect w:val="none"/>
    </w:rPr>
  </w:style>
  <w:style w:type="paragraph" w:customStyle="1" w:styleId="ConsTitle">
    <w:name w:val="ConsTitle"/>
    <w:rsid w:val="00A0570A"/>
    <w:pPr>
      <w:widowControl w:val="0"/>
      <w:ind w:right="19772"/>
    </w:pPr>
    <w:rPr>
      <w:rFonts w:ascii="Arial" w:hAnsi="Arial" w:cs="Times New Roman"/>
      <w:b/>
      <w:sz w:val="16"/>
      <w:lang w:eastAsia="en-US"/>
    </w:rPr>
  </w:style>
  <w:style w:type="paragraph" w:customStyle="1" w:styleId="ConsPlusNormal">
    <w:name w:val="ConsPlusNormal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F47F2"/>
    <w:rPr>
      <w:rFonts w:cs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F47F2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fielddata">
    <w:name w:val="field_data"/>
    <w:basedOn w:val="a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character" w:styleId="af4">
    <w:name w:val="FollowedHyperlink"/>
    <w:basedOn w:val="a0"/>
    <w:uiPriority w:val="99"/>
    <w:rsid w:val="008C5BF4"/>
    <w:rPr>
      <w:rFonts w:cs="Times New Roman"/>
      <w:color w:val="800080"/>
      <w:u w:val="single"/>
    </w:rPr>
  </w:style>
  <w:style w:type="paragraph" w:styleId="af5">
    <w:name w:val="Document Map"/>
    <w:basedOn w:val="a"/>
    <w:link w:val="af6"/>
    <w:uiPriority w:val="99"/>
    <w:semiHidden/>
    <w:rsid w:val="007D3A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F47F2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564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7D2962"/>
    <w:pPr>
      <w:spacing w:line="240" w:lineRule="auto"/>
      <w:ind w:firstLine="709"/>
      <w:jc w:val="center"/>
    </w:pPr>
    <w:rPr>
      <w:rFonts w:cs="Times New Roman CYR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D296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8A45AA02CD325AC9EFB1D45E0CB40C2967579B0EF1B54B44527F7DA6Da1rB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8A45AA02CD325AC9EFB1D45E0CB40C2967579B0EF1B54B44527F7DA6Da1rB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8A45AA02CD325AC9EFB1D45E0CB40C2967579B0EF1B54B44527F7DA6Da1rB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009_не вступили в силу.Ждем публикацию</Статус_x0020_документа>
    <_EndDate xmlns="http://schemas.microsoft.com/sharepoint/v3/fields">03.03.2016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0425-A157-4209-B682-8511A9BB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D22B25-9A30-4DDF-9573-EAA069137C6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160C1C8-FB2A-415F-AA20-22E9CAB18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B8B31-C970-4508-9BF0-C1092ABE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2832</Words>
  <Characters>16145</Characters>
  <Application>Microsoft Office Word</Application>
  <DocSecurity>0</DocSecurity>
  <Lines>134</Lines>
  <Paragraphs>37</Paragraphs>
  <ScaleCrop>false</ScaleCrop>
  <Company>TI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2016-01-27T07:34:00Z</cp:lastPrinted>
  <dcterms:created xsi:type="dcterms:W3CDTF">2016-03-16T07:22:00Z</dcterms:created>
  <dcterms:modified xsi:type="dcterms:W3CDTF">2016-03-16T07:22:00Z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ContentTypeId">
    <vt:lpwstr>0x0101000A208CA240C4E143B0AB8415F7D7A4C9</vt:lpwstr>
  </property>
</Properties>
</file>