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BB6CC0" w:rsidRPr="00AD0329" w:rsidTr="005461AC">
        <w:tc>
          <w:tcPr>
            <w:tcW w:w="4861" w:type="dxa"/>
            <w:tcBorders>
              <w:top w:val="nil"/>
              <w:left w:val="nil"/>
              <w:bottom w:val="nil"/>
              <w:right w:val="nil"/>
            </w:tcBorders>
          </w:tcPr>
          <w:p w:rsidR="00BB6CC0" w:rsidRPr="00AD0329" w:rsidRDefault="00BB6CC0" w:rsidP="005461AC">
            <w:pPr>
              <w:pStyle w:val="1"/>
              <w:rPr>
                <w:sz w:val="24"/>
                <w:szCs w:val="24"/>
              </w:rPr>
            </w:pPr>
            <w:r w:rsidRPr="00AD0329">
              <w:rPr>
                <w:sz w:val="24"/>
                <w:szCs w:val="24"/>
              </w:rPr>
              <w:t>УТВЕРЖДЕН</w:t>
            </w:r>
            <w:r>
              <w:rPr>
                <w:sz w:val="24"/>
                <w:szCs w:val="24"/>
              </w:rPr>
              <w:t>Ы</w:t>
            </w:r>
          </w:p>
        </w:tc>
      </w:tr>
      <w:tr w:rsidR="00BB6CC0" w:rsidRPr="00AD0329" w:rsidTr="005461AC">
        <w:tc>
          <w:tcPr>
            <w:tcW w:w="4861" w:type="dxa"/>
            <w:tcBorders>
              <w:top w:val="nil"/>
              <w:left w:val="nil"/>
              <w:bottom w:val="nil"/>
              <w:right w:val="nil"/>
            </w:tcBorders>
          </w:tcPr>
          <w:p w:rsidR="00BB6CC0" w:rsidRPr="00AD0329" w:rsidRDefault="00BB6CC0" w:rsidP="005461AC">
            <w:r w:rsidRPr="00AD0329">
              <w:t xml:space="preserve">Приказом </w:t>
            </w:r>
          </w:p>
        </w:tc>
      </w:tr>
      <w:tr w:rsidR="00BB6CC0" w:rsidRPr="00AD0329" w:rsidTr="005461AC">
        <w:trPr>
          <w:trHeight w:val="332"/>
        </w:trPr>
        <w:tc>
          <w:tcPr>
            <w:tcW w:w="4861" w:type="dxa"/>
            <w:tcBorders>
              <w:top w:val="nil"/>
              <w:left w:val="nil"/>
              <w:bottom w:val="nil"/>
              <w:right w:val="nil"/>
            </w:tcBorders>
          </w:tcPr>
          <w:p w:rsidR="00BB6CC0" w:rsidRPr="00AD0329" w:rsidRDefault="00BB6CC0" w:rsidP="005461AC">
            <w:r w:rsidRPr="00AD0329">
              <w:t>Генерального директора</w:t>
            </w:r>
          </w:p>
        </w:tc>
      </w:tr>
      <w:tr w:rsidR="00BB6CC0" w:rsidRPr="00AD0329" w:rsidTr="005461AC">
        <w:tc>
          <w:tcPr>
            <w:tcW w:w="4861" w:type="dxa"/>
            <w:tcBorders>
              <w:top w:val="nil"/>
              <w:left w:val="nil"/>
              <w:bottom w:val="nil"/>
              <w:right w:val="nil"/>
            </w:tcBorders>
          </w:tcPr>
          <w:p w:rsidR="00BB6CC0" w:rsidRPr="00AD0329" w:rsidRDefault="00BB6CC0" w:rsidP="005461AC">
            <w:r w:rsidRPr="00AD0329">
              <w:t>ООО «УК «БФА»</w:t>
            </w:r>
          </w:p>
        </w:tc>
      </w:tr>
      <w:tr w:rsidR="00BB6CC0" w:rsidRPr="00AD0329" w:rsidTr="005461AC">
        <w:tc>
          <w:tcPr>
            <w:tcW w:w="4861" w:type="dxa"/>
            <w:tcBorders>
              <w:top w:val="nil"/>
              <w:left w:val="nil"/>
              <w:bottom w:val="nil"/>
              <w:right w:val="nil"/>
            </w:tcBorders>
          </w:tcPr>
          <w:p w:rsidR="00BB6CC0" w:rsidRPr="003D55C5" w:rsidRDefault="00BB6CC0" w:rsidP="002E68CB">
            <w:r w:rsidRPr="003D55C5">
              <w:t xml:space="preserve">№ </w:t>
            </w:r>
            <w:r w:rsidR="002E68CB">
              <w:rPr>
                <w:lang w:val="en-US"/>
              </w:rPr>
              <w:t>40/13-</w:t>
            </w:r>
            <w:r w:rsidR="002E68CB">
              <w:t>П</w:t>
            </w:r>
            <w:r>
              <w:t xml:space="preserve"> </w:t>
            </w:r>
            <w:r w:rsidR="002E68CB">
              <w:t xml:space="preserve">от 04 </w:t>
            </w:r>
            <w:r>
              <w:t>марта</w:t>
            </w:r>
            <w:r w:rsidRPr="003D55C5">
              <w:t xml:space="preserve"> 201</w:t>
            </w:r>
            <w:r>
              <w:t>3</w:t>
            </w:r>
            <w:r w:rsidRPr="003D55C5">
              <w:t xml:space="preserve"> </w:t>
            </w:r>
          </w:p>
        </w:tc>
      </w:tr>
    </w:tbl>
    <w:p w:rsidR="00BB6CC0" w:rsidRPr="00F558DC" w:rsidRDefault="00BB6CC0" w:rsidP="00BB6CC0">
      <w:pPr>
        <w:pStyle w:val="ConsTitle"/>
        <w:widowControl/>
        <w:jc w:val="center"/>
        <w:rPr>
          <w:rFonts w:ascii="Times New Roman" w:hAnsi="Times New Roman" w:cs="Times New Roman"/>
          <w:sz w:val="24"/>
          <w:szCs w:val="24"/>
        </w:rPr>
      </w:pPr>
    </w:p>
    <w:p w:rsidR="00BB6CC0" w:rsidRPr="00794ED7" w:rsidRDefault="00BB6CC0" w:rsidP="00BB6CC0">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Pr>
          <w:rFonts w:ascii="Times New Roman" w:hAnsi="Times New Roman" w:cs="Times New Roman"/>
          <w:sz w:val="28"/>
        </w:rPr>
        <w:t xml:space="preserve"> № 16</w:t>
      </w:r>
    </w:p>
    <w:p w:rsidR="00BB6CC0" w:rsidRDefault="00BB6CC0" w:rsidP="00BB6CC0">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BB6CC0" w:rsidRDefault="00BB6CC0" w:rsidP="00BB6CC0">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w:t>
      </w:r>
    </w:p>
    <w:p w:rsidR="00BB6CC0" w:rsidRDefault="00BB6CC0" w:rsidP="00BB6CC0">
      <w:pPr>
        <w:pStyle w:val="ConsTitle"/>
        <w:widowControl/>
        <w:jc w:val="center"/>
        <w:rPr>
          <w:rFonts w:ascii="Times New Roman" w:hAnsi="Times New Roman" w:cs="Times New Roman"/>
          <w:sz w:val="28"/>
        </w:rPr>
      </w:pPr>
      <w:r w:rsidRPr="00237569">
        <w:rPr>
          <w:rFonts w:ascii="Times New Roman" w:hAnsi="Times New Roman" w:cs="Times New Roman"/>
          <w:sz w:val="28"/>
          <w:szCs w:val="28"/>
        </w:rPr>
        <w:t>смешанных инвестиций</w:t>
      </w:r>
    </w:p>
    <w:p w:rsidR="00BB6CC0" w:rsidRPr="00237569" w:rsidRDefault="00BB6CC0" w:rsidP="00BB6CC0">
      <w:pPr>
        <w:pStyle w:val="ConsTitle"/>
        <w:widowControl/>
        <w:jc w:val="center"/>
        <w:rPr>
          <w:rFonts w:ascii="Times New Roman" w:hAnsi="Times New Roman" w:cs="Times New Roman"/>
          <w:sz w:val="28"/>
          <w:szCs w:val="28"/>
        </w:rPr>
      </w:pPr>
      <w:r w:rsidRPr="00237569">
        <w:rPr>
          <w:rFonts w:ascii="Times New Roman" w:hAnsi="Times New Roman" w:cs="Times New Roman"/>
          <w:sz w:val="28"/>
          <w:szCs w:val="28"/>
        </w:rPr>
        <w:t>«ТИТАН»</w:t>
      </w:r>
    </w:p>
    <w:p w:rsidR="00BB6CC0" w:rsidRPr="00BE3ACD" w:rsidRDefault="00BB6CC0" w:rsidP="00BB6CC0">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BB6CC0" w:rsidRPr="00B05BC1" w:rsidRDefault="00BB6CC0" w:rsidP="00BB6CC0">
      <w:pPr>
        <w:pStyle w:val="ConsTitle"/>
        <w:widowControl/>
        <w:jc w:val="center"/>
        <w:rPr>
          <w:rFonts w:ascii="Times New Roman" w:hAnsi="Times New Roman" w:cs="Times New Roman"/>
          <w:sz w:val="22"/>
          <w:szCs w:val="22"/>
        </w:rPr>
      </w:pPr>
    </w:p>
    <w:p w:rsidR="00BB6CC0" w:rsidRPr="004C5FA5" w:rsidRDefault="00BB6CC0" w:rsidP="00BB6CC0">
      <w:pPr>
        <w:pStyle w:val="ConsTitle"/>
        <w:widowControl/>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Pr>
          <w:b w:val="0"/>
          <w:sz w:val="22"/>
          <w:szCs w:val="22"/>
        </w:rPr>
        <w:t>Правила зарегистрированы ФСФР России 30.04.2003 г. за № 0106-58227563)</w:t>
      </w:r>
    </w:p>
    <w:p w:rsidR="00925700" w:rsidRDefault="00925700" w:rsidP="00925700">
      <w:pPr>
        <w:pStyle w:val="ConsTitle"/>
        <w:widowControl/>
        <w:jc w:val="center"/>
        <w:rPr>
          <w:rFonts w:ascii="Times New Roman" w:hAnsi="Times New Roman" w:cs="Times New Roman"/>
          <w:b w:val="0"/>
          <w:sz w:val="22"/>
          <w:szCs w:val="22"/>
        </w:rPr>
      </w:pPr>
    </w:p>
    <w:tbl>
      <w:tblPr>
        <w:tblStyle w:val="a4"/>
        <w:tblW w:w="10510" w:type="dxa"/>
        <w:tblInd w:w="-432" w:type="dxa"/>
        <w:tblLayout w:type="fixed"/>
        <w:tblLook w:val="01E0"/>
      </w:tblPr>
      <w:tblGrid>
        <w:gridCol w:w="5208"/>
        <w:gridCol w:w="5302"/>
      </w:tblGrid>
      <w:tr w:rsidR="00925700" w:rsidRPr="00B70386" w:rsidTr="00087A33">
        <w:trPr>
          <w:trHeight w:val="51"/>
        </w:trPr>
        <w:tc>
          <w:tcPr>
            <w:tcW w:w="5208" w:type="dxa"/>
          </w:tcPr>
          <w:p w:rsidR="00925700" w:rsidRPr="00121F4A" w:rsidRDefault="00925700" w:rsidP="00996A3B">
            <w:pPr>
              <w:ind w:left="-40" w:right="-45" w:firstLine="288"/>
              <w:jc w:val="center"/>
              <w:rPr>
                <w:b/>
                <w:sz w:val="22"/>
                <w:szCs w:val="22"/>
              </w:rPr>
            </w:pPr>
            <w:r w:rsidRPr="00121F4A">
              <w:rPr>
                <w:b/>
                <w:sz w:val="22"/>
                <w:szCs w:val="22"/>
              </w:rPr>
              <w:t>Старая редакция</w:t>
            </w:r>
          </w:p>
        </w:tc>
        <w:tc>
          <w:tcPr>
            <w:tcW w:w="5302" w:type="dxa"/>
          </w:tcPr>
          <w:p w:rsidR="00925700" w:rsidRPr="00121F4A" w:rsidRDefault="00925700" w:rsidP="00996A3B">
            <w:pPr>
              <w:ind w:left="-40" w:right="-45" w:firstLine="288"/>
              <w:jc w:val="center"/>
              <w:rPr>
                <w:b/>
                <w:sz w:val="22"/>
                <w:szCs w:val="22"/>
              </w:rPr>
            </w:pPr>
            <w:r w:rsidRPr="00121F4A">
              <w:rPr>
                <w:b/>
                <w:sz w:val="22"/>
                <w:szCs w:val="22"/>
              </w:rPr>
              <w:t>Новая редакция</w:t>
            </w:r>
          </w:p>
        </w:tc>
      </w:tr>
      <w:tr w:rsidR="00925700" w:rsidRPr="00B70386" w:rsidTr="00087A33">
        <w:tc>
          <w:tcPr>
            <w:tcW w:w="5208" w:type="dxa"/>
          </w:tcPr>
          <w:p w:rsidR="00584E41" w:rsidRDefault="00584E41" w:rsidP="008B181D">
            <w:pPr>
              <w:pStyle w:val="21"/>
              <w:numPr>
                <w:ilvl w:val="0"/>
                <w:numId w:val="1"/>
              </w:numPr>
              <w:tabs>
                <w:tab w:val="num" w:pos="426"/>
                <w:tab w:val="left" w:pos="846"/>
                <w:tab w:val="left" w:pos="1164"/>
              </w:tabs>
              <w:ind w:left="0" w:firstLine="425"/>
              <w:rPr>
                <w:sz w:val="20"/>
                <w:szCs w:val="20"/>
              </w:rPr>
            </w:pPr>
            <w:r w:rsidRPr="00584E41">
              <w:rPr>
                <w:sz w:val="20"/>
                <w:szCs w:val="20"/>
              </w:rPr>
              <w:t>Скидка, на которую уменьшается расчетная стоимость инвестиционного пая (далее – скидка), рассчитывается в следующем порядке:</w:t>
            </w:r>
          </w:p>
          <w:p w:rsidR="00584E41" w:rsidRDefault="00584E41" w:rsidP="008B181D">
            <w:pPr>
              <w:pStyle w:val="21"/>
              <w:tabs>
                <w:tab w:val="left" w:pos="846"/>
                <w:tab w:val="left" w:pos="1164"/>
              </w:tabs>
              <w:ind w:firstLine="425"/>
              <w:rPr>
                <w:sz w:val="20"/>
                <w:szCs w:val="20"/>
              </w:rPr>
            </w:pPr>
            <w:r w:rsidRPr="00584E41">
              <w:rPr>
                <w:sz w:val="20"/>
                <w:szCs w:val="20"/>
              </w:rPr>
              <w:t>При подаче заявки на погашение инвестиционных паев непосредственно управляющей компании или агенту Открытое акционерное общество «Балтийский Инвестиционный Банк» скидка составляет:</w:t>
            </w:r>
          </w:p>
          <w:p w:rsidR="00584E41" w:rsidRPr="00584E41" w:rsidRDefault="00584E41" w:rsidP="008B181D">
            <w:pPr>
              <w:pStyle w:val="21"/>
              <w:tabs>
                <w:tab w:val="left" w:pos="846"/>
                <w:tab w:val="left" w:pos="1164"/>
              </w:tabs>
              <w:ind w:firstLine="425"/>
              <w:rPr>
                <w:sz w:val="20"/>
                <w:szCs w:val="20"/>
              </w:rPr>
            </w:pPr>
            <w:r w:rsidRPr="00584E41">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приходной записи; </w:t>
            </w:r>
          </w:p>
          <w:p w:rsidR="00584E41" w:rsidRPr="00584E41" w:rsidRDefault="00584E41" w:rsidP="008B181D">
            <w:pPr>
              <w:pStyle w:val="21"/>
              <w:tabs>
                <w:tab w:val="left" w:pos="846"/>
                <w:tab w:val="left" w:pos="1164"/>
              </w:tabs>
              <w:ind w:firstLine="425"/>
              <w:rPr>
                <w:sz w:val="20"/>
                <w:szCs w:val="20"/>
              </w:rPr>
            </w:pPr>
            <w:r w:rsidRPr="00584E41">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приходной записи; </w:t>
            </w:r>
          </w:p>
          <w:p w:rsidR="00584E41" w:rsidRPr="00584E41" w:rsidRDefault="00584E41" w:rsidP="008B181D">
            <w:pPr>
              <w:pStyle w:val="21"/>
              <w:tabs>
                <w:tab w:val="left" w:pos="846"/>
                <w:tab w:val="left" w:pos="1164"/>
              </w:tabs>
              <w:ind w:firstLine="425"/>
              <w:rPr>
                <w:sz w:val="20"/>
                <w:szCs w:val="20"/>
              </w:rPr>
            </w:pPr>
            <w:r w:rsidRPr="00584E41">
              <w:rPr>
                <w:sz w:val="20"/>
                <w:szCs w:val="20"/>
              </w:rPr>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584E41" w:rsidRPr="00584E41" w:rsidRDefault="00584E41" w:rsidP="008B181D">
            <w:pPr>
              <w:pStyle w:val="21"/>
              <w:tabs>
                <w:tab w:val="left" w:pos="846"/>
                <w:tab w:val="left" w:pos="1164"/>
              </w:tabs>
              <w:ind w:firstLine="425"/>
              <w:rPr>
                <w:sz w:val="20"/>
                <w:szCs w:val="20"/>
              </w:rPr>
            </w:pPr>
            <w:r w:rsidRPr="00584E41">
              <w:rPr>
                <w:sz w:val="20"/>
                <w:szCs w:val="20"/>
              </w:rPr>
              <w:t>При подаче заявки на погашение инвестиционных паев агенту Банк ВТБ 24 (закрытое акционерное общество) скидка составляет:</w:t>
            </w:r>
          </w:p>
          <w:p w:rsidR="00584E41" w:rsidRPr="00584E41" w:rsidRDefault="00584E41" w:rsidP="008B181D">
            <w:pPr>
              <w:pStyle w:val="21"/>
              <w:tabs>
                <w:tab w:val="left" w:pos="846"/>
                <w:tab w:val="left" w:pos="1164"/>
              </w:tabs>
              <w:ind w:firstLine="425"/>
              <w:rPr>
                <w:sz w:val="20"/>
                <w:szCs w:val="20"/>
              </w:rPr>
            </w:pPr>
            <w:r w:rsidRPr="00584E41">
              <w:rPr>
                <w:sz w:val="20"/>
                <w:szCs w:val="20"/>
              </w:rPr>
              <w:t>1 (Один) процент (с учетом налога на добавленную стоимость), от расчетной стоимости одного инвестиционного пая.</w:t>
            </w:r>
          </w:p>
          <w:p w:rsidR="00584E41" w:rsidRPr="00584E41" w:rsidRDefault="00584E41" w:rsidP="008B181D">
            <w:pPr>
              <w:pStyle w:val="21"/>
              <w:tabs>
                <w:tab w:val="left" w:pos="846"/>
                <w:tab w:val="left" w:pos="1164"/>
              </w:tabs>
              <w:ind w:firstLine="425"/>
              <w:rPr>
                <w:sz w:val="20"/>
                <w:szCs w:val="20"/>
              </w:rPr>
            </w:pPr>
            <w:r w:rsidRPr="00584E41">
              <w:rPr>
                <w:sz w:val="20"/>
                <w:szCs w:val="20"/>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584E41" w:rsidRPr="00584E41" w:rsidRDefault="00584E41" w:rsidP="008B181D">
            <w:pPr>
              <w:pStyle w:val="21"/>
              <w:tabs>
                <w:tab w:val="left" w:pos="846"/>
                <w:tab w:val="left" w:pos="1164"/>
              </w:tabs>
              <w:ind w:firstLine="425"/>
              <w:rPr>
                <w:sz w:val="20"/>
                <w:szCs w:val="20"/>
              </w:rPr>
            </w:pPr>
            <w:r w:rsidRPr="00584E41">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584E41" w:rsidRPr="00584E41" w:rsidRDefault="00584E41" w:rsidP="008B181D">
            <w:pPr>
              <w:pStyle w:val="21"/>
              <w:tabs>
                <w:tab w:val="left" w:pos="846"/>
                <w:tab w:val="left" w:pos="1164"/>
              </w:tabs>
              <w:ind w:firstLine="425"/>
              <w:rPr>
                <w:sz w:val="20"/>
                <w:szCs w:val="20"/>
              </w:rPr>
            </w:pPr>
            <w:r w:rsidRPr="00584E41">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w:t>
            </w:r>
            <w:r w:rsidRPr="00584E41">
              <w:rPr>
                <w:sz w:val="20"/>
                <w:szCs w:val="20"/>
              </w:rPr>
              <w:lastRenderedPageBreak/>
              <w:t>180 (Сто восемьдесят) дней со дня внесения в реестр владельцев инвестиционных паев приходной записи.</w:t>
            </w:r>
          </w:p>
          <w:p w:rsidR="00584E41" w:rsidRPr="00584E41" w:rsidRDefault="00584E41" w:rsidP="008B181D">
            <w:pPr>
              <w:pStyle w:val="21"/>
              <w:tabs>
                <w:tab w:val="left" w:pos="846"/>
                <w:tab w:val="left" w:pos="1164"/>
              </w:tabs>
              <w:ind w:firstLine="425"/>
              <w:rPr>
                <w:sz w:val="20"/>
                <w:szCs w:val="20"/>
              </w:rPr>
            </w:pPr>
            <w:r w:rsidRPr="00584E41">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925700" w:rsidRPr="002255A7" w:rsidRDefault="00925700" w:rsidP="008B181D">
            <w:pPr>
              <w:pStyle w:val="21"/>
              <w:tabs>
                <w:tab w:val="left" w:pos="846"/>
                <w:tab w:val="left" w:pos="1164"/>
              </w:tabs>
              <w:ind w:firstLine="425"/>
              <w:rPr>
                <w:sz w:val="20"/>
                <w:szCs w:val="20"/>
              </w:rPr>
            </w:pPr>
          </w:p>
        </w:tc>
        <w:tc>
          <w:tcPr>
            <w:tcW w:w="5302" w:type="dxa"/>
          </w:tcPr>
          <w:p w:rsidR="00584E41" w:rsidRPr="008B181D" w:rsidRDefault="00584E41" w:rsidP="008B181D">
            <w:pPr>
              <w:tabs>
                <w:tab w:val="num" w:pos="426"/>
                <w:tab w:val="left" w:pos="993"/>
                <w:tab w:val="left" w:pos="1134"/>
                <w:tab w:val="left" w:pos="1164"/>
                <w:tab w:val="num" w:pos="1843"/>
              </w:tabs>
              <w:ind w:firstLine="425"/>
              <w:jc w:val="both"/>
              <w:rPr>
                <w:sz w:val="20"/>
                <w:szCs w:val="20"/>
              </w:rPr>
            </w:pPr>
            <w:r w:rsidRPr="008B181D">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584E41" w:rsidRPr="008B181D" w:rsidRDefault="00584E41" w:rsidP="008B181D">
            <w:pPr>
              <w:tabs>
                <w:tab w:val="num" w:pos="426"/>
                <w:tab w:val="left" w:pos="993"/>
                <w:tab w:val="left" w:pos="1134"/>
                <w:tab w:val="left" w:pos="1164"/>
                <w:tab w:val="num" w:pos="1843"/>
              </w:tabs>
              <w:ind w:firstLine="425"/>
              <w:jc w:val="both"/>
              <w:rPr>
                <w:sz w:val="20"/>
                <w:szCs w:val="20"/>
              </w:rPr>
            </w:pPr>
            <w:r w:rsidRPr="008B181D">
              <w:rPr>
                <w:sz w:val="20"/>
                <w:szCs w:val="20"/>
              </w:rPr>
              <w:t xml:space="preserve">При подаче заявки на погашение инвестиционных паев непосредственно управляющей компании скидка составляет: </w:t>
            </w:r>
          </w:p>
          <w:p w:rsidR="00584E41" w:rsidRPr="008B181D" w:rsidRDefault="00584E41" w:rsidP="008B181D">
            <w:pPr>
              <w:tabs>
                <w:tab w:val="num" w:pos="426"/>
                <w:tab w:val="left" w:pos="993"/>
                <w:tab w:val="left" w:pos="1134"/>
                <w:tab w:val="left" w:pos="1164"/>
                <w:tab w:val="num" w:pos="1843"/>
              </w:tabs>
              <w:ind w:firstLine="425"/>
              <w:jc w:val="both"/>
              <w:rPr>
                <w:sz w:val="20"/>
                <w:szCs w:val="20"/>
              </w:rPr>
            </w:pPr>
            <w:r w:rsidRPr="008B181D">
              <w:rPr>
                <w:sz w:val="20"/>
                <w:szCs w:val="20"/>
              </w:rPr>
              <w:t>1 (Один) процент (</w:t>
            </w:r>
            <w:r w:rsidR="008B181D" w:rsidRPr="008B181D">
              <w:rPr>
                <w:sz w:val="20"/>
                <w:szCs w:val="20"/>
              </w:rPr>
              <w:t>налогом на добавленную стоимость не облагается</w:t>
            </w:r>
            <w:r w:rsidRPr="008B181D">
              <w:rPr>
                <w:sz w:val="20"/>
                <w:szCs w:val="20"/>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приходной записи; </w:t>
            </w:r>
          </w:p>
          <w:p w:rsidR="00584E41" w:rsidRPr="008B181D" w:rsidRDefault="00584E41" w:rsidP="008B181D">
            <w:pPr>
              <w:tabs>
                <w:tab w:val="num" w:pos="426"/>
                <w:tab w:val="left" w:pos="993"/>
                <w:tab w:val="left" w:pos="1134"/>
                <w:tab w:val="left" w:pos="1164"/>
                <w:tab w:val="num" w:pos="1843"/>
              </w:tabs>
              <w:ind w:firstLine="425"/>
              <w:jc w:val="both"/>
              <w:rPr>
                <w:sz w:val="20"/>
                <w:szCs w:val="20"/>
              </w:rPr>
            </w:pPr>
            <w:r w:rsidRPr="008B181D">
              <w:rPr>
                <w:sz w:val="20"/>
                <w:szCs w:val="20"/>
              </w:rPr>
              <w:t>0,5 (Ноль целых пять десятых) процента (</w:t>
            </w:r>
            <w:r w:rsidR="008B181D" w:rsidRPr="008B181D">
              <w:rPr>
                <w:sz w:val="20"/>
                <w:szCs w:val="20"/>
              </w:rPr>
              <w:t>налогом на добавленную стоимость не облагается</w:t>
            </w:r>
            <w:r w:rsidRPr="008B181D">
              <w:rPr>
                <w:sz w:val="20"/>
                <w:szCs w:val="20"/>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приходной записи; </w:t>
            </w:r>
          </w:p>
          <w:p w:rsid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 xml:space="preserve">не </w:t>
            </w:r>
            <w:r w:rsidR="00865CD9" w:rsidRPr="008B181D">
              <w:rPr>
                <w:sz w:val="20"/>
                <w:szCs w:val="20"/>
              </w:rPr>
              <w:t>устанавливается</w:t>
            </w:r>
            <w:r w:rsidRPr="008B181D">
              <w:rPr>
                <w:sz w:val="20"/>
                <w:szCs w:val="20"/>
              </w:rPr>
              <w:t xml:space="preserve"> при подаче заявки </w:t>
            </w:r>
            <w:r w:rsidR="002D4A67" w:rsidRPr="008B181D">
              <w:rPr>
                <w:sz w:val="20"/>
                <w:szCs w:val="20"/>
              </w:rPr>
              <w:t xml:space="preserve">на погашение </w:t>
            </w:r>
            <w:r w:rsidRPr="008B181D">
              <w:rPr>
                <w:sz w:val="20"/>
                <w:szCs w:val="20"/>
              </w:rPr>
              <w:t>инвестиционных паев фонда по истечении 360 (Трехсот шестидесяти) дней со дня внесения в реестр владельцев инвестиционных паев приходной записи;</w:t>
            </w:r>
            <w:r w:rsidR="00F1044B" w:rsidRPr="008B181D">
              <w:rPr>
                <w:sz w:val="20"/>
                <w:szCs w:val="20"/>
              </w:rPr>
              <w:t xml:space="preserve"> </w:t>
            </w:r>
          </w:p>
          <w:p w:rsid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 xml:space="preserve">не </w:t>
            </w:r>
            <w:r w:rsidR="00F1044B" w:rsidRPr="008B181D">
              <w:rPr>
                <w:sz w:val="20"/>
                <w:szCs w:val="20"/>
              </w:rPr>
              <w:t>устанавливается</w:t>
            </w:r>
            <w:r w:rsidRPr="008B181D">
              <w:rPr>
                <w:sz w:val="20"/>
                <w:szCs w:val="20"/>
              </w:rPr>
              <w:t xml:space="preserve"> при погашении инвестиционных паев, права на которые учитываются в реестре владельцев инвестиционных паев на лицевом счете доверительного управляющего.</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 xml:space="preserve">не </w:t>
            </w:r>
            <w:r w:rsidR="00865CD9" w:rsidRPr="008B181D">
              <w:rPr>
                <w:sz w:val="20"/>
                <w:szCs w:val="20"/>
              </w:rPr>
              <w:t>устанавливается</w:t>
            </w:r>
            <w:r w:rsidRPr="008B181D">
              <w:rPr>
                <w:sz w:val="20"/>
                <w:szCs w:val="20"/>
              </w:rPr>
              <w:t xml:space="preserve">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r w:rsidR="00852638" w:rsidRPr="008B181D">
              <w:rPr>
                <w:sz w:val="20"/>
                <w:szCs w:val="20"/>
              </w:rPr>
              <w:t xml:space="preserve"> </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При подаче заявки на погашение инвестиционных паев агенту Открытое акционерное общество «Балтийский Инвестиционный Банк» скидка составляет:</w:t>
            </w:r>
            <w:r w:rsidR="00852638" w:rsidRPr="008B181D">
              <w:rPr>
                <w:sz w:val="20"/>
                <w:szCs w:val="20"/>
              </w:rPr>
              <w:t xml:space="preserve"> </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приходной записи;</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 xml:space="preserve">0,5 (Ноль целых пять десятых) процента (с учетом </w:t>
            </w:r>
            <w:r w:rsidRPr="008B181D">
              <w:rPr>
                <w:sz w:val="20"/>
                <w:szCs w:val="20"/>
              </w:rPr>
              <w:lastRenderedPageBreak/>
              <w:t>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приходной записи;</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 xml:space="preserve">не </w:t>
            </w:r>
            <w:r w:rsidR="00865CD9" w:rsidRPr="008B181D">
              <w:rPr>
                <w:sz w:val="20"/>
                <w:szCs w:val="20"/>
              </w:rPr>
              <w:t>устанавливается</w:t>
            </w:r>
            <w:r w:rsidRPr="008B181D">
              <w:rPr>
                <w:sz w:val="20"/>
                <w:szCs w:val="20"/>
              </w:rPr>
              <w:t xml:space="preserve">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При подаче заявки на погашение инвестиционных паев агенту Банк ВТБ 24 (закрытое акционерное общество) скидка составляет:</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1 (Один) процент (с учетом налога на добавленную стоимость), от расчетной стоимости одного инвестиционного пая.</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8B181D" w:rsidRPr="008B181D" w:rsidRDefault="00584E41" w:rsidP="008B181D">
            <w:pPr>
              <w:pStyle w:val="31"/>
              <w:tabs>
                <w:tab w:val="num" w:pos="426"/>
                <w:tab w:val="left" w:pos="993"/>
                <w:tab w:val="left" w:pos="1134"/>
                <w:tab w:val="left" w:pos="1164"/>
                <w:tab w:val="num" w:pos="1843"/>
              </w:tabs>
              <w:spacing w:after="0"/>
              <w:ind w:firstLine="425"/>
              <w:jc w:val="both"/>
              <w:rPr>
                <w:sz w:val="20"/>
                <w:szCs w:val="20"/>
              </w:rPr>
            </w:pPr>
            <w:r w:rsidRPr="008B181D">
              <w:rPr>
                <w:sz w:val="20"/>
                <w:szCs w:val="20"/>
              </w:rPr>
              <w:t>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w:t>
            </w:r>
          </w:p>
          <w:p w:rsidR="00925700" w:rsidRPr="00157DCF" w:rsidRDefault="00584E41" w:rsidP="008B181D">
            <w:pPr>
              <w:pStyle w:val="31"/>
              <w:tabs>
                <w:tab w:val="num" w:pos="426"/>
                <w:tab w:val="left" w:pos="993"/>
                <w:tab w:val="left" w:pos="1134"/>
                <w:tab w:val="left" w:pos="1164"/>
                <w:tab w:val="num" w:pos="1843"/>
              </w:tabs>
              <w:spacing w:after="0"/>
              <w:ind w:firstLine="425"/>
              <w:jc w:val="both"/>
              <w:rPr>
                <w:b/>
                <w:sz w:val="20"/>
                <w:szCs w:val="20"/>
              </w:rPr>
            </w:pPr>
            <w:r w:rsidRPr="008B181D">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tc>
      </w:tr>
      <w:tr w:rsidR="00925700" w:rsidRPr="00360421" w:rsidTr="00087A33">
        <w:tc>
          <w:tcPr>
            <w:tcW w:w="5208" w:type="dxa"/>
          </w:tcPr>
          <w:p w:rsidR="00A67AAE" w:rsidRPr="00E35CC5" w:rsidRDefault="00A67AAE" w:rsidP="008B181D">
            <w:pPr>
              <w:pStyle w:val="21"/>
              <w:tabs>
                <w:tab w:val="left" w:pos="846"/>
                <w:tab w:val="left" w:pos="1164"/>
              </w:tabs>
              <w:ind w:firstLine="425"/>
              <w:rPr>
                <w:sz w:val="20"/>
                <w:szCs w:val="20"/>
              </w:rPr>
            </w:pPr>
            <w:r w:rsidRPr="00E35CC5">
              <w:rPr>
                <w:sz w:val="20"/>
                <w:szCs w:val="20"/>
              </w:rPr>
              <w:lastRenderedPageBreak/>
              <w:t xml:space="preserve">97. За счет имущества, составляющего фонд, выплачиваются вознаграждения управляющей компании в размере  </w:t>
            </w:r>
            <w:r w:rsidR="00AE7909" w:rsidRPr="00E35CC5">
              <w:rPr>
                <w:sz w:val="20"/>
                <w:szCs w:val="20"/>
              </w:rPr>
              <w:t xml:space="preserve">4,5 (Четырех целых пяти десятых) </w:t>
            </w:r>
            <w:r w:rsidRPr="00E35CC5">
              <w:rPr>
                <w:sz w:val="20"/>
                <w:szCs w:val="20"/>
              </w:rPr>
              <w:t>процент</w:t>
            </w:r>
            <w:r w:rsidR="00AE7909" w:rsidRPr="00E35CC5">
              <w:rPr>
                <w:sz w:val="20"/>
                <w:szCs w:val="20"/>
              </w:rPr>
              <w:t>а</w:t>
            </w:r>
            <w:r w:rsidRPr="00E35CC5">
              <w:rPr>
                <w:sz w:val="20"/>
                <w:szCs w:val="20"/>
              </w:rPr>
              <w:t xml:space="preserve">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1,05 (Одной целой пяти сотых) 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925700" w:rsidRPr="00E35CC5" w:rsidRDefault="00925700" w:rsidP="008B181D">
            <w:pPr>
              <w:pStyle w:val="21"/>
              <w:tabs>
                <w:tab w:val="left" w:pos="846"/>
                <w:tab w:val="left" w:pos="1164"/>
              </w:tabs>
              <w:ind w:firstLine="425"/>
              <w:rPr>
                <w:sz w:val="20"/>
                <w:szCs w:val="20"/>
              </w:rPr>
            </w:pPr>
          </w:p>
        </w:tc>
        <w:tc>
          <w:tcPr>
            <w:tcW w:w="5302" w:type="dxa"/>
          </w:tcPr>
          <w:p w:rsidR="00A67AAE" w:rsidRPr="008B181D" w:rsidRDefault="00A67AAE" w:rsidP="008B181D">
            <w:pPr>
              <w:pStyle w:val="21"/>
              <w:tabs>
                <w:tab w:val="left" w:pos="846"/>
                <w:tab w:val="left" w:pos="1164"/>
              </w:tabs>
              <w:ind w:firstLine="425"/>
              <w:rPr>
                <w:sz w:val="20"/>
                <w:szCs w:val="20"/>
              </w:rPr>
            </w:pPr>
            <w:r w:rsidRPr="008B181D">
              <w:rPr>
                <w:sz w:val="20"/>
                <w:szCs w:val="20"/>
              </w:rPr>
              <w:t xml:space="preserve">97. За счет имущества, составляющего фонд, выплачиваются вознаграждения управляющей компании в размере </w:t>
            </w:r>
            <w:r w:rsidR="00AE7909" w:rsidRPr="008B181D">
              <w:rPr>
                <w:sz w:val="20"/>
                <w:szCs w:val="20"/>
              </w:rPr>
              <w:t xml:space="preserve"> 4,5 (Четырех целых пяти десятых)</w:t>
            </w:r>
            <w:r w:rsidRPr="008B181D">
              <w:rPr>
                <w:sz w:val="20"/>
                <w:szCs w:val="20"/>
              </w:rPr>
              <w:t xml:space="preserve"> процент</w:t>
            </w:r>
            <w:r w:rsidR="00AE7909" w:rsidRPr="008B181D">
              <w:rPr>
                <w:sz w:val="20"/>
                <w:szCs w:val="20"/>
              </w:rPr>
              <w:t>а</w:t>
            </w:r>
            <w:r w:rsidRPr="008B181D">
              <w:rPr>
                <w:sz w:val="20"/>
                <w:szCs w:val="20"/>
              </w:rPr>
              <w:t xml:space="preserve">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1,05 (Одной целой пяти сотых) 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925700" w:rsidRPr="00E35CC5" w:rsidRDefault="00925700" w:rsidP="008B181D">
            <w:pPr>
              <w:pStyle w:val="21"/>
              <w:tabs>
                <w:tab w:val="left" w:pos="846"/>
                <w:tab w:val="left" w:pos="1164"/>
              </w:tabs>
              <w:ind w:firstLine="425"/>
              <w:rPr>
                <w:sz w:val="20"/>
                <w:szCs w:val="20"/>
              </w:rPr>
            </w:pPr>
          </w:p>
        </w:tc>
      </w:tr>
    </w:tbl>
    <w:p w:rsidR="00C70E35" w:rsidRPr="00C8148F" w:rsidRDefault="00C70E35" w:rsidP="00C70E35"/>
    <w:p w:rsidR="00584E41" w:rsidRDefault="00584E41" w:rsidP="0070231F"/>
    <w:p w:rsidR="00A67AAE" w:rsidRDefault="00A67AAE" w:rsidP="0070231F"/>
    <w:p w:rsidR="00A67AAE" w:rsidRDefault="00A67AAE" w:rsidP="0070231F"/>
    <w:p w:rsidR="00584E41" w:rsidRDefault="00584E41" w:rsidP="0070231F"/>
    <w:p w:rsidR="00925700" w:rsidRPr="00584E41" w:rsidRDefault="002C7E70" w:rsidP="00584E41">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0579FC" w:rsidRDefault="000579FC" w:rsidP="000579FC">
      <w:pPr>
        <w:pStyle w:val="fieldcomment"/>
        <w:rPr>
          <w:lang w:val="ru-RU"/>
        </w:rPr>
      </w:pPr>
    </w:p>
    <w:sectPr w:rsidR="000579FC"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00" w:rsidRDefault="00463700">
      <w:r>
        <w:separator/>
      </w:r>
    </w:p>
  </w:endnote>
  <w:endnote w:type="continuationSeparator" w:id="0">
    <w:p w:rsidR="00463700" w:rsidRDefault="004637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53F1">
      <w:rPr>
        <w:rStyle w:val="a7"/>
        <w:noProof/>
      </w:rPr>
      <w:t>2</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00" w:rsidRDefault="00463700">
      <w:r>
        <w:separator/>
      </w:r>
    </w:p>
  </w:footnote>
  <w:footnote w:type="continuationSeparator" w:id="0">
    <w:p w:rsidR="00463700" w:rsidRDefault="00463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63011"/>
    <w:multiLevelType w:val="hybridMultilevel"/>
    <w:tmpl w:val="222E8FA4"/>
    <w:lvl w:ilvl="0" w:tplc="0419000F">
      <w:start w:val="77"/>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4A9"/>
    <w:rsid w:val="00034B94"/>
    <w:rsid w:val="00040EC4"/>
    <w:rsid w:val="000419A6"/>
    <w:rsid w:val="0004374D"/>
    <w:rsid w:val="00044CC4"/>
    <w:rsid w:val="0004581C"/>
    <w:rsid w:val="000470C3"/>
    <w:rsid w:val="00052B59"/>
    <w:rsid w:val="00054643"/>
    <w:rsid w:val="00056AA0"/>
    <w:rsid w:val="000579FC"/>
    <w:rsid w:val="000642B1"/>
    <w:rsid w:val="00071539"/>
    <w:rsid w:val="00072E58"/>
    <w:rsid w:val="00074616"/>
    <w:rsid w:val="00076AF1"/>
    <w:rsid w:val="00084415"/>
    <w:rsid w:val="000848B2"/>
    <w:rsid w:val="000871C0"/>
    <w:rsid w:val="00087A33"/>
    <w:rsid w:val="00090CD6"/>
    <w:rsid w:val="000939DC"/>
    <w:rsid w:val="00096EAF"/>
    <w:rsid w:val="000A4DDF"/>
    <w:rsid w:val="000A503F"/>
    <w:rsid w:val="000A687D"/>
    <w:rsid w:val="000B055E"/>
    <w:rsid w:val="000B1D2D"/>
    <w:rsid w:val="000B2875"/>
    <w:rsid w:val="000B600D"/>
    <w:rsid w:val="000B6147"/>
    <w:rsid w:val="000B7144"/>
    <w:rsid w:val="000C1926"/>
    <w:rsid w:val="000C26FB"/>
    <w:rsid w:val="000C2DB2"/>
    <w:rsid w:val="000D06C8"/>
    <w:rsid w:val="000E6775"/>
    <w:rsid w:val="000E721F"/>
    <w:rsid w:val="000F24F0"/>
    <w:rsid w:val="000F2A05"/>
    <w:rsid w:val="000F6498"/>
    <w:rsid w:val="001071B2"/>
    <w:rsid w:val="001077D6"/>
    <w:rsid w:val="00112F14"/>
    <w:rsid w:val="001218F8"/>
    <w:rsid w:val="00121F4A"/>
    <w:rsid w:val="001259E4"/>
    <w:rsid w:val="00131A43"/>
    <w:rsid w:val="00132C2D"/>
    <w:rsid w:val="0013321D"/>
    <w:rsid w:val="00134220"/>
    <w:rsid w:val="001347B2"/>
    <w:rsid w:val="001360BC"/>
    <w:rsid w:val="001362C6"/>
    <w:rsid w:val="001420D7"/>
    <w:rsid w:val="00145FF1"/>
    <w:rsid w:val="00145FFC"/>
    <w:rsid w:val="00146364"/>
    <w:rsid w:val="00151338"/>
    <w:rsid w:val="00151DF0"/>
    <w:rsid w:val="00154A5F"/>
    <w:rsid w:val="00155664"/>
    <w:rsid w:val="00155E7A"/>
    <w:rsid w:val="001568FA"/>
    <w:rsid w:val="00157DCF"/>
    <w:rsid w:val="00163792"/>
    <w:rsid w:val="001645CA"/>
    <w:rsid w:val="00165984"/>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36B9"/>
    <w:rsid w:val="00224542"/>
    <w:rsid w:val="002251DA"/>
    <w:rsid w:val="002255A7"/>
    <w:rsid w:val="00225F1A"/>
    <w:rsid w:val="002264CB"/>
    <w:rsid w:val="00227CEC"/>
    <w:rsid w:val="0023282D"/>
    <w:rsid w:val="00232D65"/>
    <w:rsid w:val="002330C3"/>
    <w:rsid w:val="0023463B"/>
    <w:rsid w:val="00237569"/>
    <w:rsid w:val="002423B1"/>
    <w:rsid w:val="00243601"/>
    <w:rsid w:val="00251218"/>
    <w:rsid w:val="00253BF2"/>
    <w:rsid w:val="0025591F"/>
    <w:rsid w:val="00256A86"/>
    <w:rsid w:val="00262249"/>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5AB0"/>
    <w:rsid w:val="002B5F60"/>
    <w:rsid w:val="002B5F6B"/>
    <w:rsid w:val="002C01F1"/>
    <w:rsid w:val="002C36E5"/>
    <w:rsid w:val="002C3843"/>
    <w:rsid w:val="002C41D7"/>
    <w:rsid w:val="002C4433"/>
    <w:rsid w:val="002C449E"/>
    <w:rsid w:val="002C5549"/>
    <w:rsid w:val="002C7E70"/>
    <w:rsid w:val="002D0C1A"/>
    <w:rsid w:val="002D1070"/>
    <w:rsid w:val="002D1D74"/>
    <w:rsid w:val="002D2A98"/>
    <w:rsid w:val="002D2F4F"/>
    <w:rsid w:val="002D4A67"/>
    <w:rsid w:val="002D4E21"/>
    <w:rsid w:val="002E1C9F"/>
    <w:rsid w:val="002E6034"/>
    <w:rsid w:val="002E68CB"/>
    <w:rsid w:val="002F0C38"/>
    <w:rsid w:val="002F0F3F"/>
    <w:rsid w:val="002F45B1"/>
    <w:rsid w:val="002F5692"/>
    <w:rsid w:val="002F5B9B"/>
    <w:rsid w:val="003055A7"/>
    <w:rsid w:val="0030689F"/>
    <w:rsid w:val="00310238"/>
    <w:rsid w:val="0031265B"/>
    <w:rsid w:val="00313608"/>
    <w:rsid w:val="003138FD"/>
    <w:rsid w:val="0032554C"/>
    <w:rsid w:val="0032736A"/>
    <w:rsid w:val="00330BA7"/>
    <w:rsid w:val="00330DD4"/>
    <w:rsid w:val="0033123F"/>
    <w:rsid w:val="00333502"/>
    <w:rsid w:val="00333F0E"/>
    <w:rsid w:val="00340BF7"/>
    <w:rsid w:val="0034260A"/>
    <w:rsid w:val="003431A5"/>
    <w:rsid w:val="003436CF"/>
    <w:rsid w:val="00343D83"/>
    <w:rsid w:val="00344375"/>
    <w:rsid w:val="003453F1"/>
    <w:rsid w:val="003470F0"/>
    <w:rsid w:val="0034710A"/>
    <w:rsid w:val="003509D5"/>
    <w:rsid w:val="00350D83"/>
    <w:rsid w:val="00354FAA"/>
    <w:rsid w:val="00356D30"/>
    <w:rsid w:val="003576D4"/>
    <w:rsid w:val="00360421"/>
    <w:rsid w:val="00364E16"/>
    <w:rsid w:val="00366AE7"/>
    <w:rsid w:val="00366C54"/>
    <w:rsid w:val="00367096"/>
    <w:rsid w:val="003671F7"/>
    <w:rsid w:val="003722C4"/>
    <w:rsid w:val="00380318"/>
    <w:rsid w:val="003818CC"/>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DF0"/>
    <w:rsid w:val="003F1581"/>
    <w:rsid w:val="003F2848"/>
    <w:rsid w:val="003F3ACD"/>
    <w:rsid w:val="003F5B1F"/>
    <w:rsid w:val="004039D1"/>
    <w:rsid w:val="00403C6B"/>
    <w:rsid w:val="00407949"/>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3700"/>
    <w:rsid w:val="004656EB"/>
    <w:rsid w:val="00473106"/>
    <w:rsid w:val="00475222"/>
    <w:rsid w:val="00475776"/>
    <w:rsid w:val="004814C0"/>
    <w:rsid w:val="004877A0"/>
    <w:rsid w:val="00490196"/>
    <w:rsid w:val="00493341"/>
    <w:rsid w:val="00493EF3"/>
    <w:rsid w:val="0049476A"/>
    <w:rsid w:val="00495143"/>
    <w:rsid w:val="0049629A"/>
    <w:rsid w:val="00496FDA"/>
    <w:rsid w:val="004A08D3"/>
    <w:rsid w:val="004A2513"/>
    <w:rsid w:val="004A43BA"/>
    <w:rsid w:val="004B0BBD"/>
    <w:rsid w:val="004B2249"/>
    <w:rsid w:val="004B3C0B"/>
    <w:rsid w:val="004B540E"/>
    <w:rsid w:val="004B7FE5"/>
    <w:rsid w:val="004C1434"/>
    <w:rsid w:val="004C5FA5"/>
    <w:rsid w:val="004D0362"/>
    <w:rsid w:val="004D1A11"/>
    <w:rsid w:val="004D716C"/>
    <w:rsid w:val="004E1B17"/>
    <w:rsid w:val="004E59E8"/>
    <w:rsid w:val="004F0F91"/>
    <w:rsid w:val="004F3781"/>
    <w:rsid w:val="004F6A0D"/>
    <w:rsid w:val="005000D6"/>
    <w:rsid w:val="00500C88"/>
    <w:rsid w:val="00504EB0"/>
    <w:rsid w:val="0050683F"/>
    <w:rsid w:val="00512A38"/>
    <w:rsid w:val="00515BAF"/>
    <w:rsid w:val="005168F7"/>
    <w:rsid w:val="00516B1B"/>
    <w:rsid w:val="00520D5F"/>
    <w:rsid w:val="005217F8"/>
    <w:rsid w:val="00522AF5"/>
    <w:rsid w:val="00523FF3"/>
    <w:rsid w:val="00524791"/>
    <w:rsid w:val="005305CC"/>
    <w:rsid w:val="0053386E"/>
    <w:rsid w:val="00535D36"/>
    <w:rsid w:val="005461AC"/>
    <w:rsid w:val="005524DF"/>
    <w:rsid w:val="005527E0"/>
    <w:rsid w:val="005531D5"/>
    <w:rsid w:val="00553DCD"/>
    <w:rsid w:val="0055421F"/>
    <w:rsid w:val="005545C8"/>
    <w:rsid w:val="00555784"/>
    <w:rsid w:val="0055795C"/>
    <w:rsid w:val="00560921"/>
    <w:rsid w:val="00564AD8"/>
    <w:rsid w:val="005658DF"/>
    <w:rsid w:val="00570911"/>
    <w:rsid w:val="00571EAF"/>
    <w:rsid w:val="0057298A"/>
    <w:rsid w:val="00573053"/>
    <w:rsid w:val="00573C05"/>
    <w:rsid w:val="00575891"/>
    <w:rsid w:val="005763AE"/>
    <w:rsid w:val="005817FE"/>
    <w:rsid w:val="00584E41"/>
    <w:rsid w:val="00586FC4"/>
    <w:rsid w:val="00587212"/>
    <w:rsid w:val="0059287E"/>
    <w:rsid w:val="00593092"/>
    <w:rsid w:val="00595631"/>
    <w:rsid w:val="0059563F"/>
    <w:rsid w:val="00595CEE"/>
    <w:rsid w:val="0059633F"/>
    <w:rsid w:val="005A6E3E"/>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31C4"/>
    <w:rsid w:val="00614BD4"/>
    <w:rsid w:val="006206ED"/>
    <w:rsid w:val="00623025"/>
    <w:rsid w:val="00624B1B"/>
    <w:rsid w:val="00625B18"/>
    <w:rsid w:val="00636C65"/>
    <w:rsid w:val="00642E34"/>
    <w:rsid w:val="00646D34"/>
    <w:rsid w:val="00650467"/>
    <w:rsid w:val="0065338F"/>
    <w:rsid w:val="006547CD"/>
    <w:rsid w:val="0065513E"/>
    <w:rsid w:val="00657A3C"/>
    <w:rsid w:val="00664843"/>
    <w:rsid w:val="006708B5"/>
    <w:rsid w:val="006736BE"/>
    <w:rsid w:val="00675A7B"/>
    <w:rsid w:val="00675C37"/>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D2E5C"/>
    <w:rsid w:val="006D67DF"/>
    <w:rsid w:val="006E118B"/>
    <w:rsid w:val="006E196C"/>
    <w:rsid w:val="006E196E"/>
    <w:rsid w:val="006E1BEB"/>
    <w:rsid w:val="006E3843"/>
    <w:rsid w:val="006E45BB"/>
    <w:rsid w:val="006E71DA"/>
    <w:rsid w:val="006E747B"/>
    <w:rsid w:val="006E7B9D"/>
    <w:rsid w:val="006F326A"/>
    <w:rsid w:val="006F4DE0"/>
    <w:rsid w:val="006F5422"/>
    <w:rsid w:val="0070231F"/>
    <w:rsid w:val="00703352"/>
    <w:rsid w:val="00704F1E"/>
    <w:rsid w:val="00705159"/>
    <w:rsid w:val="0070537C"/>
    <w:rsid w:val="00711A44"/>
    <w:rsid w:val="007142B8"/>
    <w:rsid w:val="007161E3"/>
    <w:rsid w:val="007204DD"/>
    <w:rsid w:val="00720E49"/>
    <w:rsid w:val="00722356"/>
    <w:rsid w:val="00723B6E"/>
    <w:rsid w:val="007256AE"/>
    <w:rsid w:val="007263BD"/>
    <w:rsid w:val="007333BA"/>
    <w:rsid w:val="00733CA4"/>
    <w:rsid w:val="00735B59"/>
    <w:rsid w:val="007367F4"/>
    <w:rsid w:val="00743DAF"/>
    <w:rsid w:val="007505EE"/>
    <w:rsid w:val="00751FD6"/>
    <w:rsid w:val="0075497F"/>
    <w:rsid w:val="00755FB4"/>
    <w:rsid w:val="00763BC4"/>
    <w:rsid w:val="00767A36"/>
    <w:rsid w:val="00767A9B"/>
    <w:rsid w:val="00770ED6"/>
    <w:rsid w:val="00770FD6"/>
    <w:rsid w:val="0077115F"/>
    <w:rsid w:val="00771839"/>
    <w:rsid w:val="007737BB"/>
    <w:rsid w:val="00776267"/>
    <w:rsid w:val="0078000A"/>
    <w:rsid w:val="00780519"/>
    <w:rsid w:val="00784410"/>
    <w:rsid w:val="00794ED7"/>
    <w:rsid w:val="007957D9"/>
    <w:rsid w:val="00796E9B"/>
    <w:rsid w:val="0079750A"/>
    <w:rsid w:val="007A768C"/>
    <w:rsid w:val="007B3CBC"/>
    <w:rsid w:val="007C340A"/>
    <w:rsid w:val="007C44A0"/>
    <w:rsid w:val="007C4DFC"/>
    <w:rsid w:val="007C543C"/>
    <w:rsid w:val="007D03E3"/>
    <w:rsid w:val="007D39C7"/>
    <w:rsid w:val="007E0943"/>
    <w:rsid w:val="007E1787"/>
    <w:rsid w:val="007E350D"/>
    <w:rsid w:val="007E408D"/>
    <w:rsid w:val="007F07EE"/>
    <w:rsid w:val="007F32AF"/>
    <w:rsid w:val="007F6179"/>
    <w:rsid w:val="007F7CF0"/>
    <w:rsid w:val="00801D2E"/>
    <w:rsid w:val="008039CA"/>
    <w:rsid w:val="0080552A"/>
    <w:rsid w:val="00806FCA"/>
    <w:rsid w:val="008072A6"/>
    <w:rsid w:val="00811031"/>
    <w:rsid w:val="0081149A"/>
    <w:rsid w:val="00812BEE"/>
    <w:rsid w:val="00815564"/>
    <w:rsid w:val="00821BAE"/>
    <w:rsid w:val="008266F4"/>
    <w:rsid w:val="008277E6"/>
    <w:rsid w:val="00831136"/>
    <w:rsid w:val="008313D2"/>
    <w:rsid w:val="0083204B"/>
    <w:rsid w:val="008320F8"/>
    <w:rsid w:val="0083293F"/>
    <w:rsid w:val="008330BB"/>
    <w:rsid w:val="00836835"/>
    <w:rsid w:val="00837ABD"/>
    <w:rsid w:val="00844097"/>
    <w:rsid w:val="00852638"/>
    <w:rsid w:val="00855901"/>
    <w:rsid w:val="00856B8B"/>
    <w:rsid w:val="008608B1"/>
    <w:rsid w:val="00861860"/>
    <w:rsid w:val="00861B28"/>
    <w:rsid w:val="008622D9"/>
    <w:rsid w:val="008624AF"/>
    <w:rsid w:val="0086253C"/>
    <w:rsid w:val="008637FA"/>
    <w:rsid w:val="00865CD9"/>
    <w:rsid w:val="00866165"/>
    <w:rsid w:val="00866D01"/>
    <w:rsid w:val="00867451"/>
    <w:rsid w:val="00870654"/>
    <w:rsid w:val="008716FB"/>
    <w:rsid w:val="00875C7E"/>
    <w:rsid w:val="00884878"/>
    <w:rsid w:val="008856DC"/>
    <w:rsid w:val="00886C18"/>
    <w:rsid w:val="0089188E"/>
    <w:rsid w:val="00896056"/>
    <w:rsid w:val="00896C01"/>
    <w:rsid w:val="00896F32"/>
    <w:rsid w:val="008A0AA5"/>
    <w:rsid w:val="008A0F8E"/>
    <w:rsid w:val="008A2A26"/>
    <w:rsid w:val="008A3B9E"/>
    <w:rsid w:val="008A795F"/>
    <w:rsid w:val="008B181D"/>
    <w:rsid w:val="008B2EBF"/>
    <w:rsid w:val="008B42F8"/>
    <w:rsid w:val="008B4D08"/>
    <w:rsid w:val="008B5B4E"/>
    <w:rsid w:val="008B756C"/>
    <w:rsid w:val="008C4A9F"/>
    <w:rsid w:val="008C5239"/>
    <w:rsid w:val="008C7E0F"/>
    <w:rsid w:val="008D3BDE"/>
    <w:rsid w:val="008D66F6"/>
    <w:rsid w:val="008E0405"/>
    <w:rsid w:val="008E078E"/>
    <w:rsid w:val="008E3047"/>
    <w:rsid w:val="008E608E"/>
    <w:rsid w:val="008E6A5F"/>
    <w:rsid w:val="008F1312"/>
    <w:rsid w:val="008F6C9C"/>
    <w:rsid w:val="008F6D02"/>
    <w:rsid w:val="008F7D71"/>
    <w:rsid w:val="00910513"/>
    <w:rsid w:val="00912441"/>
    <w:rsid w:val="00912BED"/>
    <w:rsid w:val="00925700"/>
    <w:rsid w:val="00926051"/>
    <w:rsid w:val="009273DF"/>
    <w:rsid w:val="00932A4A"/>
    <w:rsid w:val="0093447A"/>
    <w:rsid w:val="0093570B"/>
    <w:rsid w:val="00935D33"/>
    <w:rsid w:val="00937E2E"/>
    <w:rsid w:val="009427EB"/>
    <w:rsid w:val="0094374D"/>
    <w:rsid w:val="009448D0"/>
    <w:rsid w:val="00945FB0"/>
    <w:rsid w:val="00950AD4"/>
    <w:rsid w:val="00952D41"/>
    <w:rsid w:val="00953B37"/>
    <w:rsid w:val="00954F9E"/>
    <w:rsid w:val="00956900"/>
    <w:rsid w:val="00960F94"/>
    <w:rsid w:val="00962E25"/>
    <w:rsid w:val="0096347A"/>
    <w:rsid w:val="009650AD"/>
    <w:rsid w:val="00965DD1"/>
    <w:rsid w:val="00966381"/>
    <w:rsid w:val="00966D4D"/>
    <w:rsid w:val="0097134E"/>
    <w:rsid w:val="009713E8"/>
    <w:rsid w:val="00972E87"/>
    <w:rsid w:val="0098051B"/>
    <w:rsid w:val="00982BE7"/>
    <w:rsid w:val="009858FD"/>
    <w:rsid w:val="00990051"/>
    <w:rsid w:val="00993F30"/>
    <w:rsid w:val="00996A3B"/>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3360"/>
    <w:rsid w:val="009D4242"/>
    <w:rsid w:val="009D49DD"/>
    <w:rsid w:val="009D5404"/>
    <w:rsid w:val="009E04BB"/>
    <w:rsid w:val="009F19CE"/>
    <w:rsid w:val="009F31F4"/>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67AAE"/>
    <w:rsid w:val="00A736BD"/>
    <w:rsid w:val="00A74528"/>
    <w:rsid w:val="00A74904"/>
    <w:rsid w:val="00A7595C"/>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169C"/>
    <w:rsid w:val="00AE452F"/>
    <w:rsid w:val="00AE4A4F"/>
    <w:rsid w:val="00AE6A6F"/>
    <w:rsid w:val="00AE7909"/>
    <w:rsid w:val="00AE7E51"/>
    <w:rsid w:val="00AF6A57"/>
    <w:rsid w:val="00AF6F5B"/>
    <w:rsid w:val="00B0421C"/>
    <w:rsid w:val="00B04C91"/>
    <w:rsid w:val="00B05BC1"/>
    <w:rsid w:val="00B06C28"/>
    <w:rsid w:val="00B14A1C"/>
    <w:rsid w:val="00B1631C"/>
    <w:rsid w:val="00B179CD"/>
    <w:rsid w:val="00B226BB"/>
    <w:rsid w:val="00B23AB4"/>
    <w:rsid w:val="00B23B6B"/>
    <w:rsid w:val="00B27EDF"/>
    <w:rsid w:val="00B30C1A"/>
    <w:rsid w:val="00B3155C"/>
    <w:rsid w:val="00B3482D"/>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50AA"/>
    <w:rsid w:val="00B77FDB"/>
    <w:rsid w:val="00B8053C"/>
    <w:rsid w:val="00B83D12"/>
    <w:rsid w:val="00B85656"/>
    <w:rsid w:val="00B901B4"/>
    <w:rsid w:val="00B903DD"/>
    <w:rsid w:val="00B9087F"/>
    <w:rsid w:val="00B94C68"/>
    <w:rsid w:val="00B960E8"/>
    <w:rsid w:val="00BA3DF0"/>
    <w:rsid w:val="00BA3EA1"/>
    <w:rsid w:val="00BA53DE"/>
    <w:rsid w:val="00BA6760"/>
    <w:rsid w:val="00BA6C6B"/>
    <w:rsid w:val="00BA7C3D"/>
    <w:rsid w:val="00BA7D12"/>
    <w:rsid w:val="00BB2BC1"/>
    <w:rsid w:val="00BB6CC0"/>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4D31"/>
    <w:rsid w:val="00BF7A01"/>
    <w:rsid w:val="00C00D61"/>
    <w:rsid w:val="00C0581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5FC1"/>
    <w:rsid w:val="00D040C2"/>
    <w:rsid w:val="00D06539"/>
    <w:rsid w:val="00D06E3F"/>
    <w:rsid w:val="00D07261"/>
    <w:rsid w:val="00D123A1"/>
    <w:rsid w:val="00D13FD8"/>
    <w:rsid w:val="00D14E51"/>
    <w:rsid w:val="00D1617D"/>
    <w:rsid w:val="00D2139C"/>
    <w:rsid w:val="00D2287C"/>
    <w:rsid w:val="00D27DC2"/>
    <w:rsid w:val="00D315E5"/>
    <w:rsid w:val="00D400D7"/>
    <w:rsid w:val="00D405D1"/>
    <w:rsid w:val="00D4129A"/>
    <w:rsid w:val="00D4333F"/>
    <w:rsid w:val="00D45B1B"/>
    <w:rsid w:val="00D4748C"/>
    <w:rsid w:val="00D476EF"/>
    <w:rsid w:val="00D53A6E"/>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77AD"/>
    <w:rsid w:val="00DA7AC8"/>
    <w:rsid w:val="00DB0426"/>
    <w:rsid w:val="00DB4056"/>
    <w:rsid w:val="00DB4F51"/>
    <w:rsid w:val="00DC0B30"/>
    <w:rsid w:val="00DC1399"/>
    <w:rsid w:val="00DC3C2B"/>
    <w:rsid w:val="00DD7C05"/>
    <w:rsid w:val="00DF084A"/>
    <w:rsid w:val="00E0107D"/>
    <w:rsid w:val="00E02602"/>
    <w:rsid w:val="00E02BB7"/>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35CC5"/>
    <w:rsid w:val="00E40162"/>
    <w:rsid w:val="00E403AD"/>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22DB"/>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52D8"/>
    <w:rsid w:val="00ED07B7"/>
    <w:rsid w:val="00ED1561"/>
    <w:rsid w:val="00ED2F58"/>
    <w:rsid w:val="00EE1982"/>
    <w:rsid w:val="00EE294A"/>
    <w:rsid w:val="00EE6D9D"/>
    <w:rsid w:val="00EF0BDD"/>
    <w:rsid w:val="00EF22DB"/>
    <w:rsid w:val="00EF247B"/>
    <w:rsid w:val="00EF5CCE"/>
    <w:rsid w:val="00EF6222"/>
    <w:rsid w:val="00F0096C"/>
    <w:rsid w:val="00F01D82"/>
    <w:rsid w:val="00F02BAD"/>
    <w:rsid w:val="00F1044B"/>
    <w:rsid w:val="00F10BFF"/>
    <w:rsid w:val="00F11039"/>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558DC"/>
    <w:rsid w:val="00F60456"/>
    <w:rsid w:val="00F63A91"/>
    <w:rsid w:val="00F64701"/>
    <w:rsid w:val="00F65371"/>
    <w:rsid w:val="00F663E5"/>
    <w:rsid w:val="00F77A24"/>
    <w:rsid w:val="00F82DD3"/>
    <w:rsid w:val="00F8355A"/>
    <w:rsid w:val="00F83878"/>
    <w:rsid w:val="00F847C9"/>
    <w:rsid w:val="00F91BDE"/>
    <w:rsid w:val="00FA06D7"/>
    <w:rsid w:val="00FA1D2E"/>
    <w:rsid w:val="00FA6492"/>
    <w:rsid w:val="00FA6A50"/>
    <w:rsid w:val="00FA6DDE"/>
    <w:rsid w:val="00FB40A2"/>
    <w:rsid w:val="00FB539E"/>
    <w:rsid w:val="00FB7057"/>
    <w:rsid w:val="00FC0E69"/>
    <w:rsid w:val="00FC5878"/>
    <w:rsid w:val="00FC6CF6"/>
    <w:rsid w:val="00FD2E25"/>
    <w:rsid w:val="00FD3776"/>
    <w:rsid w:val="00FD4B4E"/>
    <w:rsid w:val="00FD5051"/>
    <w:rsid w:val="00FD7D55"/>
    <w:rsid w:val="00FE7A56"/>
    <w:rsid w:val="00FF21F2"/>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5C3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675C3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sid w:val="00675C37"/>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sid w:val="00675C37"/>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sid w:val="00675C37"/>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6931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016_частично действующая редакция</Статус_x0020_документа>
    <_EndDate xmlns="http://schemas.microsoft.com/sharepoint/v3/fields">2013-04-03T20:00:00+00:00</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8C7C-0BAC-42B8-81F8-DB87AAFF138B}"/>
</file>

<file path=customXml/itemProps2.xml><?xml version="1.0" encoding="utf-8"?>
<ds:datastoreItem xmlns:ds="http://schemas.openxmlformats.org/officeDocument/2006/customXml" ds:itemID="{CA89990D-9B59-418D-95B5-5184408E80B4}"/>
</file>

<file path=customXml/itemProps3.xml><?xml version="1.0" encoding="utf-8"?>
<ds:datastoreItem xmlns:ds="http://schemas.openxmlformats.org/officeDocument/2006/customXml" ds:itemID="{7832E42A-F465-4931-8595-88E92B3AE5E4}"/>
</file>

<file path=customXml/itemProps4.xml><?xml version="1.0" encoding="utf-8"?>
<ds:datastoreItem xmlns:ds="http://schemas.openxmlformats.org/officeDocument/2006/customXml" ds:itemID="{B58B4E00-1E55-4EEB-B98E-CD4FDCAE68DD}"/>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6746</Characters>
  <Application>Microsoft Office Word</Application>
  <DocSecurity>0</DocSecurity>
  <Lines>56</Lines>
  <Paragraphs>15</Paragraphs>
  <ScaleCrop>false</ScaleCrop>
  <Company>ICBAM</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malyhina</cp:lastModifiedBy>
  <cp:revision>2</cp:revision>
  <cp:lastPrinted>2012-07-10T07:46:00Z</cp:lastPrinted>
  <dcterms:created xsi:type="dcterms:W3CDTF">2013-03-06T11:21:00Z</dcterms:created>
  <dcterms:modified xsi:type="dcterms:W3CDTF">2013-03-06T11:21:00Z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