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000"/>
      </w:tblPr>
      <w:tblGrid>
        <w:gridCol w:w="7178"/>
        <w:gridCol w:w="2465"/>
      </w:tblGrid>
      <w:tr w:rsidR="00EC695A" w:rsidRPr="00BA6A9E" w:rsidTr="00C9297B">
        <w:tblPrEx>
          <w:tblCellMar>
            <w:top w:w="0" w:type="dxa"/>
            <w:bottom w:w="0" w:type="dxa"/>
          </w:tblCellMar>
        </w:tblPrEx>
        <w:trPr>
          <w:trHeight w:val="360"/>
        </w:trPr>
        <w:tc>
          <w:tcPr>
            <w:tcW w:w="7178" w:type="dxa"/>
          </w:tcPr>
          <w:p w:rsidR="00EC695A" w:rsidRPr="00BA6A9E" w:rsidRDefault="00EC695A" w:rsidP="00C9297B">
            <w:pPr>
              <w:rPr>
                <w:rFonts w:ascii="Arial" w:hAnsi="Arial" w:cs="Arial"/>
                <w:sz w:val="22"/>
                <w:szCs w:val="22"/>
              </w:rPr>
            </w:pPr>
          </w:p>
        </w:tc>
        <w:tc>
          <w:tcPr>
            <w:tcW w:w="2465" w:type="dxa"/>
          </w:tcPr>
          <w:p w:rsidR="00EC695A" w:rsidRPr="00BA6A9E" w:rsidRDefault="00EC695A" w:rsidP="00C9297B">
            <w:pPr>
              <w:rPr>
                <w:sz w:val="22"/>
                <w:szCs w:val="22"/>
              </w:rPr>
            </w:pPr>
          </w:p>
        </w:tc>
      </w:tr>
    </w:tbl>
    <w:p w:rsidR="006B373D" w:rsidRPr="006B373D" w:rsidRDefault="006B373D" w:rsidP="007D7A52">
      <w:pPr>
        <w:autoSpaceDE w:val="0"/>
        <w:autoSpaceDN w:val="0"/>
        <w:adjustRightInd w:val="0"/>
        <w:rPr>
          <w:rFonts w:ascii="Arial" w:hAnsi="Arial" w:cs="Arial"/>
          <w:sz w:val="18"/>
          <w:szCs w:val="20"/>
        </w:rPr>
      </w:pPr>
      <w:r w:rsidRPr="006B373D">
        <w:rPr>
          <w:rFonts w:ascii="Arial" w:hAnsi="Arial" w:cs="Arial"/>
          <w:sz w:val="18"/>
          <w:szCs w:val="20"/>
        </w:rPr>
        <w:t>Акционерное общество Управляющая компания «Брокеркредитсервис»</w:t>
      </w:r>
      <w:r w:rsidRPr="006B373D">
        <w:rPr>
          <w:rFonts w:ascii="Arial" w:hAnsi="Arial" w:cs="Arial"/>
          <w:sz w:val="18"/>
          <w:szCs w:val="20"/>
        </w:rPr>
        <w:tab/>
      </w:r>
      <w:r w:rsidRPr="006B373D">
        <w:rPr>
          <w:rFonts w:ascii="Arial" w:hAnsi="Arial" w:cs="Arial"/>
          <w:sz w:val="18"/>
          <w:szCs w:val="20"/>
        </w:rPr>
        <w:tab/>
      </w:r>
      <w:r>
        <w:rPr>
          <w:rFonts w:ascii="Arial" w:hAnsi="Arial" w:cs="Arial"/>
          <w:sz w:val="18"/>
          <w:szCs w:val="20"/>
        </w:rPr>
        <w:t xml:space="preserve">   </w:t>
      </w:r>
      <w:r w:rsidRPr="006B373D">
        <w:rPr>
          <w:rFonts w:ascii="Arial" w:hAnsi="Arial" w:cs="Arial"/>
          <w:sz w:val="18"/>
          <w:szCs w:val="20"/>
        </w:rPr>
        <w:t xml:space="preserve"> </w:t>
      </w:r>
      <w:r w:rsidRPr="006B373D">
        <w:rPr>
          <w:rFonts w:ascii="Arial" w:hAnsi="Arial" w:cs="Arial"/>
          <w:sz w:val="18"/>
          <w:szCs w:val="18"/>
        </w:rPr>
        <w:t xml:space="preserve">Тел:  (383) </w:t>
      </w:r>
      <w:r w:rsidRPr="006B373D">
        <w:rPr>
          <w:rFonts w:ascii="Arial" w:hAnsi="Arial" w:cs="Arial"/>
          <w:sz w:val="18"/>
          <w:szCs w:val="20"/>
        </w:rPr>
        <w:t>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(АО УК «БКС»)</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rPr>
        <w:t>Факс:(383) 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18"/>
        </w:rPr>
        <w:t>ул. Советская, д.37, Новосибирск,</w:t>
      </w:r>
      <w:r>
        <w:rPr>
          <w:rFonts w:ascii="Arial" w:hAnsi="Arial" w:cs="Arial"/>
          <w:sz w:val="18"/>
          <w:szCs w:val="18"/>
        </w:rPr>
        <w:t xml:space="preserve"> Россия, 630099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lang w:val="en-US"/>
        </w:rPr>
        <w:t>www</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r w:rsidRPr="006B373D">
        <w:rPr>
          <w:rFonts w:ascii="Arial" w:hAnsi="Arial" w:cs="Arial"/>
          <w:sz w:val="18"/>
          <w:szCs w:val="20"/>
        </w:rPr>
        <w:t>/</w:t>
      </w:r>
      <w:r w:rsidRPr="006B373D">
        <w:rPr>
          <w:rFonts w:ascii="Arial" w:hAnsi="Arial" w:cs="Arial"/>
          <w:sz w:val="18"/>
          <w:szCs w:val="20"/>
          <w:lang w:val="en-US"/>
        </w:rPr>
        <w:t>am</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 xml:space="preserve">ОГРН 1025403200020 ИНН 5407191291 КПП </w:t>
      </w:r>
      <w:r>
        <w:rPr>
          <w:rFonts w:ascii="Arial" w:hAnsi="Arial" w:cs="Arial"/>
          <w:sz w:val="18"/>
          <w:szCs w:val="20"/>
        </w:rPr>
        <w:t>540701001</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6B373D">
        <w:rPr>
          <w:rFonts w:ascii="Arial" w:hAnsi="Arial" w:cs="Arial"/>
          <w:sz w:val="18"/>
          <w:szCs w:val="20"/>
        </w:rPr>
        <w:t xml:space="preserve">    </w:t>
      </w:r>
      <w:r w:rsidRPr="006B373D">
        <w:rPr>
          <w:rFonts w:ascii="Arial" w:hAnsi="Arial" w:cs="Arial"/>
          <w:sz w:val="18"/>
          <w:szCs w:val="20"/>
          <w:lang w:val="en-US"/>
        </w:rPr>
        <w:t>uk</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p>
    <w:p w:rsidR="006B373D" w:rsidRPr="006B373D" w:rsidRDefault="006B373D" w:rsidP="00EC695A">
      <w:pPr>
        <w:tabs>
          <w:tab w:val="center" w:pos="4677"/>
          <w:tab w:val="right" w:pos="9355"/>
        </w:tabs>
        <w:jc w:val="right"/>
        <w:rPr>
          <w:sz w:val="22"/>
          <w:szCs w:val="22"/>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У Т В Е Р Ж Д Е Н О</w:t>
      </w:r>
    </w:p>
    <w:p w:rsidR="003137D9" w:rsidRPr="0095138D" w:rsidRDefault="003137D9" w:rsidP="003137D9">
      <w:pPr>
        <w:ind w:left="4820"/>
        <w:jc w:val="right"/>
        <w:rPr>
          <w:rFonts w:ascii="Arial" w:hAnsi="Arial" w:cs="Arial"/>
          <w:sz w:val="20"/>
          <w:szCs w:val="20"/>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Приказом (решением)</w:t>
      </w: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Генерального директора АО УК «БКС»</w:t>
      </w:r>
    </w:p>
    <w:p w:rsidR="0035508D" w:rsidRDefault="00E76393" w:rsidP="0035508D">
      <w:pPr>
        <w:jc w:val="right"/>
        <w:rPr>
          <w:rFonts w:ascii="Arial" w:hAnsi="Arial" w:cs="Arial"/>
          <w:sz w:val="20"/>
          <w:szCs w:val="20"/>
        </w:rPr>
      </w:pPr>
      <w:r>
        <w:rPr>
          <w:rFonts w:ascii="Arial" w:hAnsi="Arial" w:cs="Arial"/>
          <w:sz w:val="20"/>
          <w:szCs w:val="20"/>
        </w:rPr>
        <w:t>№</w:t>
      </w:r>
      <w:r w:rsidR="00C27FD3">
        <w:rPr>
          <w:rFonts w:ascii="Arial" w:hAnsi="Arial" w:cs="Arial"/>
          <w:sz w:val="20"/>
          <w:szCs w:val="20"/>
          <w:lang w:val="en-US"/>
        </w:rPr>
        <w:t xml:space="preserve"> 56</w:t>
      </w:r>
      <w:r w:rsidR="0035508D" w:rsidRPr="0035508D">
        <w:rPr>
          <w:rFonts w:ascii="Arial" w:hAnsi="Arial" w:cs="Arial"/>
          <w:sz w:val="20"/>
          <w:szCs w:val="20"/>
        </w:rPr>
        <w:t xml:space="preserve"> </w:t>
      </w:r>
      <w:r w:rsidR="0035508D">
        <w:rPr>
          <w:rFonts w:ascii="Arial" w:hAnsi="Arial" w:cs="Arial"/>
          <w:sz w:val="20"/>
          <w:szCs w:val="20"/>
        </w:rPr>
        <w:t>от «</w:t>
      </w:r>
      <w:r w:rsidR="00C27FD3">
        <w:rPr>
          <w:rFonts w:ascii="Arial" w:hAnsi="Arial" w:cs="Arial"/>
          <w:sz w:val="20"/>
          <w:szCs w:val="20"/>
          <w:lang w:val="en-US"/>
        </w:rPr>
        <w:t>12</w:t>
      </w:r>
      <w:r w:rsidR="0035508D">
        <w:rPr>
          <w:rFonts w:ascii="Arial" w:hAnsi="Arial" w:cs="Arial"/>
          <w:sz w:val="20"/>
          <w:szCs w:val="20"/>
        </w:rPr>
        <w:t xml:space="preserve">» </w:t>
      </w:r>
      <w:r>
        <w:rPr>
          <w:rFonts w:ascii="Arial" w:hAnsi="Arial" w:cs="Arial"/>
          <w:sz w:val="20"/>
          <w:szCs w:val="20"/>
        </w:rPr>
        <w:t>августа 2020</w:t>
      </w:r>
      <w:r w:rsidR="0035508D">
        <w:rPr>
          <w:rFonts w:ascii="Arial" w:hAnsi="Arial" w:cs="Arial"/>
          <w:sz w:val="20"/>
          <w:szCs w:val="20"/>
        </w:rPr>
        <w:t xml:space="preserve"> г.</w:t>
      </w:r>
    </w:p>
    <w:p w:rsidR="003137D9" w:rsidRPr="0095138D" w:rsidRDefault="003137D9" w:rsidP="0035508D">
      <w:pPr>
        <w:jc w:val="center"/>
        <w:rPr>
          <w:rFonts w:ascii="Arial" w:hAnsi="Arial" w:cs="Arial"/>
          <w:sz w:val="20"/>
          <w:szCs w:val="20"/>
        </w:rPr>
      </w:pPr>
    </w:p>
    <w:p w:rsidR="001C00AE" w:rsidRPr="0095138D" w:rsidRDefault="001C00AE" w:rsidP="00067703">
      <w:pPr>
        <w:jc w:val="center"/>
        <w:rPr>
          <w:rFonts w:ascii="Arial" w:hAnsi="Arial" w:cs="Arial"/>
          <w:sz w:val="18"/>
          <w:szCs w:val="18"/>
        </w:rPr>
      </w:pPr>
    </w:p>
    <w:p w:rsidR="00067703" w:rsidRPr="00067703" w:rsidRDefault="00E76393" w:rsidP="00067703">
      <w:pPr>
        <w:jc w:val="center"/>
        <w:rPr>
          <w:b/>
          <w:bCs/>
          <w:caps/>
          <w:sz w:val="22"/>
          <w:szCs w:val="22"/>
        </w:rPr>
      </w:pPr>
      <w:r>
        <w:rPr>
          <w:b/>
          <w:bCs/>
          <w:caps/>
          <w:sz w:val="22"/>
          <w:szCs w:val="22"/>
        </w:rPr>
        <w:t>Изменения и дополнения № 2</w:t>
      </w:r>
    </w:p>
    <w:p w:rsidR="00067703" w:rsidRPr="00067703" w:rsidRDefault="00067703" w:rsidP="00067703">
      <w:pPr>
        <w:jc w:val="center"/>
        <w:rPr>
          <w:b/>
          <w:bCs/>
          <w:caps/>
          <w:sz w:val="22"/>
          <w:szCs w:val="22"/>
        </w:rPr>
      </w:pPr>
    </w:p>
    <w:p w:rsidR="00067703" w:rsidRPr="00067703" w:rsidRDefault="00067703" w:rsidP="00067703">
      <w:pPr>
        <w:jc w:val="center"/>
        <w:rPr>
          <w:b/>
          <w:bCs/>
          <w:sz w:val="22"/>
          <w:szCs w:val="22"/>
        </w:rPr>
      </w:pPr>
      <w:r w:rsidRPr="00067703">
        <w:rPr>
          <w:b/>
          <w:bCs/>
          <w:sz w:val="22"/>
          <w:szCs w:val="22"/>
        </w:rPr>
        <w:t>в Правила доверительного управления</w:t>
      </w:r>
    </w:p>
    <w:p w:rsidR="00067703" w:rsidRPr="00067703" w:rsidRDefault="00067703" w:rsidP="00067703">
      <w:pPr>
        <w:jc w:val="center"/>
        <w:rPr>
          <w:b/>
          <w:bCs/>
          <w:sz w:val="22"/>
          <w:szCs w:val="22"/>
        </w:rPr>
      </w:pPr>
      <w:r w:rsidRPr="00067703">
        <w:rPr>
          <w:b/>
          <w:bCs/>
          <w:sz w:val="22"/>
          <w:szCs w:val="22"/>
        </w:rPr>
        <w:t>Открытым паевым инвестиционным фондом рыночных финансовых</w:t>
      </w:r>
    </w:p>
    <w:p w:rsidR="00067703" w:rsidRPr="00067703" w:rsidRDefault="00067703" w:rsidP="00067703">
      <w:pPr>
        <w:jc w:val="center"/>
        <w:rPr>
          <w:b/>
          <w:bCs/>
          <w:sz w:val="22"/>
          <w:szCs w:val="22"/>
        </w:rPr>
      </w:pPr>
      <w:r w:rsidRPr="00067703">
        <w:rPr>
          <w:b/>
          <w:bCs/>
          <w:sz w:val="22"/>
          <w:szCs w:val="22"/>
        </w:rPr>
        <w:t xml:space="preserve"> ин</w:t>
      </w:r>
      <w:r w:rsidR="00090C67">
        <w:rPr>
          <w:b/>
          <w:bCs/>
          <w:sz w:val="22"/>
          <w:szCs w:val="22"/>
        </w:rPr>
        <w:t xml:space="preserve">струментов «БКС Международные </w:t>
      </w:r>
      <w:r w:rsidR="001664F4">
        <w:rPr>
          <w:b/>
          <w:bCs/>
          <w:sz w:val="22"/>
          <w:szCs w:val="22"/>
        </w:rPr>
        <w:t>О</w:t>
      </w:r>
      <w:r w:rsidR="0067534C">
        <w:rPr>
          <w:b/>
          <w:bCs/>
          <w:sz w:val="22"/>
          <w:szCs w:val="22"/>
        </w:rPr>
        <w:t>блигации</w:t>
      </w:r>
      <w:r w:rsidRPr="00067703">
        <w:rPr>
          <w:b/>
          <w:bCs/>
          <w:sz w:val="22"/>
          <w:szCs w:val="22"/>
        </w:rPr>
        <w:t>»</w:t>
      </w:r>
    </w:p>
    <w:p w:rsidR="00067703" w:rsidRPr="00067703" w:rsidRDefault="00067703" w:rsidP="00067703">
      <w:pPr>
        <w:jc w:val="center"/>
        <w:rPr>
          <w:bCs/>
          <w:sz w:val="22"/>
          <w:szCs w:val="22"/>
        </w:rPr>
      </w:pPr>
      <w:r w:rsidRPr="003D18D0">
        <w:rPr>
          <w:bCs/>
          <w:sz w:val="22"/>
          <w:szCs w:val="22"/>
        </w:rPr>
        <w:t xml:space="preserve">(зарегистрированы </w:t>
      </w:r>
      <w:r w:rsidR="0067534C">
        <w:rPr>
          <w:bCs/>
          <w:sz w:val="22"/>
          <w:szCs w:val="22"/>
        </w:rPr>
        <w:t>Банком России</w:t>
      </w:r>
      <w:r w:rsidRPr="003D18D0">
        <w:rPr>
          <w:bCs/>
          <w:sz w:val="22"/>
          <w:szCs w:val="22"/>
        </w:rPr>
        <w:t xml:space="preserve"> </w:t>
      </w:r>
      <w:r w:rsidR="00826CF7">
        <w:rPr>
          <w:bCs/>
          <w:sz w:val="22"/>
          <w:szCs w:val="22"/>
        </w:rPr>
        <w:t>19.02</w:t>
      </w:r>
      <w:r w:rsidR="0067534C">
        <w:rPr>
          <w:bCs/>
          <w:sz w:val="22"/>
          <w:szCs w:val="22"/>
        </w:rPr>
        <w:t>.2019</w:t>
      </w:r>
      <w:r w:rsidR="003D18D0" w:rsidRPr="003D18D0">
        <w:rPr>
          <w:bCs/>
          <w:sz w:val="22"/>
          <w:szCs w:val="22"/>
        </w:rPr>
        <w:t xml:space="preserve"> </w:t>
      </w:r>
      <w:r w:rsidRPr="003D18D0">
        <w:rPr>
          <w:bCs/>
          <w:sz w:val="22"/>
          <w:szCs w:val="22"/>
        </w:rPr>
        <w:t xml:space="preserve">года за № </w:t>
      </w:r>
      <w:r w:rsidR="00090C67">
        <w:rPr>
          <w:bCs/>
          <w:sz w:val="22"/>
          <w:szCs w:val="22"/>
        </w:rPr>
        <w:t>3664</w:t>
      </w:r>
      <w:r w:rsidRPr="003D18D0">
        <w:rPr>
          <w:bCs/>
          <w:sz w:val="22"/>
          <w:szCs w:val="22"/>
        </w:rPr>
        <w:t>)</w:t>
      </w:r>
    </w:p>
    <w:p w:rsidR="00067703" w:rsidRPr="00067703" w:rsidRDefault="00067703" w:rsidP="00067703">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5"/>
      </w:tblGrid>
      <w:tr w:rsidR="00067703" w:rsidRPr="00067703" w:rsidTr="00273E9C">
        <w:tc>
          <w:tcPr>
            <w:tcW w:w="4786" w:type="dxa"/>
          </w:tcPr>
          <w:p w:rsidR="00067703" w:rsidRPr="00067703" w:rsidRDefault="00067703" w:rsidP="00067703">
            <w:pPr>
              <w:jc w:val="center"/>
              <w:rPr>
                <w:b/>
                <w:bCs/>
                <w:sz w:val="22"/>
                <w:szCs w:val="22"/>
              </w:rPr>
            </w:pPr>
            <w:r w:rsidRPr="00067703">
              <w:rPr>
                <w:b/>
                <w:bCs/>
                <w:sz w:val="22"/>
                <w:szCs w:val="22"/>
              </w:rPr>
              <w:t>Старая редакция</w:t>
            </w:r>
          </w:p>
          <w:p w:rsidR="00067703" w:rsidRPr="00067703" w:rsidRDefault="00067703" w:rsidP="00067703">
            <w:pPr>
              <w:jc w:val="center"/>
              <w:rPr>
                <w:b/>
                <w:bCs/>
                <w:sz w:val="22"/>
                <w:szCs w:val="22"/>
              </w:rPr>
            </w:pPr>
          </w:p>
        </w:tc>
        <w:tc>
          <w:tcPr>
            <w:tcW w:w="4785" w:type="dxa"/>
          </w:tcPr>
          <w:p w:rsidR="00067703" w:rsidRPr="00067703" w:rsidRDefault="00067703" w:rsidP="00067703">
            <w:pPr>
              <w:jc w:val="center"/>
              <w:rPr>
                <w:b/>
                <w:bCs/>
                <w:sz w:val="22"/>
                <w:szCs w:val="22"/>
              </w:rPr>
            </w:pPr>
            <w:r w:rsidRPr="00067703">
              <w:rPr>
                <w:b/>
                <w:bCs/>
                <w:sz w:val="22"/>
                <w:szCs w:val="22"/>
              </w:rPr>
              <w:t>Новая редакция</w:t>
            </w:r>
          </w:p>
        </w:tc>
      </w:tr>
      <w:tr w:rsidR="00CC30AE" w:rsidRPr="00067703" w:rsidTr="00273E9C">
        <w:tc>
          <w:tcPr>
            <w:tcW w:w="4786" w:type="dxa"/>
          </w:tcPr>
          <w:p w:rsidR="00DC1605" w:rsidRPr="00DC1605" w:rsidRDefault="00DC1605" w:rsidP="00DC1605">
            <w:pPr>
              <w:jc w:val="both"/>
              <w:rPr>
                <w:bCs/>
                <w:sz w:val="22"/>
                <w:szCs w:val="22"/>
              </w:rPr>
            </w:pPr>
            <w:r>
              <w:rPr>
                <w:bCs/>
                <w:sz w:val="22"/>
                <w:szCs w:val="22"/>
              </w:rPr>
              <w:t xml:space="preserve">22.1. </w:t>
            </w:r>
            <w:r w:rsidRPr="00DC1605">
              <w:rPr>
                <w:bCs/>
                <w:sz w:val="22"/>
                <w:szCs w:val="22"/>
              </w:rPr>
              <w:t>Имущество, составляющее фонд, может быть инвестировано в:</w:t>
            </w:r>
          </w:p>
          <w:p w:rsidR="00DC1605" w:rsidRPr="00DC1605" w:rsidRDefault="00DC1605" w:rsidP="00DC1605">
            <w:pPr>
              <w:jc w:val="both"/>
              <w:rPr>
                <w:bCs/>
                <w:sz w:val="22"/>
                <w:szCs w:val="22"/>
              </w:rPr>
            </w:pPr>
            <w:r w:rsidRPr="00DC1605">
              <w:rPr>
                <w:bCs/>
                <w:sz w:val="22"/>
                <w:szCs w:val="22"/>
              </w:rPr>
              <w:t>1)</w:t>
            </w:r>
            <w:r w:rsidRPr="00DC1605">
              <w:rPr>
                <w:bCs/>
                <w:sz w:val="22"/>
                <w:szCs w:val="22"/>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DC1605" w:rsidRPr="00DC1605" w:rsidRDefault="00DC1605" w:rsidP="00DC1605">
            <w:pPr>
              <w:jc w:val="both"/>
              <w:rPr>
                <w:bCs/>
                <w:sz w:val="22"/>
                <w:szCs w:val="22"/>
              </w:rPr>
            </w:pPr>
            <w:r w:rsidRPr="00DC1605">
              <w:rPr>
                <w:bCs/>
                <w:sz w:val="22"/>
                <w:szCs w:val="22"/>
              </w:rPr>
              <w:t>-</w:t>
            </w:r>
            <w:r w:rsidRPr="00DC1605">
              <w:rPr>
                <w:bCs/>
                <w:sz w:val="22"/>
                <w:szCs w:val="22"/>
              </w:rPr>
              <w:tab/>
              <w:t>долговые инструменты;</w:t>
            </w:r>
          </w:p>
          <w:p w:rsidR="00DC1605" w:rsidRPr="00DC1605" w:rsidRDefault="00DC1605" w:rsidP="00DC1605">
            <w:pPr>
              <w:jc w:val="both"/>
              <w:rPr>
                <w:bCs/>
                <w:sz w:val="22"/>
                <w:szCs w:val="22"/>
              </w:rPr>
            </w:pPr>
            <w:r w:rsidRPr="00DC1605">
              <w:rPr>
                <w:bCs/>
                <w:sz w:val="22"/>
                <w:szCs w:val="22"/>
              </w:rPr>
              <w:t>-</w:t>
            </w:r>
            <w:r w:rsidRPr="00DC1605">
              <w:rPr>
                <w:bCs/>
                <w:sz w:val="22"/>
                <w:szCs w:val="22"/>
              </w:rPr>
              <w:tab/>
              <w:t>акции российских акционерных обществ, за исключением акций акционерных инвестиционных фондов;</w:t>
            </w:r>
          </w:p>
          <w:p w:rsidR="00DC1605" w:rsidRPr="00DC1605" w:rsidRDefault="00DC1605" w:rsidP="00DC1605">
            <w:pPr>
              <w:jc w:val="both"/>
              <w:rPr>
                <w:bCs/>
                <w:sz w:val="22"/>
                <w:szCs w:val="22"/>
              </w:rPr>
            </w:pPr>
            <w:r w:rsidRPr="00DC1605">
              <w:rPr>
                <w:bCs/>
                <w:sz w:val="22"/>
                <w:szCs w:val="22"/>
              </w:rPr>
              <w:t>-</w:t>
            </w:r>
            <w:r w:rsidRPr="00DC1605">
              <w:rPr>
                <w:bCs/>
                <w:sz w:val="22"/>
                <w:szCs w:val="22"/>
              </w:rPr>
              <w:tab/>
              <w:t>акции иностранных коммерческих организаций;</w:t>
            </w:r>
          </w:p>
          <w:p w:rsidR="00DC1605" w:rsidRPr="00DC1605" w:rsidRDefault="00DC1605" w:rsidP="00DC1605">
            <w:pPr>
              <w:jc w:val="both"/>
              <w:rPr>
                <w:bCs/>
                <w:sz w:val="22"/>
                <w:szCs w:val="22"/>
              </w:rPr>
            </w:pPr>
            <w:r w:rsidRPr="00DC1605">
              <w:rPr>
                <w:bCs/>
                <w:sz w:val="22"/>
                <w:szCs w:val="22"/>
              </w:rPr>
              <w:lastRenderedPageBreak/>
              <w:t>-</w:t>
            </w:r>
            <w:r w:rsidRPr="00DC1605">
              <w:rPr>
                <w:bCs/>
                <w:sz w:val="22"/>
                <w:szCs w:val="22"/>
              </w:rPr>
              <w:tab/>
              <w:t>паи (акции) иностранных инвестиционных фондов, при этом:</w:t>
            </w:r>
          </w:p>
          <w:p w:rsidR="00DC1605" w:rsidRPr="00DC1605" w:rsidRDefault="00DC1605" w:rsidP="00DC1605">
            <w:pPr>
              <w:jc w:val="both"/>
              <w:rPr>
                <w:bCs/>
                <w:sz w:val="22"/>
                <w:szCs w:val="22"/>
              </w:rPr>
            </w:pPr>
            <w:r w:rsidRPr="00DC1605">
              <w:rPr>
                <w:bCs/>
                <w:sz w:val="22"/>
                <w:szCs w:val="22"/>
              </w:rPr>
              <w:t>(а)</w:t>
            </w:r>
            <w:r w:rsidRPr="00DC1605">
              <w:rPr>
                <w:bCs/>
                <w:sz w:val="22"/>
                <w:szCs w:val="22"/>
              </w:rPr>
              <w:tab/>
              <w:t>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DC1605" w:rsidRPr="00DC1605" w:rsidRDefault="00DC1605" w:rsidP="00DC1605">
            <w:pPr>
              <w:jc w:val="both"/>
              <w:rPr>
                <w:bCs/>
                <w:sz w:val="22"/>
                <w:szCs w:val="22"/>
              </w:rPr>
            </w:pPr>
            <w:r w:rsidRPr="00DC1605">
              <w:rPr>
                <w:bCs/>
                <w:sz w:val="22"/>
                <w:szCs w:val="22"/>
              </w:rPr>
              <w:t xml:space="preserve">       или </w:t>
            </w:r>
          </w:p>
          <w:p w:rsidR="00DC1605" w:rsidRPr="00DC1605" w:rsidRDefault="00DC1605" w:rsidP="00DC1605">
            <w:pPr>
              <w:jc w:val="both"/>
              <w:rPr>
                <w:bCs/>
                <w:sz w:val="22"/>
                <w:szCs w:val="22"/>
              </w:rPr>
            </w:pPr>
            <w:r w:rsidRPr="00DC1605">
              <w:rPr>
                <w:bCs/>
                <w:sz w:val="22"/>
                <w:szCs w:val="22"/>
              </w:rPr>
              <w:t>(б)</w:t>
            </w:r>
            <w:r w:rsidRPr="00DC1605">
              <w:rPr>
                <w:bCs/>
                <w:sz w:val="22"/>
                <w:szCs w:val="22"/>
              </w:rPr>
              <w:tab/>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DC1605" w:rsidRPr="00DC1605" w:rsidRDefault="00DC1605" w:rsidP="00DC1605">
            <w:pPr>
              <w:jc w:val="both"/>
              <w:rPr>
                <w:bCs/>
                <w:sz w:val="22"/>
                <w:szCs w:val="22"/>
              </w:rPr>
            </w:pPr>
            <w:r w:rsidRPr="00DC1605">
              <w:rPr>
                <w:bCs/>
                <w:sz w:val="22"/>
                <w:szCs w:val="22"/>
              </w:rPr>
              <w:t>(в)</w:t>
            </w:r>
            <w:r w:rsidRPr="00DC1605">
              <w:rPr>
                <w:bCs/>
                <w:sz w:val="22"/>
                <w:szCs w:val="22"/>
              </w:rPr>
              <w:ta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DC1605" w:rsidRPr="00DC1605" w:rsidRDefault="00DC1605" w:rsidP="00DC1605">
            <w:pPr>
              <w:jc w:val="both"/>
              <w:rPr>
                <w:bCs/>
                <w:sz w:val="22"/>
                <w:szCs w:val="22"/>
              </w:rPr>
            </w:pPr>
            <w:r w:rsidRPr="00DC1605">
              <w:rPr>
                <w:bCs/>
                <w:sz w:val="22"/>
                <w:szCs w:val="22"/>
              </w:rPr>
              <w:t>(г)</w:t>
            </w:r>
            <w:r w:rsidRPr="00DC1605">
              <w:rPr>
                <w:bCs/>
                <w:sz w:val="22"/>
                <w:szCs w:val="22"/>
              </w:rPr>
              <w:ta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DC1605" w:rsidRPr="00DC1605" w:rsidRDefault="00DC1605" w:rsidP="00DC1605">
            <w:pPr>
              <w:jc w:val="both"/>
              <w:rPr>
                <w:bCs/>
                <w:sz w:val="22"/>
                <w:szCs w:val="22"/>
              </w:rPr>
            </w:pPr>
            <w:r w:rsidRPr="00DC1605">
              <w:rPr>
                <w:bCs/>
                <w:sz w:val="22"/>
                <w:szCs w:val="22"/>
              </w:rPr>
              <w:t>-</w:t>
            </w:r>
            <w:r w:rsidRPr="00DC1605">
              <w:rPr>
                <w:bCs/>
                <w:sz w:val="22"/>
                <w:szCs w:val="22"/>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w:t>
            </w:r>
          </w:p>
          <w:p w:rsidR="00DC1605" w:rsidRPr="00DC1605" w:rsidRDefault="00DC1605" w:rsidP="00DC1605">
            <w:pPr>
              <w:jc w:val="both"/>
              <w:rPr>
                <w:bCs/>
                <w:sz w:val="22"/>
                <w:szCs w:val="22"/>
              </w:rPr>
            </w:pPr>
            <w:r w:rsidRPr="00DC1605">
              <w:rPr>
                <w:bCs/>
                <w:sz w:val="22"/>
                <w:szCs w:val="22"/>
              </w:rPr>
              <w:t>-</w:t>
            </w:r>
            <w:r w:rsidRPr="00DC1605">
              <w:rPr>
                <w:bCs/>
                <w:sz w:val="22"/>
                <w:szCs w:val="22"/>
              </w:rPr>
              <w:tab/>
              <w:t>ипотечные сертификаты участия, выданные в соответствии с законодательством Российской Федерации;</w:t>
            </w:r>
          </w:p>
          <w:p w:rsidR="00DC1605" w:rsidRPr="00DC1605" w:rsidRDefault="00DC1605" w:rsidP="00DC1605">
            <w:pPr>
              <w:jc w:val="both"/>
              <w:rPr>
                <w:bCs/>
                <w:sz w:val="22"/>
                <w:szCs w:val="22"/>
              </w:rPr>
            </w:pPr>
            <w:r w:rsidRPr="00DC1605">
              <w:rPr>
                <w:bCs/>
                <w:sz w:val="22"/>
                <w:szCs w:val="22"/>
              </w:rPr>
              <w:t>-</w:t>
            </w:r>
            <w:r w:rsidRPr="00DC1605">
              <w:rPr>
                <w:bCs/>
                <w:sz w:val="22"/>
                <w:szCs w:val="22"/>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DC1605" w:rsidRPr="00DC1605" w:rsidRDefault="00DC1605" w:rsidP="00DC1605">
            <w:pPr>
              <w:jc w:val="both"/>
              <w:rPr>
                <w:bCs/>
                <w:sz w:val="22"/>
                <w:szCs w:val="22"/>
              </w:rPr>
            </w:pPr>
            <w:r w:rsidRPr="00DC1605">
              <w:rPr>
                <w:bCs/>
                <w:sz w:val="22"/>
                <w:szCs w:val="22"/>
              </w:rPr>
              <w:t>2)</w:t>
            </w:r>
            <w:r w:rsidRPr="00DC1605">
              <w:rPr>
                <w:bCs/>
                <w:sz w:val="22"/>
                <w:szCs w:val="22"/>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w:t>
            </w:r>
            <w:r w:rsidRPr="00DC1605">
              <w:rPr>
                <w:bCs/>
                <w:sz w:val="22"/>
                <w:szCs w:val="22"/>
              </w:rPr>
              <w:lastRenderedPageBreak/>
              <w:t xml:space="preserve">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DC1605" w:rsidRPr="00DC1605" w:rsidRDefault="00DC1605" w:rsidP="00DC1605">
            <w:pPr>
              <w:jc w:val="both"/>
              <w:rPr>
                <w:bCs/>
                <w:sz w:val="22"/>
                <w:szCs w:val="22"/>
              </w:rPr>
            </w:pPr>
            <w:r w:rsidRPr="00DC1605">
              <w:rPr>
                <w:bCs/>
                <w:sz w:val="22"/>
                <w:szCs w:val="22"/>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DC1605" w:rsidRPr="00DC1605" w:rsidRDefault="00DC1605" w:rsidP="00DC1605">
            <w:pPr>
              <w:jc w:val="both"/>
              <w:rPr>
                <w:bCs/>
                <w:sz w:val="22"/>
                <w:szCs w:val="22"/>
              </w:rPr>
            </w:pPr>
            <w:r w:rsidRPr="00DC1605">
              <w:rPr>
                <w:bCs/>
                <w:sz w:val="22"/>
                <w:szCs w:val="22"/>
              </w:rPr>
              <w:t>3)</w:t>
            </w:r>
            <w:r w:rsidRPr="00DC1605">
              <w:rPr>
                <w:bCs/>
                <w:sz w:val="22"/>
                <w:szCs w:val="22"/>
              </w:rPr>
              <w:tab/>
              <w:t>инвестиционные паи открытых паевых инвестиционных фондов, относящихся к категории фондов рыночных финансовых инструментов;</w:t>
            </w:r>
          </w:p>
          <w:p w:rsidR="00DC1605" w:rsidRPr="00DC1605" w:rsidRDefault="00DC1605" w:rsidP="00DC1605">
            <w:pPr>
              <w:jc w:val="both"/>
              <w:rPr>
                <w:bCs/>
                <w:sz w:val="22"/>
                <w:szCs w:val="22"/>
              </w:rPr>
            </w:pPr>
            <w:r w:rsidRPr="00DC1605">
              <w:rPr>
                <w:bCs/>
                <w:sz w:val="22"/>
                <w:szCs w:val="22"/>
              </w:rPr>
              <w:t>4)</w:t>
            </w:r>
            <w:r w:rsidRPr="00DC1605">
              <w:rPr>
                <w:bCs/>
                <w:sz w:val="22"/>
                <w:szCs w:val="22"/>
              </w:rPr>
              <w:tab/>
              <w:t>права требования из договоров, заключенных для целей доверительного управления в отношении указанных активов;</w:t>
            </w:r>
          </w:p>
          <w:p w:rsidR="00CC30AE" w:rsidRPr="00CC30AE" w:rsidRDefault="00DC1605" w:rsidP="00DC1605">
            <w:pPr>
              <w:jc w:val="both"/>
              <w:rPr>
                <w:bCs/>
                <w:sz w:val="22"/>
                <w:szCs w:val="22"/>
              </w:rPr>
            </w:pPr>
            <w:r w:rsidRPr="00DC1605">
              <w:rPr>
                <w:bCs/>
                <w:sz w:val="22"/>
                <w:szCs w:val="22"/>
              </w:rPr>
              <w:t>5)</w:t>
            </w:r>
            <w:r w:rsidRPr="00DC1605">
              <w:rPr>
                <w:bCs/>
                <w:sz w:val="22"/>
                <w:szCs w:val="22"/>
              </w:rPr>
              <w:tab/>
              <w:t>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785" w:type="dxa"/>
          </w:tcPr>
          <w:p w:rsidR="00AF0ACE" w:rsidRPr="00AF0ACE" w:rsidRDefault="00AF0ACE" w:rsidP="00AF0ACE">
            <w:pPr>
              <w:jc w:val="both"/>
              <w:rPr>
                <w:bCs/>
                <w:sz w:val="22"/>
                <w:szCs w:val="22"/>
              </w:rPr>
            </w:pPr>
            <w:r w:rsidRPr="00AF0ACE">
              <w:rPr>
                <w:bCs/>
                <w:sz w:val="22"/>
                <w:szCs w:val="22"/>
              </w:rPr>
              <w:lastRenderedPageBreak/>
              <w:t>22.1. Имущество, составляющее фонд, может быть инвестировано в:</w:t>
            </w:r>
          </w:p>
          <w:p w:rsidR="00AF0ACE" w:rsidRPr="00AF0ACE" w:rsidRDefault="00AF0ACE" w:rsidP="00AF0ACE">
            <w:pPr>
              <w:jc w:val="both"/>
              <w:rPr>
                <w:bCs/>
                <w:sz w:val="22"/>
                <w:szCs w:val="22"/>
              </w:rPr>
            </w:pPr>
            <w:r w:rsidRPr="00AF0ACE">
              <w:rPr>
                <w:bCs/>
                <w:sz w:val="22"/>
                <w:szCs w:val="22"/>
              </w:rPr>
              <w:t>1)</w:t>
            </w:r>
            <w:r w:rsidRPr="00AF0ACE">
              <w:rPr>
                <w:bCs/>
                <w:sz w:val="22"/>
                <w:szCs w:val="22"/>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857945">
              <w:rPr>
                <w:b/>
                <w:bCs/>
                <w:sz w:val="22"/>
                <w:szCs w:val="22"/>
              </w:rPr>
              <w:t>предусмотренный пунктом 4 статьи 51.1 Федерального закона от 22 апреля 1996 года № 39-ФЗ «О рынке ценных бумаг»,</w:t>
            </w:r>
            <w:r w:rsidRPr="00AF0ACE">
              <w:rPr>
                <w:bCs/>
                <w:sz w:val="22"/>
                <w:szCs w:val="22"/>
              </w:rPr>
              <w:t xml:space="preserve"> за исключением инвестиционных паев фондов для квалифицированных инвесторов: </w:t>
            </w:r>
          </w:p>
          <w:p w:rsidR="00AF0ACE" w:rsidRPr="00AF0ACE" w:rsidRDefault="00AF0ACE" w:rsidP="00AF0ACE">
            <w:pPr>
              <w:jc w:val="both"/>
              <w:rPr>
                <w:bCs/>
                <w:sz w:val="22"/>
                <w:szCs w:val="22"/>
              </w:rPr>
            </w:pPr>
            <w:r w:rsidRPr="00AF0ACE">
              <w:rPr>
                <w:bCs/>
                <w:sz w:val="22"/>
                <w:szCs w:val="22"/>
              </w:rPr>
              <w:t>-</w:t>
            </w:r>
            <w:r w:rsidRPr="00AF0ACE">
              <w:rPr>
                <w:bCs/>
                <w:sz w:val="22"/>
                <w:szCs w:val="22"/>
              </w:rPr>
              <w:tab/>
              <w:t>долговые инструменты;</w:t>
            </w:r>
          </w:p>
          <w:p w:rsidR="00AF0ACE" w:rsidRPr="00AF0ACE" w:rsidRDefault="00AF0ACE" w:rsidP="00AF0ACE">
            <w:pPr>
              <w:jc w:val="both"/>
              <w:rPr>
                <w:bCs/>
                <w:sz w:val="22"/>
                <w:szCs w:val="22"/>
              </w:rPr>
            </w:pPr>
            <w:r w:rsidRPr="00AF0ACE">
              <w:rPr>
                <w:bCs/>
                <w:sz w:val="22"/>
                <w:szCs w:val="22"/>
              </w:rPr>
              <w:t>-</w:t>
            </w:r>
            <w:r w:rsidRPr="00AF0ACE">
              <w:rPr>
                <w:bCs/>
                <w:sz w:val="22"/>
                <w:szCs w:val="22"/>
              </w:rPr>
              <w:tab/>
              <w:t>акции российских акционерных обществ, за исключением акций акционерных инвестиционных фондов;</w:t>
            </w:r>
          </w:p>
          <w:p w:rsidR="00AF0ACE" w:rsidRPr="00AF0ACE" w:rsidRDefault="00AF0ACE" w:rsidP="00AF0ACE">
            <w:pPr>
              <w:jc w:val="both"/>
              <w:rPr>
                <w:bCs/>
                <w:sz w:val="22"/>
                <w:szCs w:val="22"/>
              </w:rPr>
            </w:pPr>
            <w:r w:rsidRPr="00AF0ACE">
              <w:rPr>
                <w:bCs/>
                <w:sz w:val="22"/>
                <w:szCs w:val="22"/>
              </w:rPr>
              <w:t>-</w:t>
            </w:r>
            <w:r w:rsidRPr="00AF0ACE">
              <w:rPr>
                <w:bCs/>
                <w:sz w:val="22"/>
                <w:szCs w:val="22"/>
              </w:rPr>
              <w:tab/>
              <w:t>акции иностранных коммерческих организаций;</w:t>
            </w:r>
          </w:p>
          <w:p w:rsidR="00AF0ACE" w:rsidRPr="00AF0ACE" w:rsidRDefault="00AF0ACE" w:rsidP="00AF0ACE">
            <w:pPr>
              <w:jc w:val="both"/>
              <w:rPr>
                <w:bCs/>
                <w:sz w:val="22"/>
                <w:szCs w:val="22"/>
              </w:rPr>
            </w:pPr>
            <w:r w:rsidRPr="00AF0ACE">
              <w:rPr>
                <w:bCs/>
                <w:sz w:val="22"/>
                <w:szCs w:val="22"/>
              </w:rPr>
              <w:t>-</w:t>
            </w:r>
            <w:r w:rsidRPr="00AF0ACE">
              <w:rPr>
                <w:bCs/>
                <w:sz w:val="22"/>
                <w:szCs w:val="22"/>
              </w:rPr>
              <w:tab/>
              <w:t>паи (акции) иностранных инвестиционных фондов, при этом:</w:t>
            </w:r>
          </w:p>
          <w:p w:rsidR="00AF0ACE" w:rsidRPr="00AF0ACE" w:rsidRDefault="00AF0ACE" w:rsidP="00AF0ACE">
            <w:pPr>
              <w:jc w:val="both"/>
              <w:rPr>
                <w:bCs/>
                <w:sz w:val="22"/>
                <w:szCs w:val="22"/>
              </w:rPr>
            </w:pPr>
            <w:r w:rsidRPr="00AF0ACE">
              <w:rPr>
                <w:bCs/>
                <w:sz w:val="22"/>
                <w:szCs w:val="22"/>
              </w:rPr>
              <w:t>(а)</w:t>
            </w:r>
            <w:r w:rsidRPr="00AF0ACE">
              <w:rPr>
                <w:bCs/>
                <w:sz w:val="22"/>
                <w:szCs w:val="22"/>
              </w:rPr>
              <w:tab/>
              <w:t>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AF0ACE" w:rsidRPr="00AF0ACE" w:rsidRDefault="00AF0ACE" w:rsidP="00AF0ACE">
            <w:pPr>
              <w:jc w:val="both"/>
              <w:rPr>
                <w:bCs/>
                <w:sz w:val="22"/>
                <w:szCs w:val="22"/>
              </w:rPr>
            </w:pPr>
            <w:r w:rsidRPr="00AF0ACE">
              <w:rPr>
                <w:bCs/>
                <w:sz w:val="22"/>
                <w:szCs w:val="22"/>
              </w:rPr>
              <w:lastRenderedPageBreak/>
              <w:t xml:space="preserve">       или </w:t>
            </w:r>
          </w:p>
          <w:p w:rsidR="00AF0ACE" w:rsidRPr="00AF0ACE" w:rsidRDefault="00AF0ACE" w:rsidP="00AF0ACE">
            <w:pPr>
              <w:jc w:val="both"/>
              <w:rPr>
                <w:bCs/>
                <w:sz w:val="22"/>
                <w:szCs w:val="22"/>
              </w:rPr>
            </w:pPr>
            <w:r w:rsidRPr="00AF0ACE">
              <w:rPr>
                <w:bCs/>
                <w:sz w:val="22"/>
                <w:szCs w:val="22"/>
              </w:rPr>
              <w:t>(б)</w:t>
            </w:r>
            <w:r w:rsidRPr="00AF0ACE">
              <w:rPr>
                <w:bCs/>
                <w:sz w:val="22"/>
                <w:szCs w:val="22"/>
              </w:rPr>
              <w:tab/>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AF0ACE" w:rsidRPr="00AF0ACE" w:rsidRDefault="00AF0ACE" w:rsidP="00AF0ACE">
            <w:pPr>
              <w:jc w:val="both"/>
              <w:rPr>
                <w:bCs/>
                <w:sz w:val="22"/>
                <w:szCs w:val="22"/>
              </w:rPr>
            </w:pPr>
            <w:r w:rsidRPr="00AF0ACE">
              <w:rPr>
                <w:bCs/>
                <w:sz w:val="22"/>
                <w:szCs w:val="22"/>
              </w:rPr>
              <w:t>(в)</w:t>
            </w:r>
            <w:r w:rsidRPr="00AF0ACE">
              <w:rPr>
                <w:bCs/>
                <w:sz w:val="22"/>
                <w:szCs w:val="22"/>
              </w:rPr>
              <w:ta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AF0ACE" w:rsidRPr="00AF0ACE" w:rsidRDefault="00AF0ACE" w:rsidP="00AF0ACE">
            <w:pPr>
              <w:jc w:val="both"/>
              <w:rPr>
                <w:bCs/>
                <w:sz w:val="22"/>
                <w:szCs w:val="22"/>
              </w:rPr>
            </w:pPr>
            <w:r w:rsidRPr="00AF0ACE">
              <w:rPr>
                <w:bCs/>
                <w:sz w:val="22"/>
                <w:szCs w:val="22"/>
              </w:rPr>
              <w:t>(г)</w:t>
            </w:r>
            <w:r w:rsidRPr="00AF0ACE">
              <w:rPr>
                <w:bCs/>
                <w:sz w:val="22"/>
                <w:szCs w:val="22"/>
              </w:rPr>
              <w:ta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AF0ACE" w:rsidRPr="00902F9D" w:rsidRDefault="00AF0ACE" w:rsidP="00AF0ACE">
            <w:pPr>
              <w:jc w:val="both"/>
              <w:rPr>
                <w:b/>
                <w:bCs/>
                <w:sz w:val="22"/>
                <w:szCs w:val="22"/>
              </w:rPr>
            </w:pPr>
            <w:r w:rsidRPr="00AF0ACE">
              <w:rPr>
                <w:bCs/>
                <w:sz w:val="22"/>
                <w:szCs w:val="22"/>
              </w:rPr>
              <w:t>-</w:t>
            </w:r>
            <w:r w:rsidRPr="00AF0ACE">
              <w:rPr>
                <w:bCs/>
                <w:sz w:val="22"/>
                <w:szCs w:val="22"/>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w:t>
            </w:r>
            <w:r w:rsidRPr="00902F9D">
              <w:rPr>
                <w:b/>
                <w:bCs/>
                <w:sz w:val="22"/>
                <w:szCs w:val="22"/>
              </w:rPr>
              <w:t xml:space="preserve">паи (акции) инвестиционных фондов, в том числе, иностранных инвестиционных фондов, в которые может быть инвестировано имущество, составляющее фонд, в соответствии с настоящим пунктом правил; </w:t>
            </w:r>
          </w:p>
          <w:p w:rsidR="00AF0ACE" w:rsidRPr="00AF0ACE" w:rsidRDefault="00AF0ACE" w:rsidP="00AF0ACE">
            <w:pPr>
              <w:jc w:val="both"/>
              <w:rPr>
                <w:bCs/>
                <w:sz w:val="22"/>
                <w:szCs w:val="22"/>
              </w:rPr>
            </w:pPr>
            <w:r w:rsidRPr="00AF0ACE">
              <w:rPr>
                <w:bCs/>
                <w:sz w:val="22"/>
                <w:szCs w:val="22"/>
              </w:rPr>
              <w:t>-</w:t>
            </w:r>
            <w:r w:rsidRPr="00AF0ACE">
              <w:rPr>
                <w:bCs/>
                <w:sz w:val="22"/>
                <w:szCs w:val="22"/>
              </w:rPr>
              <w:tab/>
              <w:t>ипотечные сертификаты участия, выданные в соответствии с законодательством Российской Федерации;</w:t>
            </w:r>
          </w:p>
          <w:p w:rsidR="00AF0ACE" w:rsidRPr="00AF0ACE" w:rsidRDefault="00AF0ACE" w:rsidP="00AF0ACE">
            <w:pPr>
              <w:jc w:val="both"/>
              <w:rPr>
                <w:bCs/>
                <w:sz w:val="22"/>
                <w:szCs w:val="22"/>
              </w:rPr>
            </w:pPr>
            <w:r w:rsidRPr="00AF0ACE">
              <w:rPr>
                <w:bCs/>
                <w:sz w:val="22"/>
                <w:szCs w:val="22"/>
              </w:rPr>
              <w:t>-</w:t>
            </w:r>
            <w:r w:rsidRPr="00AF0ACE">
              <w:rPr>
                <w:bCs/>
                <w:sz w:val="22"/>
                <w:szCs w:val="22"/>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AF0ACE" w:rsidRPr="00AF0ACE" w:rsidRDefault="00AF0ACE" w:rsidP="00AF0ACE">
            <w:pPr>
              <w:jc w:val="both"/>
              <w:rPr>
                <w:bCs/>
                <w:sz w:val="22"/>
                <w:szCs w:val="22"/>
              </w:rPr>
            </w:pPr>
            <w:r w:rsidRPr="00AF0ACE">
              <w:rPr>
                <w:bCs/>
                <w:sz w:val="22"/>
                <w:szCs w:val="22"/>
              </w:rPr>
              <w:t>2)</w:t>
            </w:r>
            <w:r w:rsidRPr="00AF0ACE">
              <w:rPr>
                <w:bCs/>
                <w:sz w:val="22"/>
                <w:szCs w:val="22"/>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w:t>
            </w:r>
            <w:r w:rsidRPr="00AF0ACE">
              <w:rPr>
                <w:bCs/>
                <w:sz w:val="22"/>
                <w:szCs w:val="22"/>
              </w:rPr>
              <w:lastRenderedPageBreak/>
              <w:t xml:space="preserve">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AF0ACE" w:rsidRPr="00AF0ACE" w:rsidRDefault="00AF0ACE" w:rsidP="00AF0ACE">
            <w:pPr>
              <w:jc w:val="both"/>
              <w:rPr>
                <w:bCs/>
                <w:sz w:val="22"/>
                <w:szCs w:val="22"/>
              </w:rPr>
            </w:pPr>
            <w:r w:rsidRPr="00AF0ACE">
              <w:rPr>
                <w:bCs/>
                <w:sz w:val="22"/>
                <w:szCs w:val="22"/>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AF0ACE" w:rsidRPr="00AF0ACE" w:rsidRDefault="00AF0ACE" w:rsidP="00AF0ACE">
            <w:pPr>
              <w:jc w:val="both"/>
              <w:rPr>
                <w:bCs/>
                <w:sz w:val="22"/>
                <w:szCs w:val="22"/>
              </w:rPr>
            </w:pPr>
            <w:r w:rsidRPr="00AF0ACE">
              <w:rPr>
                <w:bCs/>
                <w:sz w:val="22"/>
                <w:szCs w:val="22"/>
              </w:rPr>
              <w:t>3)</w:t>
            </w:r>
            <w:r w:rsidRPr="00AF0ACE">
              <w:rPr>
                <w:bCs/>
                <w:sz w:val="22"/>
                <w:szCs w:val="22"/>
              </w:rPr>
              <w:tab/>
              <w:t>инвестиционные паи открытых паевых инвестиционных фондов, относящихся к категории фондов рыночных финансовых инструментов;</w:t>
            </w:r>
          </w:p>
          <w:p w:rsidR="00AF0ACE" w:rsidRPr="00AF0ACE" w:rsidRDefault="00AF0ACE" w:rsidP="00AF0ACE">
            <w:pPr>
              <w:jc w:val="both"/>
              <w:rPr>
                <w:bCs/>
                <w:sz w:val="22"/>
                <w:szCs w:val="22"/>
              </w:rPr>
            </w:pPr>
            <w:r w:rsidRPr="00AF0ACE">
              <w:rPr>
                <w:bCs/>
                <w:sz w:val="22"/>
                <w:szCs w:val="22"/>
              </w:rPr>
              <w:t>4)</w:t>
            </w:r>
            <w:r w:rsidRPr="00AF0ACE">
              <w:rPr>
                <w:bCs/>
                <w:sz w:val="22"/>
                <w:szCs w:val="22"/>
              </w:rPr>
              <w:tab/>
              <w:t>права требования из договоров, заключенных для целей доверительного управления в отношении указанных активов;</w:t>
            </w:r>
          </w:p>
          <w:p w:rsidR="00CC30AE" w:rsidRPr="00CC30AE" w:rsidRDefault="00AF0ACE" w:rsidP="00AF0ACE">
            <w:pPr>
              <w:jc w:val="both"/>
              <w:rPr>
                <w:bCs/>
                <w:sz w:val="22"/>
                <w:szCs w:val="22"/>
              </w:rPr>
            </w:pPr>
            <w:r w:rsidRPr="00AF0ACE">
              <w:rPr>
                <w:bCs/>
                <w:sz w:val="22"/>
                <w:szCs w:val="22"/>
              </w:rPr>
              <w:t>5)</w:t>
            </w:r>
            <w:r w:rsidRPr="00AF0ACE">
              <w:rPr>
                <w:bCs/>
                <w:sz w:val="22"/>
                <w:szCs w:val="22"/>
              </w:rPr>
              <w:tab/>
              <w:t>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CC30AE" w:rsidRPr="00067703" w:rsidTr="00273E9C">
        <w:tc>
          <w:tcPr>
            <w:tcW w:w="4786" w:type="dxa"/>
          </w:tcPr>
          <w:p w:rsidR="008056CD" w:rsidRPr="008056CD" w:rsidRDefault="008056CD" w:rsidP="008056CD">
            <w:pPr>
              <w:jc w:val="both"/>
              <w:rPr>
                <w:bCs/>
                <w:sz w:val="22"/>
                <w:szCs w:val="22"/>
              </w:rPr>
            </w:pPr>
            <w:r>
              <w:rPr>
                <w:bCs/>
                <w:sz w:val="22"/>
                <w:szCs w:val="22"/>
              </w:rPr>
              <w:lastRenderedPageBreak/>
              <w:t xml:space="preserve">23.1.1. </w:t>
            </w:r>
            <w:r w:rsidRPr="008056CD">
              <w:rPr>
                <w:bCs/>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8056CD" w:rsidRPr="008056CD" w:rsidRDefault="008056CD" w:rsidP="008056CD">
            <w:pPr>
              <w:jc w:val="both"/>
              <w:rPr>
                <w:bCs/>
                <w:sz w:val="22"/>
                <w:szCs w:val="22"/>
              </w:rPr>
            </w:pPr>
            <w:r w:rsidRPr="008056CD">
              <w:rPr>
                <w:bCs/>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w:t>
            </w:r>
            <w:r w:rsidRPr="008056CD">
              <w:rPr>
                <w:bCs/>
                <w:sz w:val="22"/>
                <w:szCs w:val="22"/>
              </w:rPr>
              <w:lastRenderedPageBreak/>
              <w:t xml:space="preserve">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8056CD" w:rsidRPr="008056CD" w:rsidRDefault="008056CD" w:rsidP="008056CD">
            <w:pPr>
              <w:jc w:val="both"/>
              <w:rPr>
                <w:bCs/>
                <w:sz w:val="22"/>
                <w:szCs w:val="22"/>
              </w:rPr>
            </w:pPr>
            <w:r w:rsidRPr="008056CD">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8056CD" w:rsidRPr="008056CD" w:rsidRDefault="008056CD" w:rsidP="008056CD">
            <w:pPr>
              <w:jc w:val="both"/>
              <w:rPr>
                <w:bCs/>
                <w:sz w:val="22"/>
                <w:szCs w:val="22"/>
              </w:rPr>
            </w:pPr>
            <w:r w:rsidRPr="008056CD">
              <w:rPr>
                <w:bCs/>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8056CD" w:rsidRPr="008056CD" w:rsidRDefault="008056CD" w:rsidP="008056CD">
            <w:pPr>
              <w:jc w:val="both"/>
              <w:rPr>
                <w:bCs/>
                <w:sz w:val="22"/>
                <w:szCs w:val="22"/>
              </w:rPr>
            </w:pPr>
            <w:r w:rsidRPr="008056CD">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w:t>
            </w:r>
            <w:r w:rsidRPr="008056CD">
              <w:rPr>
                <w:bCs/>
                <w:sz w:val="22"/>
                <w:szCs w:val="22"/>
              </w:rPr>
              <w:lastRenderedPageBreak/>
              <w:t xml:space="preserve">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8056CD" w:rsidRPr="008056CD" w:rsidRDefault="008056CD" w:rsidP="008056CD">
            <w:pPr>
              <w:jc w:val="both"/>
              <w:rPr>
                <w:bCs/>
                <w:sz w:val="22"/>
                <w:szCs w:val="22"/>
              </w:rPr>
            </w:pPr>
            <w:r w:rsidRPr="008056CD">
              <w:rPr>
                <w:bCs/>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8056CD" w:rsidRPr="008056CD" w:rsidRDefault="008056CD" w:rsidP="008056CD">
            <w:pPr>
              <w:jc w:val="both"/>
              <w:rPr>
                <w:bCs/>
                <w:sz w:val="22"/>
                <w:szCs w:val="22"/>
              </w:rPr>
            </w:pPr>
            <w:r w:rsidRPr="008056CD">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8056CD" w:rsidRPr="008056CD" w:rsidRDefault="008056CD" w:rsidP="008056CD">
            <w:pPr>
              <w:jc w:val="both"/>
              <w:rPr>
                <w:bCs/>
                <w:sz w:val="22"/>
                <w:szCs w:val="22"/>
              </w:rPr>
            </w:pPr>
            <w:r w:rsidRPr="008056CD">
              <w:rPr>
                <w:bCs/>
                <w:sz w:val="22"/>
                <w:szCs w:val="22"/>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w:t>
            </w:r>
            <w:r w:rsidRPr="008056CD">
              <w:rPr>
                <w:bCs/>
                <w:sz w:val="22"/>
                <w:szCs w:val="22"/>
              </w:rPr>
              <w:lastRenderedPageBreak/>
              <w:t xml:space="preserve">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8056CD" w:rsidRPr="008056CD" w:rsidRDefault="008056CD" w:rsidP="008056CD">
            <w:pPr>
              <w:jc w:val="both"/>
              <w:rPr>
                <w:bCs/>
                <w:sz w:val="22"/>
                <w:szCs w:val="22"/>
              </w:rPr>
            </w:pPr>
            <w:r w:rsidRPr="008056CD">
              <w:rPr>
                <w:bCs/>
                <w:sz w:val="22"/>
                <w:szCs w:val="22"/>
              </w:rP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8056CD" w:rsidRPr="008056CD" w:rsidRDefault="008056CD" w:rsidP="008056CD">
            <w:pPr>
              <w:jc w:val="both"/>
              <w:rPr>
                <w:bCs/>
                <w:sz w:val="22"/>
                <w:szCs w:val="22"/>
              </w:rPr>
            </w:pPr>
            <w:r w:rsidRPr="008056CD">
              <w:rPr>
                <w:bCs/>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C30AE" w:rsidRPr="00CC30AE" w:rsidRDefault="008056CD" w:rsidP="008056CD">
            <w:pPr>
              <w:jc w:val="both"/>
              <w:rPr>
                <w:bCs/>
                <w:sz w:val="22"/>
                <w:szCs w:val="22"/>
              </w:rPr>
            </w:pPr>
            <w:r w:rsidRPr="008056CD">
              <w:rPr>
                <w:bCs/>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c>
          <w:tcPr>
            <w:tcW w:w="4785" w:type="dxa"/>
          </w:tcPr>
          <w:p w:rsidR="00ED273E" w:rsidRPr="00ED273E" w:rsidRDefault="00ED273E" w:rsidP="00ED273E">
            <w:pPr>
              <w:jc w:val="both"/>
              <w:rPr>
                <w:bCs/>
                <w:sz w:val="22"/>
                <w:szCs w:val="22"/>
              </w:rPr>
            </w:pPr>
            <w:r w:rsidRPr="00ED273E">
              <w:rPr>
                <w:bCs/>
                <w:sz w:val="22"/>
                <w:szCs w:val="22"/>
              </w:rPr>
              <w:lastRenderedPageBreak/>
              <w:t xml:space="preserve">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AB7028">
              <w:rPr>
                <w:b/>
                <w:bCs/>
                <w:sz w:val="22"/>
                <w:szCs w:val="22"/>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w:t>
            </w:r>
            <w:r w:rsidRPr="00ED273E">
              <w:rPr>
                <w:bCs/>
                <w:sz w:val="22"/>
                <w:szCs w:val="22"/>
              </w:rPr>
              <w:t xml:space="preserve">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D273E" w:rsidRPr="00ED273E" w:rsidRDefault="00ED273E" w:rsidP="00ED273E">
            <w:pPr>
              <w:jc w:val="both"/>
              <w:rPr>
                <w:bCs/>
                <w:sz w:val="22"/>
                <w:szCs w:val="22"/>
              </w:rPr>
            </w:pPr>
            <w:r w:rsidRPr="00ED273E">
              <w:rPr>
                <w:bCs/>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352B53">
              <w:rPr>
                <w:b/>
                <w:bCs/>
                <w:sz w:val="22"/>
                <w:szCs w:val="22"/>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w:t>
            </w:r>
            <w:r w:rsidRPr="00ED273E">
              <w:rPr>
                <w:bCs/>
                <w:sz w:val="22"/>
                <w:szCs w:val="22"/>
              </w:rPr>
              <w:t xml:space="preserve"> 10 процентов стоимости </w:t>
            </w:r>
            <w:r w:rsidRPr="00ED273E">
              <w:rPr>
                <w:bCs/>
                <w:sz w:val="22"/>
                <w:szCs w:val="22"/>
              </w:rPr>
              <w:lastRenderedPageBreak/>
              <w:t xml:space="preserve">активов фонда. </w:t>
            </w:r>
          </w:p>
          <w:p w:rsidR="00ED273E" w:rsidRPr="00ED273E" w:rsidRDefault="00ED273E" w:rsidP="00ED273E">
            <w:pPr>
              <w:jc w:val="both"/>
              <w:rPr>
                <w:bCs/>
                <w:sz w:val="22"/>
                <w:szCs w:val="22"/>
              </w:rPr>
            </w:pPr>
            <w:r w:rsidRPr="00ED273E">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ED273E" w:rsidRPr="00ED273E" w:rsidRDefault="00ED273E" w:rsidP="00ED273E">
            <w:pPr>
              <w:jc w:val="both"/>
              <w:rPr>
                <w:bCs/>
                <w:sz w:val="22"/>
                <w:szCs w:val="22"/>
              </w:rPr>
            </w:pPr>
            <w:r w:rsidRPr="00ED273E">
              <w:rPr>
                <w:bCs/>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ED273E" w:rsidRPr="00ED273E" w:rsidRDefault="00ED273E" w:rsidP="00ED273E">
            <w:pPr>
              <w:jc w:val="both"/>
              <w:rPr>
                <w:bCs/>
                <w:sz w:val="22"/>
                <w:szCs w:val="22"/>
              </w:rPr>
            </w:pPr>
            <w:r w:rsidRPr="00ED273E">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w:t>
            </w:r>
            <w:r w:rsidRPr="00ED273E">
              <w:rPr>
                <w:bCs/>
                <w:sz w:val="22"/>
                <w:szCs w:val="22"/>
              </w:rPr>
              <w:lastRenderedPageBreak/>
              <w:t xml:space="preserve">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ED273E" w:rsidRPr="00ED273E" w:rsidRDefault="00ED273E" w:rsidP="00ED273E">
            <w:pPr>
              <w:jc w:val="both"/>
              <w:rPr>
                <w:bCs/>
                <w:sz w:val="22"/>
                <w:szCs w:val="22"/>
              </w:rPr>
            </w:pPr>
            <w:r w:rsidRPr="00ED273E">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w:t>
            </w:r>
            <w:r w:rsidRPr="00CB7EED">
              <w:rPr>
                <w:b/>
                <w:bCs/>
                <w:sz w:val="22"/>
                <w:szCs w:val="22"/>
              </w:rPr>
              <w:t>и (или) обмене инвестиционных паев</w:t>
            </w:r>
            <w:r w:rsidRPr="00ED273E">
              <w:rPr>
                <w:bCs/>
                <w:sz w:val="22"/>
                <w:szCs w:val="22"/>
              </w:rPr>
              <w:t>, в течение не более 2 рабочих дней с даты указанного включения.</w:t>
            </w:r>
          </w:p>
          <w:p w:rsidR="00ED273E" w:rsidRPr="00ED273E" w:rsidRDefault="00ED273E" w:rsidP="00ED273E">
            <w:pPr>
              <w:jc w:val="both"/>
              <w:rPr>
                <w:bCs/>
                <w:sz w:val="22"/>
                <w:szCs w:val="22"/>
              </w:rPr>
            </w:pPr>
            <w:r w:rsidRPr="00ED273E">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ED273E" w:rsidRPr="00ED273E" w:rsidRDefault="00ED273E" w:rsidP="00ED273E">
            <w:pPr>
              <w:jc w:val="both"/>
              <w:rPr>
                <w:bCs/>
                <w:sz w:val="22"/>
                <w:szCs w:val="22"/>
              </w:rPr>
            </w:pPr>
            <w:r w:rsidRPr="00ED273E">
              <w:rPr>
                <w:bCs/>
                <w:sz w:val="22"/>
                <w:szCs w:val="22"/>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w:t>
            </w:r>
            <w:r w:rsidRPr="00ED273E">
              <w:rPr>
                <w:bCs/>
                <w:sz w:val="22"/>
                <w:szCs w:val="22"/>
              </w:rPr>
              <w:lastRenderedPageBreak/>
              <w:t xml:space="preserve">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ED273E" w:rsidRPr="00ED273E" w:rsidRDefault="00ED273E" w:rsidP="00ED273E">
            <w:pPr>
              <w:jc w:val="both"/>
              <w:rPr>
                <w:bCs/>
                <w:sz w:val="22"/>
                <w:szCs w:val="22"/>
              </w:rPr>
            </w:pPr>
            <w:r w:rsidRPr="00ED273E">
              <w:rPr>
                <w:bCs/>
                <w:sz w:val="22"/>
                <w:szCs w:val="22"/>
              </w:rP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ED273E" w:rsidRPr="00ED273E" w:rsidRDefault="00ED273E" w:rsidP="00ED273E">
            <w:pPr>
              <w:jc w:val="both"/>
              <w:rPr>
                <w:bCs/>
                <w:sz w:val="22"/>
                <w:szCs w:val="22"/>
              </w:rPr>
            </w:pPr>
            <w:r w:rsidRPr="00ED273E">
              <w:rPr>
                <w:bCs/>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C30AE" w:rsidRPr="00CC30AE" w:rsidRDefault="00ED273E" w:rsidP="00ED273E">
            <w:pPr>
              <w:jc w:val="both"/>
              <w:rPr>
                <w:bCs/>
                <w:sz w:val="22"/>
                <w:szCs w:val="22"/>
              </w:rPr>
            </w:pPr>
            <w:r w:rsidRPr="00ED273E">
              <w:rPr>
                <w:bCs/>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CC30AE" w:rsidRPr="00067703" w:rsidTr="00273E9C">
        <w:tc>
          <w:tcPr>
            <w:tcW w:w="4786" w:type="dxa"/>
          </w:tcPr>
          <w:p w:rsidR="0095147F" w:rsidRPr="0095147F" w:rsidRDefault="0095147F" w:rsidP="0095147F">
            <w:pPr>
              <w:jc w:val="both"/>
              <w:rPr>
                <w:bCs/>
                <w:sz w:val="22"/>
                <w:szCs w:val="22"/>
              </w:rPr>
            </w:pPr>
            <w:r>
              <w:rPr>
                <w:bCs/>
                <w:sz w:val="22"/>
                <w:szCs w:val="22"/>
              </w:rPr>
              <w:lastRenderedPageBreak/>
              <w:t xml:space="preserve">23.1.3. </w:t>
            </w:r>
            <w:r w:rsidRPr="0095147F">
              <w:rPr>
                <w:bCs/>
                <w:sz w:val="22"/>
                <w:szCs w:val="22"/>
              </w:rPr>
              <w:t xml:space="preserve">При определении структуры активов фонда учитываются активы, принятые к учету стоимости его чистых активов (с учетом требования, установленного абзацем четвертым подпункта 23.1.1 настоящих Правил). </w:t>
            </w:r>
          </w:p>
          <w:p w:rsidR="00CC30AE" w:rsidRPr="00CC30AE" w:rsidRDefault="0095147F" w:rsidP="0095147F">
            <w:pPr>
              <w:jc w:val="both"/>
              <w:rPr>
                <w:bCs/>
                <w:sz w:val="22"/>
                <w:szCs w:val="22"/>
              </w:rPr>
            </w:pPr>
            <w:r w:rsidRPr="0095147F">
              <w:rPr>
                <w:bCs/>
                <w:sz w:val="22"/>
                <w:szCs w:val="22"/>
              </w:rPr>
              <w:t>Требования настоящего пункта 23.1 Правил применяются до даты возникновения основания прекращения фонда.</w:t>
            </w:r>
          </w:p>
        </w:tc>
        <w:tc>
          <w:tcPr>
            <w:tcW w:w="4785" w:type="dxa"/>
          </w:tcPr>
          <w:p w:rsidR="0095147F" w:rsidRPr="0095147F" w:rsidRDefault="0095147F" w:rsidP="0095147F">
            <w:pPr>
              <w:jc w:val="both"/>
              <w:rPr>
                <w:bCs/>
                <w:sz w:val="22"/>
                <w:szCs w:val="22"/>
              </w:rPr>
            </w:pPr>
            <w:r w:rsidRPr="0095147F">
              <w:rPr>
                <w:bCs/>
                <w:sz w:val="22"/>
                <w:szCs w:val="22"/>
              </w:rPr>
              <w:t xml:space="preserve">23.1.3. При определении структуры активов фонда учитываются активы, принятые к учету стоимости его чистых активов (с учетом требования, установленного абзацем четвертым подпункта 23.1.1 настоящих Правил). </w:t>
            </w:r>
          </w:p>
          <w:p w:rsidR="00CC30AE" w:rsidRPr="00CC30AE" w:rsidRDefault="0095147F" w:rsidP="0095147F">
            <w:pPr>
              <w:jc w:val="both"/>
              <w:rPr>
                <w:bCs/>
                <w:sz w:val="22"/>
                <w:szCs w:val="22"/>
              </w:rPr>
            </w:pPr>
            <w:r w:rsidRPr="0095147F">
              <w:rPr>
                <w:bCs/>
                <w:sz w:val="22"/>
                <w:szCs w:val="22"/>
              </w:rPr>
              <w:t>Требования пункта 23.1 Правил применяются до даты возникновения основания прекращения фонда.</w:t>
            </w:r>
          </w:p>
        </w:tc>
      </w:tr>
      <w:tr w:rsidR="00CC30AE" w:rsidRPr="00067703" w:rsidTr="00273E9C">
        <w:tc>
          <w:tcPr>
            <w:tcW w:w="4786" w:type="dxa"/>
          </w:tcPr>
          <w:p w:rsidR="003E0C19" w:rsidRPr="003E0C19" w:rsidRDefault="003E0C19" w:rsidP="003E0C19">
            <w:pPr>
              <w:jc w:val="both"/>
              <w:rPr>
                <w:bCs/>
                <w:sz w:val="22"/>
                <w:szCs w:val="22"/>
              </w:rPr>
            </w:pPr>
            <w:r>
              <w:rPr>
                <w:bCs/>
                <w:sz w:val="22"/>
                <w:szCs w:val="22"/>
              </w:rPr>
              <w:lastRenderedPageBreak/>
              <w:t>56.</w:t>
            </w:r>
            <w:r>
              <w:t xml:space="preserve"> </w:t>
            </w:r>
            <w:r w:rsidRPr="003E0C19">
              <w:rPr>
                <w:bCs/>
                <w:sz w:val="22"/>
                <w:szCs w:val="22"/>
              </w:rPr>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3E0C19" w:rsidRPr="003E0C19" w:rsidRDefault="003E0C19" w:rsidP="003E0C19">
            <w:pPr>
              <w:jc w:val="both"/>
              <w:rPr>
                <w:bCs/>
                <w:sz w:val="22"/>
                <w:szCs w:val="22"/>
              </w:rPr>
            </w:pPr>
            <w:r w:rsidRPr="003E0C19">
              <w:rPr>
                <w:bCs/>
                <w:sz w:val="22"/>
                <w:szCs w:val="22"/>
              </w:rPr>
              <w:t>-</w:t>
            </w:r>
            <w:r w:rsidRPr="003E0C19">
              <w:rPr>
                <w:bCs/>
                <w:sz w:val="22"/>
                <w:szCs w:val="22"/>
              </w:rPr>
              <w:tab/>
              <w:t>не менее 1 000 000 (Одного миллиона) рублей - в случае передачи в оплату инвестиционных паев денежных средств в рублях;</w:t>
            </w:r>
          </w:p>
          <w:p w:rsidR="00CC30AE" w:rsidRPr="00CC30AE" w:rsidRDefault="003E0C19" w:rsidP="003E0C19">
            <w:pPr>
              <w:jc w:val="both"/>
              <w:rPr>
                <w:bCs/>
                <w:sz w:val="22"/>
                <w:szCs w:val="22"/>
              </w:rPr>
            </w:pPr>
            <w:r w:rsidRPr="003E0C19">
              <w:rPr>
                <w:bCs/>
                <w:sz w:val="22"/>
                <w:szCs w:val="22"/>
              </w:rPr>
              <w:t>-</w:t>
            </w:r>
            <w:r w:rsidRPr="003E0C19">
              <w:rPr>
                <w:bCs/>
                <w:sz w:val="22"/>
                <w:szCs w:val="22"/>
              </w:rPr>
              <w:tab/>
              <w:t>не менее 15 000 (Пятнадцати тысяч) долларов США – в случае передачи в оплату инвестиционных паев денежных средств в иностранной валюте.</w:t>
            </w:r>
          </w:p>
        </w:tc>
        <w:tc>
          <w:tcPr>
            <w:tcW w:w="4785" w:type="dxa"/>
          </w:tcPr>
          <w:p w:rsidR="00C237FF" w:rsidRPr="00495798" w:rsidRDefault="00C237FF" w:rsidP="00C237FF">
            <w:pPr>
              <w:jc w:val="both"/>
              <w:rPr>
                <w:b/>
                <w:bCs/>
                <w:sz w:val="22"/>
                <w:szCs w:val="22"/>
              </w:rPr>
            </w:pPr>
            <w:r w:rsidRPr="00C237FF">
              <w:rPr>
                <w:bCs/>
                <w:sz w:val="22"/>
                <w:szCs w:val="22"/>
              </w:rPr>
              <w:t>56.</w:t>
            </w:r>
            <w:r w:rsidRPr="00C237FF">
              <w:rPr>
                <w:bCs/>
                <w:sz w:val="22"/>
                <w:szCs w:val="22"/>
              </w:rPr>
              <w:tab/>
            </w:r>
            <w:r w:rsidRPr="00495798">
              <w:rPr>
                <w:b/>
                <w:bCs/>
                <w:sz w:val="22"/>
                <w:szCs w:val="22"/>
              </w:rPr>
              <w:t>При выдаче инвестиционных паев после даты завершения (окончания) формирования фонда по заявке на приобретение, принятой агентом фонда, выдача инвестиционных паев осуществляется при условии передачи в их оплату денежных средств в сумме:</w:t>
            </w:r>
          </w:p>
          <w:p w:rsidR="00C237FF" w:rsidRPr="00495798" w:rsidRDefault="00C237FF" w:rsidP="00C237FF">
            <w:pPr>
              <w:jc w:val="both"/>
              <w:rPr>
                <w:b/>
                <w:bCs/>
                <w:sz w:val="22"/>
                <w:szCs w:val="22"/>
              </w:rPr>
            </w:pPr>
            <w:r w:rsidRPr="00495798">
              <w:rPr>
                <w:b/>
                <w:bCs/>
                <w:sz w:val="22"/>
                <w:szCs w:val="22"/>
              </w:rPr>
              <w:t>-</w:t>
            </w:r>
            <w:r w:rsidRPr="00495798">
              <w:rPr>
                <w:b/>
                <w:bCs/>
                <w:sz w:val="22"/>
                <w:szCs w:val="22"/>
              </w:rPr>
              <w:tab/>
              <w:t>не менее 10 000 (Десяти тысяч) рублей - в случае передачи в оплату инвестиционных паев денежных средств в рублях лицами, не являющимися владельцами инвестиционных паев фонда;</w:t>
            </w:r>
          </w:p>
          <w:p w:rsidR="00C237FF" w:rsidRPr="00495798" w:rsidRDefault="00C237FF" w:rsidP="00C237FF">
            <w:pPr>
              <w:jc w:val="both"/>
              <w:rPr>
                <w:b/>
                <w:bCs/>
                <w:sz w:val="22"/>
                <w:szCs w:val="22"/>
              </w:rPr>
            </w:pPr>
            <w:r w:rsidRPr="00495798">
              <w:rPr>
                <w:b/>
                <w:bCs/>
                <w:sz w:val="22"/>
                <w:szCs w:val="22"/>
              </w:rPr>
              <w:t>-</w:t>
            </w:r>
            <w:r w:rsidRPr="00495798">
              <w:rPr>
                <w:b/>
                <w:bCs/>
                <w:sz w:val="22"/>
                <w:szCs w:val="22"/>
              </w:rPr>
              <w:tab/>
              <w:t>не менее 5 000 (Пяти тысяч) рублей - в случае передачи в оплату инвестиционных паев денежных средств в рублях владельцами инвестиционных паев фонда;</w:t>
            </w:r>
          </w:p>
          <w:p w:rsidR="00C237FF" w:rsidRPr="00495798" w:rsidRDefault="00C237FF" w:rsidP="00C237FF">
            <w:pPr>
              <w:jc w:val="both"/>
              <w:rPr>
                <w:b/>
                <w:bCs/>
                <w:sz w:val="22"/>
                <w:szCs w:val="22"/>
              </w:rPr>
            </w:pPr>
            <w:r w:rsidRPr="00495798">
              <w:rPr>
                <w:b/>
                <w:bCs/>
                <w:sz w:val="22"/>
                <w:szCs w:val="22"/>
              </w:rPr>
              <w:t>-</w:t>
            </w:r>
            <w:r w:rsidRPr="00495798">
              <w:rPr>
                <w:b/>
                <w:bCs/>
                <w:sz w:val="22"/>
                <w:szCs w:val="22"/>
              </w:rPr>
              <w:tab/>
              <w:t>не менее 150 (Ста пятидесяти) долларов США – в случае передачи в оплату инвестиционных паев денежных средств в иностранной валюте.</w:t>
            </w:r>
          </w:p>
          <w:p w:rsidR="00C237FF" w:rsidRPr="00495798" w:rsidRDefault="00C237FF" w:rsidP="00C237FF">
            <w:pPr>
              <w:jc w:val="both"/>
              <w:rPr>
                <w:b/>
                <w:bCs/>
                <w:sz w:val="22"/>
                <w:szCs w:val="22"/>
              </w:rPr>
            </w:pPr>
            <w:r w:rsidRPr="00495798">
              <w:rPr>
                <w:b/>
                <w:bCs/>
                <w:sz w:val="22"/>
                <w:szCs w:val="22"/>
              </w:rPr>
              <w:t>При выдаче инвестиционных паев после даты завершения (окончания) формирования фонда по заявке на приобретение, принятой Управляющей компанией, выдача инвестиционных паев осуществляется при условии передачи в их оплату денежных средств в сумме:</w:t>
            </w:r>
          </w:p>
          <w:p w:rsidR="00C237FF" w:rsidRPr="00C237FF" w:rsidRDefault="00C237FF" w:rsidP="00C237FF">
            <w:pPr>
              <w:jc w:val="both"/>
              <w:rPr>
                <w:bCs/>
                <w:sz w:val="22"/>
                <w:szCs w:val="22"/>
              </w:rPr>
            </w:pPr>
            <w:r w:rsidRPr="00C237FF">
              <w:rPr>
                <w:bCs/>
                <w:sz w:val="22"/>
                <w:szCs w:val="22"/>
              </w:rPr>
              <w:t>-</w:t>
            </w:r>
            <w:r w:rsidRPr="00C237FF">
              <w:rPr>
                <w:bCs/>
                <w:sz w:val="22"/>
                <w:szCs w:val="22"/>
              </w:rPr>
              <w:tab/>
              <w:t>не менее 1 000 000 (Одного миллиона) рублей - в случае передачи в оплату инвестиционных паев денежных средств в рублях;</w:t>
            </w:r>
          </w:p>
          <w:p w:rsidR="00CC30AE" w:rsidRPr="00CC30AE" w:rsidRDefault="00C237FF" w:rsidP="00C237FF">
            <w:pPr>
              <w:jc w:val="both"/>
              <w:rPr>
                <w:bCs/>
                <w:sz w:val="22"/>
                <w:szCs w:val="22"/>
              </w:rPr>
            </w:pPr>
            <w:r w:rsidRPr="00C237FF">
              <w:rPr>
                <w:bCs/>
                <w:sz w:val="22"/>
                <w:szCs w:val="22"/>
              </w:rPr>
              <w:t>-</w:t>
            </w:r>
            <w:r w:rsidRPr="00C237FF">
              <w:rPr>
                <w:bCs/>
                <w:sz w:val="22"/>
                <w:szCs w:val="22"/>
              </w:rPr>
              <w:tab/>
              <w:t>не менее 15 000 (Пятнадцати тысяч) долларов США – в случае передачи в оплату инвестиционных паев денежных средств в иностранной валюте.</w:t>
            </w:r>
          </w:p>
        </w:tc>
      </w:tr>
      <w:tr w:rsidR="00CC30AE" w:rsidRPr="00067703" w:rsidTr="00273E9C">
        <w:tc>
          <w:tcPr>
            <w:tcW w:w="4786" w:type="dxa"/>
          </w:tcPr>
          <w:p w:rsidR="00111089" w:rsidRPr="00111089" w:rsidRDefault="003E2CFE" w:rsidP="00111089">
            <w:pPr>
              <w:jc w:val="both"/>
              <w:rPr>
                <w:bCs/>
                <w:sz w:val="22"/>
                <w:szCs w:val="22"/>
              </w:rPr>
            </w:pPr>
            <w:r>
              <w:rPr>
                <w:bCs/>
                <w:sz w:val="22"/>
                <w:szCs w:val="22"/>
              </w:rPr>
              <w:t xml:space="preserve">79. </w:t>
            </w:r>
            <w:r w:rsidR="00111089" w:rsidRPr="00111089">
              <w:rPr>
                <w:bCs/>
                <w:sz w:val="22"/>
                <w:szCs w:val="22"/>
              </w:rPr>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111089" w:rsidRPr="00111089" w:rsidRDefault="00111089" w:rsidP="00111089">
            <w:pPr>
              <w:jc w:val="both"/>
              <w:rPr>
                <w:bCs/>
                <w:sz w:val="22"/>
                <w:szCs w:val="22"/>
              </w:rPr>
            </w:pPr>
            <w:r w:rsidRPr="00111089">
              <w:rPr>
                <w:bCs/>
                <w:sz w:val="22"/>
                <w:szCs w:val="22"/>
              </w:rPr>
              <w:t>1)</w:t>
            </w:r>
            <w:r w:rsidRPr="00111089">
              <w:rPr>
                <w:bCs/>
                <w:sz w:val="22"/>
                <w:szCs w:val="22"/>
              </w:rPr>
              <w:tab/>
              <w:t>3,00 (Три) процента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w:t>
            </w:r>
            <w:r w:rsidRPr="00111089">
              <w:rPr>
                <w:bCs/>
                <w:sz w:val="22"/>
                <w:szCs w:val="22"/>
              </w:rPr>
              <w:lastRenderedPageBreak/>
              <w:t>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2)</w:t>
            </w:r>
            <w:r w:rsidRPr="00111089">
              <w:rPr>
                <w:bCs/>
                <w:sz w:val="22"/>
                <w:szCs w:val="22"/>
              </w:rPr>
              <w:tab/>
              <w:t>2,00 (Два) процента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3)</w:t>
            </w:r>
            <w:r w:rsidRPr="00111089">
              <w:rPr>
                <w:bCs/>
                <w:sz w:val="22"/>
                <w:szCs w:val="22"/>
              </w:rPr>
              <w:tab/>
              <w:t>1,00 (Один) процент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w:t>
            </w:r>
            <w:r w:rsidRPr="00111089">
              <w:rPr>
                <w:bCs/>
                <w:sz w:val="22"/>
                <w:szCs w:val="22"/>
              </w:rPr>
              <w:lastRenderedPageBreak/>
              <w:t>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4)</w:t>
            </w:r>
            <w:r w:rsidRPr="00111089">
              <w:rPr>
                <w:bCs/>
                <w:sz w:val="22"/>
                <w:szCs w:val="22"/>
              </w:rPr>
              <w:tab/>
              <w:t>0,5 (Ноль целых пять десятых) процента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5)</w:t>
            </w:r>
            <w:r w:rsidRPr="00111089">
              <w:rPr>
                <w:bCs/>
                <w:sz w:val="22"/>
                <w:szCs w:val="22"/>
              </w:rPr>
              <w:tab/>
              <w:t>0 (Ноль) процентов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 xml:space="preserve">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w:t>
            </w:r>
            <w:r w:rsidRPr="00111089">
              <w:rPr>
                <w:bCs/>
                <w:sz w:val="22"/>
                <w:szCs w:val="22"/>
              </w:rPr>
              <w:lastRenderedPageBreak/>
              <w:t>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1000 (Тысячи) инвестиционных паев независимо от срока владения инвестиционными паями.</w:t>
            </w:r>
          </w:p>
          <w:p w:rsidR="00111089" w:rsidRPr="00111089" w:rsidRDefault="00111089" w:rsidP="00111089">
            <w:pPr>
              <w:jc w:val="both"/>
              <w:rPr>
                <w:bCs/>
                <w:sz w:val="22"/>
                <w:szCs w:val="22"/>
              </w:rPr>
            </w:pPr>
            <w:r w:rsidRPr="00111089">
              <w:rPr>
                <w:bCs/>
                <w:sz w:val="22"/>
                <w:szCs w:val="22"/>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1000 (Тысячи) инвестиционных паев размер скидки, на которую уменьшается расчётная стоимость инвестиционного пая, составляет:</w:t>
            </w:r>
          </w:p>
          <w:p w:rsidR="00111089" w:rsidRPr="00111089" w:rsidRDefault="00111089" w:rsidP="00111089">
            <w:pPr>
              <w:jc w:val="both"/>
              <w:rPr>
                <w:bCs/>
                <w:sz w:val="22"/>
                <w:szCs w:val="22"/>
              </w:rPr>
            </w:pPr>
            <w:r w:rsidRPr="00111089">
              <w:rPr>
                <w:bCs/>
                <w:sz w:val="22"/>
                <w:szCs w:val="22"/>
              </w:rPr>
              <w:t>1)</w:t>
            </w:r>
            <w:r w:rsidRPr="00111089">
              <w:rPr>
                <w:bCs/>
                <w:sz w:val="22"/>
                <w:szCs w:val="22"/>
              </w:rPr>
              <w:tab/>
              <w:t>3,00 (Три) процента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lastRenderedPageBreak/>
              <w:t>2)</w:t>
            </w:r>
            <w:r w:rsidRPr="00111089">
              <w:rPr>
                <w:bCs/>
                <w:sz w:val="22"/>
                <w:szCs w:val="22"/>
              </w:rPr>
              <w:tab/>
              <w:t>2,00 (Два) процента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3)</w:t>
            </w:r>
            <w:r w:rsidRPr="00111089">
              <w:rPr>
                <w:bCs/>
                <w:sz w:val="22"/>
                <w:szCs w:val="22"/>
              </w:rPr>
              <w:tab/>
              <w:t>1,00 (Один) процент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4)</w:t>
            </w:r>
            <w:r w:rsidRPr="00111089">
              <w:rPr>
                <w:bCs/>
                <w:sz w:val="22"/>
                <w:szCs w:val="22"/>
              </w:rPr>
              <w:tab/>
              <w:t xml:space="preserve">0,5 (Ноль целых пять десятых) процента </w:t>
            </w:r>
            <w:r w:rsidRPr="00111089">
              <w:rPr>
                <w:bCs/>
                <w:sz w:val="22"/>
                <w:szCs w:val="22"/>
              </w:rPr>
              <w:lastRenderedPageBreak/>
              <w:t>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5)</w:t>
            </w:r>
            <w:r w:rsidRPr="00111089">
              <w:rPr>
                <w:bCs/>
                <w:sz w:val="22"/>
                <w:szCs w:val="22"/>
              </w:rPr>
              <w:tab/>
              <w:t>0 (Ноль) процентов от расчётной стоимости инвестиционного пая в случае, если:</w:t>
            </w:r>
          </w:p>
          <w:p w:rsidR="00111089" w:rsidRPr="00111089" w:rsidRDefault="00111089" w:rsidP="00111089">
            <w:pPr>
              <w:jc w:val="both"/>
              <w:rPr>
                <w:bCs/>
                <w:sz w:val="22"/>
                <w:szCs w:val="22"/>
              </w:rPr>
            </w:pPr>
            <w:r w:rsidRPr="00111089">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11089" w:rsidRPr="00111089" w:rsidRDefault="00111089" w:rsidP="00111089">
            <w:pPr>
              <w:jc w:val="both"/>
              <w:rPr>
                <w:bCs/>
                <w:sz w:val="22"/>
                <w:szCs w:val="22"/>
              </w:rPr>
            </w:pPr>
            <w:r w:rsidRPr="00111089">
              <w:rPr>
                <w:bCs/>
                <w:sz w:val="22"/>
                <w:szCs w:val="22"/>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111089" w:rsidRPr="00111089" w:rsidRDefault="00111089" w:rsidP="00111089">
            <w:pPr>
              <w:jc w:val="both"/>
              <w:rPr>
                <w:bCs/>
                <w:sz w:val="22"/>
                <w:szCs w:val="22"/>
              </w:rPr>
            </w:pPr>
            <w:r w:rsidRPr="00111089">
              <w:rPr>
                <w:bCs/>
                <w:sz w:val="22"/>
                <w:szCs w:val="22"/>
              </w:rPr>
              <w:t>При погашении инвестиционных паев по лицевому счету доверительного управляющего по заявке на погашение скидка не взимается.</w:t>
            </w:r>
          </w:p>
          <w:p w:rsidR="00111089" w:rsidRPr="00111089" w:rsidRDefault="00111089" w:rsidP="00111089">
            <w:pPr>
              <w:jc w:val="both"/>
              <w:rPr>
                <w:bCs/>
                <w:sz w:val="22"/>
                <w:szCs w:val="22"/>
              </w:rPr>
            </w:pPr>
            <w:r w:rsidRPr="00111089">
              <w:rPr>
                <w:bCs/>
                <w:sz w:val="22"/>
                <w:szCs w:val="22"/>
              </w:rPr>
              <w:lastRenderedPageBreak/>
              <w:t>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взимается.</w:t>
            </w:r>
          </w:p>
          <w:p w:rsidR="00CC30AE" w:rsidRPr="00CC30AE" w:rsidRDefault="00111089" w:rsidP="00111089">
            <w:pPr>
              <w:jc w:val="both"/>
              <w:rPr>
                <w:bCs/>
                <w:sz w:val="22"/>
                <w:szCs w:val="22"/>
              </w:rPr>
            </w:pPr>
            <w:r w:rsidRPr="00111089">
              <w:rPr>
                <w:bCs/>
                <w:sz w:val="22"/>
                <w:szCs w:val="22"/>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tc>
        <w:tc>
          <w:tcPr>
            <w:tcW w:w="4785" w:type="dxa"/>
          </w:tcPr>
          <w:p w:rsidR="00CC0104" w:rsidRPr="00CC0104" w:rsidRDefault="00CC0104" w:rsidP="00CC0104">
            <w:pPr>
              <w:jc w:val="both"/>
              <w:rPr>
                <w:bCs/>
                <w:sz w:val="22"/>
                <w:szCs w:val="22"/>
              </w:rPr>
            </w:pPr>
            <w:r w:rsidRPr="00CC0104">
              <w:rPr>
                <w:bCs/>
                <w:sz w:val="22"/>
                <w:szCs w:val="22"/>
              </w:rPr>
              <w:lastRenderedPageBreak/>
              <w:t>79.</w:t>
            </w:r>
            <w:r w:rsidRPr="00CC0104">
              <w:rPr>
                <w:bCs/>
                <w:sz w:val="22"/>
                <w:szCs w:val="22"/>
              </w:rPr>
              <w:tab/>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CC0104" w:rsidRPr="00CC0104" w:rsidRDefault="00CC0104" w:rsidP="00CC0104">
            <w:pPr>
              <w:jc w:val="both"/>
              <w:rPr>
                <w:bCs/>
                <w:sz w:val="22"/>
                <w:szCs w:val="22"/>
              </w:rPr>
            </w:pPr>
            <w:r w:rsidRPr="00CC0104">
              <w:rPr>
                <w:bCs/>
                <w:sz w:val="22"/>
                <w:szCs w:val="22"/>
              </w:rPr>
              <w:t>1)</w:t>
            </w:r>
            <w:r w:rsidRPr="00CC0104">
              <w:rPr>
                <w:bCs/>
                <w:sz w:val="22"/>
                <w:szCs w:val="22"/>
              </w:rPr>
              <w:tab/>
              <w:t>3,00 (Три) процента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w:t>
            </w:r>
            <w:r w:rsidRPr="00CC0104">
              <w:rPr>
                <w:bCs/>
                <w:sz w:val="22"/>
                <w:szCs w:val="22"/>
              </w:rPr>
              <w:lastRenderedPageBreak/>
              <w:t xml:space="preserve">решению Управляющей компании </w:t>
            </w:r>
            <w:r w:rsidRPr="00FF539F">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FF539F">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2)</w:t>
            </w:r>
            <w:r w:rsidRPr="00CC0104">
              <w:rPr>
                <w:bCs/>
                <w:sz w:val="22"/>
                <w:szCs w:val="22"/>
              </w:rPr>
              <w:tab/>
              <w:t>2,00 (Два) процента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FF539F">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FF539F">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3)</w:t>
            </w:r>
            <w:r w:rsidRPr="00CC0104">
              <w:rPr>
                <w:bCs/>
                <w:sz w:val="22"/>
                <w:szCs w:val="22"/>
              </w:rPr>
              <w:tab/>
              <w:t>1,00 (Один) процент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3.2) производится погашение инвестиционных паев фонда, зачисленных на лицевой счет владельца в реестре владельцев </w:t>
            </w:r>
            <w:r w:rsidRPr="00CC0104">
              <w:rPr>
                <w:bCs/>
                <w:sz w:val="22"/>
                <w:szCs w:val="22"/>
              </w:rPr>
              <w:lastRenderedPageBreak/>
              <w:t xml:space="preserve">инвестиционных паев в ходе конвертации в связи с обменом инвестиционных паев по решению Управляющей компании </w:t>
            </w:r>
            <w:r w:rsidRPr="00FF539F">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FF539F">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4)</w:t>
            </w:r>
            <w:r w:rsidRPr="00CC0104">
              <w:rPr>
                <w:bCs/>
                <w:sz w:val="22"/>
                <w:szCs w:val="22"/>
              </w:rPr>
              <w:tab/>
              <w:t>0,5 (Ноль целых пять десятых) процента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FF539F">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FF539F">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5)</w:t>
            </w:r>
            <w:r w:rsidRPr="00CC0104">
              <w:rPr>
                <w:bCs/>
                <w:sz w:val="22"/>
                <w:szCs w:val="22"/>
              </w:rPr>
              <w:tab/>
              <w:t>0 (Ноль) процентов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lastRenderedPageBreak/>
              <w:t xml:space="preserve">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FF539F">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FF539F">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1000 (Тысячи) инвестиционных паев независимо от срока владения инвестиционными паями.</w:t>
            </w:r>
          </w:p>
          <w:p w:rsidR="00CC0104" w:rsidRPr="00CC0104" w:rsidRDefault="00CC0104" w:rsidP="00CC0104">
            <w:pPr>
              <w:jc w:val="both"/>
              <w:rPr>
                <w:bCs/>
                <w:sz w:val="22"/>
                <w:szCs w:val="22"/>
              </w:rPr>
            </w:pPr>
            <w:r w:rsidRPr="00CC0104">
              <w:rPr>
                <w:bCs/>
                <w:sz w:val="22"/>
                <w:szCs w:val="22"/>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1000 (Тысячи) инвестиционных паев размер скидки, на которую уменьшается расчётная стоимость инвестиционного пая, составляет:</w:t>
            </w:r>
          </w:p>
          <w:p w:rsidR="00CC0104" w:rsidRPr="00CC0104" w:rsidRDefault="00CC0104" w:rsidP="00CC0104">
            <w:pPr>
              <w:jc w:val="both"/>
              <w:rPr>
                <w:bCs/>
                <w:sz w:val="22"/>
                <w:szCs w:val="22"/>
              </w:rPr>
            </w:pPr>
            <w:r w:rsidRPr="00CC0104">
              <w:rPr>
                <w:bCs/>
                <w:sz w:val="22"/>
                <w:szCs w:val="22"/>
              </w:rPr>
              <w:t>1)</w:t>
            </w:r>
            <w:r w:rsidRPr="00CC0104">
              <w:rPr>
                <w:bCs/>
                <w:sz w:val="22"/>
                <w:szCs w:val="22"/>
              </w:rPr>
              <w:tab/>
              <w:t>3,00 (Три) процента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E72E8B">
              <w:rPr>
                <w:b/>
                <w:bCs/>
                <w:sz w:val="22"/>
                <w:szCs w:val="22"/>
              </w:rPr>
              <w:t>или по требованию их владельца</w:t>
            </w:r>
            <w:r w:rsidRPr="00CC0104">
              <w:rPr>
                <w:bCs/>
                <w:sz w:val="22"/>
                <w:szCs w:val="22"/>
              </w:rPr>
              <w:t xml:space="preserve">, и погашение этих </w:t>
            </w:r>
            <w:r w:rsidRPr="00CC0104">
              <w:rPr>
                <w:bCs/>
                <w:sz w:val="22"/>
                <w:szCs w:val="22"/>
              </w:rPr>
              <w:lastRenderedPageBreak/>
              <w:t xml:space="preserve">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E72E8B">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2)</w:t>
            </w:r>
            <w:r w:rsidRPr="00CC0104">
              <w:rPr>
                <w:bCs/>
                <w:sz w:val="22"/>
                <w:szCs w:val="22"/>
              </w:rPr>
              <w:tab/>
              <w:t>2,00 (Два) процента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E72E8B">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E72E8B">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3)</w:t>
            </w:r>
            <w:r w:rsidRPr="00CC0104">
              <w:rPr>
                <w:bCs/>
                <w:sz w:val="22"/>
                <w:szCs w:val="22"/>
              </w:rPr>
              <w:tab/>
              <w:t>1,00 (Один) процент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w:t>
            </w:r>
            <w:r w:rsidRPr="00CC0104">
              <w:rPr>
                <w:bCs/>
                <w:sz w:val="22"/>
                <w:szCs w:val="22"/>
              </w:rPr>
              <w:lastRenderedPageBreak/>
              <w:t xml:space="preserve">решению Управляющей компании </w:t>
            </w:r>
            <w:r w:rsidRPr="00E72E8B">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B1447D">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4)</w:t>
            </w:r>
            <w:r w:rsidRPr="00CC0104">
              <w:rPr>
                <w:bCs/>
                <w:sz w:val="22"/>
                <w:szCs w:val="22"/>
              </w:rPr>
              <w:tab/>
              <w:t>0,5 (Ноль целых пять десятых) процента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C967F3">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C967F3">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5)</w:t>
            </w:r>
            <w:r w:rsidRPr="00CC0104">
              <w:rPr>
                <w:bCs/>
                <w:sz w:val="22"/>
                <w:szCs w:val="22"/>
              </w:rPr>
              <w:tab/>
              <w:t>0 (Ноль) процентов от расчётной стоимости инвестиционного пая в случае, если:</w:t>
            </w:r>
          </w:p>
          <w:p w:rsidR="00CC0104" w:rsidRPr="00CC0104" w:rsidRDefault="00CC0104" w:rsidP="00CC0104">
            <w:pPr>
              <w:jc w:val="both"/>
              <w:rPr>
                <w:bCs/>
                <w:sz w:val="22"/>
                <w:szCs w:val="22"/>
              </w:rPr>
            </w:pPr>
            <w:r w:rsidRPr="00CC0104">
              <w:rPr>
                <w:bCs/>
                <w:sz w:val="22"/>
                <w:szCs w:val="22"/>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C0104" w:rsidRPr="00CC0104" w:rsidRDefault="00CC0104" w:rsidP="00CC0104">
            <w:pPr>
              <w:jc w:val="both"/>
              <w:rPr>
                <w:bCs/>
                <w:sz w:val="22"/>
                <w:szCs w:val="22"/>
              </w:rPr>
            </w:pPr>
            <w:r w:rsidRPr="00CC0104">
              <w:rPr>
                <w:bCs/>
                <w:sz w:val="22"/>
                <w:szCs w:val="22"/>
              </w:rPr>
              <w:t xml:space="preserve">5.2) производится погашение инвестиционных паев фонда, зачисленных на лицевой счет </w:t>
            </w:r>
            <w:r w:rsidRPr="00CC0104">
              <w:rPr>
                <w:bCs/>
                <w:sz w:val="22"/>
                <w:szCs w:val="22"/>
              </w:rPr>
              <w:lastRenderedPageBreak/>
              <w:t xml:space="preserve">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1B1ECA">
              <w:rPr>
                <w:b/>
                <w:bCs/>
                <w:sz w:val="22"/>
                <w:szCs w:val="22"/>
              </w:rPr>
              <w:t>или по требованию их владельца</w:t>
            </w:r>
            <w:r w:rsidRPr="00CC0104">
              <w:rPr>
                <w:bCs/>
                <w:sz w:val="22"/>
                <w:szCs w:val="22"/>
              </w:rPr>
              <w:t xml:space="preserve">,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FF028E">
              <w:rPr>
                <w:b/>
                <w:bCs/>
                <w:sz w:val="22"/>
                <w:szCs w:val="22"/>
              </w:rPr>
              <w:t>или по требованию владельца</w:t>
            </w:r>
            <w:r w:rsidRPr="00CC0104">
              <w:rPr>
                <w:bCs/>
                <w:sz w:val="22"/>
                <w:szCs w:val="22"/>
              </w:rPr>
              <w:t>);</w:t>
            </w:r>
          </w:p>
          <w:p w:rsidR="00CC0104" w:rsidRPr="00CC0104" w:rsidRDefault="00CC0104" w:rsidP="00CC0104">
            <w:pPr>
              <w:jc w:val="both"/>
              <w:rPr>
                <w:bCs/>
                <w:sz w:val="22"/>
                <w:szCs w:val="22"/>
              </w:rPr>
            </w:pPr>
            <w:r w:rsidRPr="00CC0104">
              <w:rPr>
                <w:bCs/>
                <w:sz w:val="22"/>
                <w:szCs w:val="22"/>
              </w:rPr>
              <w:t>При погашении инвестиционных паев по лицевому счету доверительного управляющего по заявке на погашение скидка не взимается.</w:t>
            </w:r>
          </w:p>
          <w:p w:rsidR="00CC0104" w:rsidRPr="00CC0104" w:rsidRDefault="00CC0104" w:rsidP="00CC0104">
            <w:pPr>
              <w:jc w:val="both"/>
              <w:rPr>
                <w:bCs/>
                <w:sz w:val="22"/>
                <w:szCs w:val="22"/>
              </w:rPr>
            </w:pPr>
            <w:r w:rsidRPr="00CC0104">
              <w:rPr>
                <w:bCs/>
                <w:sz w:val="22"/>
                <w:szCs w:val="22"/>
              </w:rPr>
              <w:t>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взимается.</w:t>
            </w:r>
          </w:p>
          <w:p w:rsidR="00CC30AE" w:rsidRPr="00CC30AE" w:rsidRDefault="00CC0104" w:rsidP="00CC0104">
            <w:pPr>
              <w:jc w:val="both"/>
              <w:rPr>
                <w:bCs/>
                <w:sz w:val="22"/>
                <w:szCs w:val="22"/>
              </w:rPr>
            </w:pPr>
            <w:r w:rsidRPr="00CC0104">
              <w:rPr>
                <w:bCs/>
                <w:sz w:val="22"/>
                <w:szCs w:val="22"/>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tc>
      </w:tr>
    </w:tbl>
    <w:p w:rsidR="00067703" w:rsidRPr="00067703" w:rsidRDefault="00067703" w:rsidP="00067703">
      <w:pPr>
        <w:rPr>
          <w:b/>
          <w:sz w:val="22"/>
          <w:szCs w:val="22"/>
        </w:rPr>
      </w:pPr>
    </w:p>
    <w:p w:rsidR="00067703" w:rsidRDefault="00067703" w:rsidP="00067703">
      <w:pPr>
        <w:rPr>
          <w:b/>
          <w:sz w:val="22"/>
          <w:szCs w:val="22"/>
        </w:rPr>
      </w:pPr>
    </w:p>
    <w:p w:rsidR="00483B83" w:rsidRDefault="00483B83" w:rsidP="00067703">
      <w:pPr>
        <w:rPr>
          <w:b/>
          <w:sz w:val="22"/>
          <w:szCs w:val="22"/>
        </w:rPr>
      </w:pPr>
    </w:p>
    <w:p w:rsidR="00483B83" w:rsidRPr="00067703" w:rsidRDefault="00483B83" w:rsidP="00067703">
      <w:pPr>
        <w:rPr>
          <w:b/>
          <w:sz w:val="22"/>
          <w:szCs w:val="22"/>
        </w:rPr>
      </w:pPr>
    </w:p>
    <w:p w:rsidR="00067703" w:rsidRPr="005438FA" w:rsidRDefault="00067703" w:rsidP="00067703">
      <w:pPr>
        <w:rPr>
          <w:rFonts w:eastAsia="SimSun"/>
          <w:b/>
          <w:lang w:eastAsia="zh-CN"/>
        </w:rPr>
      </w:pPr>
      <w:r w:rsidRPr="005438FA">
        <w:rPr>
          <w:rFonts w:eastAsia="SimSun"/>
          <w:b/>
          <w:lang w:eastAsia="zh-CN"/>
        </w:rPr>
        <w:t>Заместитель генерального директора АО</w:t>
      </w:r>
      <w:r w:rsidR="00CD0DCE" w:rsidRPr="005438FA">
        <w:rPr>
          <w:rFonts w:eastAsia="SimSun"/>
          <w:b/>
          <w:lang w:eastAsia="zh-CN"/>
        </w:rPr>
        <w:t xml:space="preserve"> УК «БКС»</w:t>
      </w:r>
      <w:r w:rsidR="005438FA">
        <w:rPr>
          <w:rFonts w:eastAsia="SimSun"/>
          <w:b/>
          <w:lang w:eastAsia="zh-CN"/>
        </w:rPr>
        <w:t xml:space="preserve">  </w:t>
      </w:r>
      <w:r w:rsidR="00CD0DCE" w:rsidRPr="005438FA">
        <w:rPr>
          <w:rFonts w:eastAsia="SimSun"/>
          <w:b/>
          <w:lang w:eastAsia="zh-CN"/>
        </w:rPr>
        <w:t>___________</w:t>
      </w:r>
      <w:r w:rsidRPr="005438FA">
        <w:rPr>
          <w:rFonts w:eastAsia="SimSun"/>
          <w:b/>
          <w:lang w:eastAsia="zh-CN"/>
        </w:rPr>
        <w:t>/О.Ю. Ковлешенко/</w:t>
      </w:r>
    </w:p>
    <w:p w:rsidR="006B373D" w:rsidRPr="005438FA" w:rsidRDefault="006B373D" w:rsidP="00D00AE0">
      <w:pPr>
        <w:jc w:val="center"/>
        <w:rPr>
          <w:b/>
          <w:sz w:val="22"/>
          <w:szCs w:val="22"/>
        </w:rPr>
      </w:pPr>
    </w:p>
    <w:sectPr w:rsidR="006B373D" w:rsidRPr="005438FA" w:rsidSect="00F16910">
      <w:headerReference w:type="default" r:id="rId11"/>
      <w:pgSz w:w="11906" w:h="16838" w:code="9"/>
      <w:pgMar w:top="1135" w:right="850" w:bottom="1134" w:left="1701" w:header="426"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659" w:rsidRDefault="00E01659">
      <w:r>
        <w:separator/>
      </w:r>
    </w:p>
  </w:endnote>
  <w:endnote w:type="continuationSeparator" w:id="0">
    <w:p w:rsidR="00E01659" w:rsidRDefault="00E01659">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Courier"/>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Ўм§А?§ЮЎм???§ЮЎм§Ў?Ўм"/>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659" w:rsidRDefault="00E01659">
      <w:r>
        <w:separator/>
      </w:r>
    </w:p>
  </w:footnote>
  <w:footnote w:type="continuationSeparator" w:id="0">
    <w:p w:rsidR="00E01659" w:rsidRDefault="00E01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3D" w:rsidRDefault="00B534C5">
    <w:pPr>
      <w:pStyle w:val="a3"/>
    </w:pP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-95250</wp:posOffset>
          </wp:positionV>
          <wp:extent cx="1604010" cy="409575"/>
          <wp:effectExtent l="19050" t="0" r="0" b="0"/>
          <wp:wrapNone/>
          <wp:docPr id="1" name="Рисунок 1" descr="Описание: C:\Documents and Settings\kmitrofanov\Рабочий стол\bc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kmitrofanov\Рабочий стол\bcs.FG.png"/>
                  <pic:cNvPicPr>
                    <a:picLocks noChangeAspect="1" noChangeArrowheads="1"/>
                  </pic:cNvPicPr>
                </pic:nvPicPr>
                <pic:blipFill>
                  <a:blip r:embed="rId1"/>
                  <a:srcRect/>
                  <a:stretch>
                    <a:fillRect/>
                  </a:stretch>
                </pic:blipFill>
                <pic:spPr bwMode="auto">
                  <a:xfrm>
                    <a:off x="0" y="0"/>
                    <a:ext cx="1604010" cy="409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num w:numId="1">
    <w:abstractNumId w:val="0"/>
  </w:num>
  <w:num w:numId="2">
    <w:abstractNumId w:val="0"/>
  </w:num>
  <w:num w:numId="3">
    <w:abstractNumId w:val="0"/>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33D0F"/>
    <w:rsid w:val="00001EED"/>
    <w:rsid w:val="00003A37"/>
    <w:rsid w:val="000040FD"/>
    <w:rsid w:val="00004CBF"/>
    <w:rsid w:val="00004D87"/>
    <w:rsid w:val="000054D2"/>
    <w:rsid w:val="0001071D"/>
    <w:rsid w:val="00010C4C"/>
    <w:rsid w:val="00011E88"/>
    <w:rsid w:val="00013CB6"/>
    <w:rsid w:val="0001553C"/>
    <w:rsid w:val="00022EE7"/>
    <w:rsid w:val="00023992"/>
    <w:rsid w:val="00026BC0"/>
    <w:rsid w:val="00031D8F"/>
    <w:rsid w:val="0003769E"/>
    <w:rsid w:val="000419CA"/>
    <w:rsid w:val="00041A94"/>
    <w:rsid w:val="00050DFB"/>
    <w:rsid w:val="00064ED9"/>
    <w:rsid w:val="00067703"/>
    <w:rsid w:val="00070B70"/>
    <w:rsid w:val="00070F4D"/>
    <w:rsid w:val="00071D5C"/>
    <w:rsid w:val="00074BA9"/>
    <w:rsid w:val="00076365"/>
    <w:rsid w:val="00090C67"/>
    <w:rsid w:val="00092AF1"/>
    <w:rsid w:val="000958FC"/>
    <w:rsid w:val="00095A57"/>
    <w:rsid w:val="000977B1"/>
    <w:rsid w:val="00097A0F"/>
    <w:rsid w:val="000A0853"/>
    <w:rsid w:val="000A78EA"/>
    <w:rsid w:val="000B143B"/>
    <w:rsid w:val="000B22CF"/>
    <w:rsid w:val="000C28D7"/>
    <w:rsid w:val="000C5113"/>
    <w:rsid w:val="000C7F2D"/>
    <w:rsid w:val="000D7022"/>
    <w:rsid w:val="000E1A01"/>
    <w:rsid w:val="000E5C38"/>
    <w:rsid w:val="000E68A2"/>
    <w:rsid w:val="000F27F1"/>
    <w:rsid w:val="000F4A1A"/>
    <w:rsid w:val="000F562C"/>
    <w:rsid w:val="000F5870"/>
    <w:rsid w:val="000F7324"/>
    <w:rsid w:val="001059C0"/>
    <w:rsid w:val="00105CB4"/>
    <w:rsid w:val="00111089"/>
    <w:rsid w:val="001215D2"/>
    <w:rsid w:val="00123242"/>
    <w:rsid w:val="001234C2"/>
    <w:rsid w:val="0013264D"/>
    <w:rsid w:val="001333AB"/>
    <w:rsid w:val="001501D9"/>
    <w:rsid w:val="00156EDD"/>
    <w:rsid w:val="001664F4"/>
    <w:rsid w:val="00175C79"/>
    <w:rsid w:val="001801B7"/>
    <w:rsid w:val="001A4D2B"/>
    <w:rsid w:val="001A7D54"/>
    <w:rsid w:val="001B1ECA"/>
    <w:rsid w:val="001C00AE"/>
    <w:rsid w:val="001C281E"/>
    <w:rsid w:val="001C3FD3"/>
    <w:rsid w:val="001C5F46"/>
    <w:rsid w:val="001C78B9"/>
    <w:rsid w:val="001D6BC6"/>
    <w:rsid w:val="001E29AE"/>
    <w:rsid w:val="001E57E0"/>
    <w:rsid w:val="001E7D29"/>
    <w:rsid w:val="001F1170"/>
    <w:rsid w:val="001F4100"/>
    <w:rsid w:val="002020A1"/>
    <w:rsid w:val="00210415"/>
    <w:rsid w:val="00222D14"/>
    <w:rsid w:val="00224406"/>
    <w:rsid w:val="00225798"/>
    <w:rsid w:val="00226583"/>
    <w:rsid w:val="0022683B"/>
    <w:rsid w:val="00233438"/>
    <w:rsid w:val="00240C8D"/>
    <w:rsid w:val="00241C96"/>
    <w:rsid w:val="00244342"/>
    <w:rsid w:val="00246E38"/>
    <w:rsid w:val="00247D3B"/>
    <w:rsid w:val="00263C69"/>
    <w:rsid w:val="0026434E"/>
    <w:rsid w:val="002658B3"/>
    <w:rsid w:val="00272A9C"/>
    <w:rsid w:val="00273A08"/>
    <w:rsid w:val="00273E9C"/>
    <w:rsid w:val="0028034A"/>
    <w:rsid w:val="00280B72"/>
    <w:rsid w:val="00286320"/>
    <w:rsid w:val="002911D5"/>
    <w:rsid w:val="00291C17"/>
    <w:rsid w:val="002A1460"/>
    <w:rsid w:val="002B190A"/>
    <w:rsid w:val="002B7DCF"/>
    <w:rsid w:val="002C7078"/>
    <w:rsid w:val="002D78C6"/>
    <w:rsid w:val="002E61A8"/>
    <w:rsid w:val="002E6BB4"/>
    <w:rsid w:val="002F0109"/>
    <w:rsid w:val="002F61AB"/>
    <w:rsid w:val="002F705B"/>
    <w:rsid w:val="002F72F4"/>
    <w:rsid w:val="002F7888"/>
    <w:rsid w:val="002F7F1B"/>
    <w:rsid w:val="00305755"/>
    <w:rsid w:val="003137D9"/>
    <w:rsid w:val="003179D7"/>
    <w:rsid w:val="0032334D"/>
    <w:rsid w:val="00330CFA"/>
    <w:rsid w:val="0033163E"/>
    <w:rsid w:val="00332ACC"/>
    <w:rsid w:val="00336F30"/>
    <w:rsid w:val="003408AF"/>
    <w:rsid w:val="00341566"/>
    <w:rsid w:val="003511E2"/>
    <w:rsid w:val="00352B53"/>
    <w:rsid w:val="00354C26"/>
    <w:rsid w:val="0035508D"/>
    <w:rsid w:val="00356E54"/>
    <w:rsid w:val="00365CE1"/>
    <w:rsid w:val="00365F3D"/>
    <w:rsid w:val="00367EB5"/>
    <w:rsid w:val="00373FB4"/>
    <w:rsid w:val="00374878"/>
    <w:rsid w:val="00374FC4"/>
    <w:rsid w:val="00376447"/>
    <w:rsid w:val="0038166A"/>
    <w:rsid w:val="00382D6B"/>
    <w:rsid w:val="00383A54"/>
    <w:rsid w:val="00386F1C"/>
    <w:rsid w:val="00387197"/>
    <w:rsid w:val="003935F3"/>
    <w:rsid w:val="003A7AEB"/>
    <w:rsid w:val="003B0AC5"/>
    <w:rsid w:val="003B6D1F"/>
    <w:rsid w:val="003C15B6"/>
    <w:rsid w:val="003D0198"/>
    <w:rsid w:val="003D1840"/>
    <w:rsid w:val="003D18D0"/>
    <w:rsid w:val="003D1DDC"/>
    <w:rsid w:val="003D7134"/>
    <w:rsid w:val="003E0C19"/>
    <w:rsid w:val="003E1988"/>
    <w:rsid w:val="003E1D04"/>
    <w:rsid w:val="003E27EB"/>
    <w:rsid w:val="003E2CFE"/>
    <w:rsid w:val="003E3AA1"/>
    <w:rsid w:val="003E6302"/>
    <w:rsid w:val="003F6EA9"/>
    <w:rsid w:val="00401255"/>
    <w:rsid w:val="00403755"/>
    <w:rsid w:val="004041BB"/>
    <w:rsid w:val="00405778"/>
    <w:rsid w:val="00413CE7"/>
    <w:rsid w:val="00415B22"/>
    <w:rsid w:val="00417D14"/>
    <w:rsid w:val="00425B76"/>
    <w:rsid w:val="00430208"/>
    <w:rsid w:val="00433BE6"/>
    <w:rsid w:val="00435191"/>
    <w:rsid w:val="00444377"/>
    <w:rsid w:val="004452F0"/>
    <w:rsid w:val="0045061A"/>
    <w:rsid w:val="0045478C"/>
    <w:rsid w:val="00455276"/>
    <w:rsid w:val="00455782"/>
    <w:rsid w:val="004605B1"/>
    <w:rsid w:val="00463099"/>
    <w:rsid w:val="00463C7F"/>
    <w:rsid w:val="00470A9B"/>
    <w:rsid w:val="004715E5"/>
    <w:rsid w:val="00483B83"/>
    <w:rsid w:val="0048455E"/>
    <w:rsid w:val="004846EA"/>
    <w:rsid w:val="00486347"/>
    <w:rsid w:val="004878B4"/>
    <w:rsid w:val="00493B7D"/>
    <w:rsid w:val="00495798"/>
    <w:rsid w:val="004A5AAE"/>
    <w:rsid w:val="004A64A5"/>
    <w:rsid w:val="004B3D47"/>
    <w:rsid w:val="004B4DB3"/>
    <w:rsid w:val="004B69E8"/>
    <w:rsid w:val="004C46FD"/>
    <w:rsid w:val="004D2788"/>
    <w:rsid w:val="004E080A"/>
    <w:rsid w:val="004E1ADC"/>
    <w:rsid w:val="004F17FA"/>
    <w:rsid w:val="004F4EAE"/>
    <w:rsid w:val="004F4F1F"/>
    <w:rsid w:val="004F5CA2"/>
    <w:rsid w:val="00500454"/>
    <w:rsid w:val="00504CFF"/>
    <w:rsid w:val="0050777E"/>
    <w:rsid w:val="00513E16"/>
    <w:rsid w:val="0051449D"/>
    <w:rsid w:val="00514705"/>
    <w:rsid w:val="005160B7"/>
    <w:rsid w:val="005172D8"/>
    <w:rsid w:val="005241E1"/>
    <w:rsid w:val="005307C2"/>
    <w:rsid w:val="00536991"/>
    <w:rsid w:val="005375D5"/>
    <w:rsid w:val="005438FA"/>
    <w:rsid w:val="00553A10"/>
    <w:rsid w:val="00562FCF"/>
    <w:rsid w:val="00572656"/>
    <w:rsid w:val="00574E1F"/>
    <w:rsid w:val="00590864"/>
    <w:rsid w:val="00590F4B"/>
    <w:rsid w:val="00596C8E"/>
    <w:rsid w:val="005A104A"/>
    <w:rsid w:val="005A7AF8"/>
    <w:rsid w:val="005B2458"/>
    <w:rsid w:val="005B316B"/>
    <w:rsid w:val="005B3FD9"/>
    <w:rsid w:val="005B79BE"/>
    <w:rsid w:val="005B7C29"/>
    <w:rsid w:val="005C628F"/>
    <w:rsid w:val="005C6318"/>
    <w:rsid w:val="005C73FD"/>
    <w:rsid w:val="005D2894"/>
    <w:rsid w:val="005E0798"/>
    <w:rsid w:val="005E0CB9"/>
    <w:rsid w:val="005E2947"/>
    <w:rsid w:val="005E34A7"/>
    <w:rsid w:val="005E6E94"/>
    <w:rsid w:val="005F695E"/>
    <w:rsid w:val="00604577"/>
    <w:rsid w:val="0060767C"/>
    <w:rsid w:val="00612AF4"/>
    <w:rsid w:val="00615889"/>
    <w:rsid w:val="00616770"/>
    <w:rsid w:val="00630B9F"/>
    <w:rsid w:val="006358A5"/>
    <w:rsid w:val="006370ED"/>
    <w:rsid w:val="00641B29"/>
    <w:rsid w:val="00643CF3"/>
    <w:rsid w:val="006454A4"/>
    <w:rsid w:val="006462B9"/>
    <w:rsid w:val="00646655"/>
    <w:rsid w:val="00647857"/>
    <w:rsid w:val="00651B3F"/>
    <w:rsid w:val="00661DCF"/>
    <w:rsid w:val="00665989"/>
    <w:rsid w:val="006751A4"/>
    <w:rsid w:val="0067534C"/>
    <w:rsid w:val="00676125"/>
    <w:rsid w:val="00676546"/>
    <w:rsid w:val="00676B87"/>
    <w:rsid w:val="00686995"/>
    <w:rsid w:val="00686FA1"/>
    <w:rsid w:val="00695A57"/>
    <w:rsid w:val="006A1081"/>
    <w:rsid w:val="006A259A"/>
    <w:rsid w:val="006B1D07"/>
    <w:rsid w:val="006B373D"/>
    <w:rsid w:val="006B4D18"/>
    <w:rsid w:val="006B7655"/>
    <w:rsid w:val="006C32C9"/>
    <w:rsid w:val="006D11E9"/>
    <w:rsid w:val="006D3595"/>
    <w:rsid w:val="006D43BD"/>
    <w:rsid w:val="006E0A7E"/>
    <w:rsid w:val="006E1AAD"/>
    <w:rsid w:val="006E32EA"/>
    <w:rsid w:val="006E45A7"/>
    <w:rsid w:val="006E5271"/>
    <w:rsid w:val="006E60AD"/>
    <w:rsid w:val="006F0019"/>
    <w:rsid w:val="006F03DA"/>
    <w:rsid w:val="006F38D6"/>
    <w:rsid w:val="00700D15"/>
    <w:rsid w:val="007063E2"/>
    <w:rsid w:val="007071D6"/>
    <w:rsid w:val="0070745E"/>
    <w:rsid w:val="007147ED"/>
    <w:rsid w:val="00722A7D"/>
    <w:rsid w:val="00723505"/>
    <w:rsid w:val="007329CA"/>
    <w:rsid w:val="00734CB2"/>
    <w:rsid w:val="0073585D"/>
    <w:rsid w:val="00736CDA"/>
    <w:rsid w:val="007404D2"/>
    <w:rsid w:val="00747163"/>
    <w:rsid w:val="007514C1"/>
    <w:rsid w:val="00753512"/>
    <w:rsid w:val="007566C9"/>
    <w:rsid w:val="00764645"/>
    <w:rsid w:val="007776A4"/>
    <w:rsid w:val="0078060E"/>
    <w:rsid w:val="00780D37"/>
    <w:rsid w:val="00781348"/>
    <w:rsid w:val="00781CE3"/>
    <w:rsid w:val="0078599E"/>
    <w:rsid w:val="00792236"/>
    <w:rsid w:val="007944BC"/>
    <w:rsid w:val="00797689"/>
    <w:rsid w:val="00797E5E"/>
    <w:rsid w:val="007A1C68"/>
    <w:rsid w:val="007A4276"/>
    <w:rsid w:val="007A7175"/>
    <w:rsid w:val="007A7681"/>
    <w:rsid w:val="007B0A42"/>
    <w:rsid w:val="007B2918"/>
    <w:rsid w:val="007B3BBF"/>
    <w:rsid w:val="007B4A6F"/>
    <w:rsid w:val="007B4A7B"/>
    <w:rsid w:val="007C32D5"/>
    <w:rsid w:val="007C713D"/>
    <w:rsid w:val="007D1E09"/>
    <w:rsid w:val="007D33A1"/>
    <w:rsid w:val="007D7411"/>
    <w:rsid w:val="007D7A52"/>
    <w:rsid w:val="007E2A09"/>
    <w:rsid w:val="007E46A6"/>
    <w:rsid w:val="007E7F59"/>
    <w:rsid w:val="007F03E2"/>
    <w:rsid w:val="007F0D00"/>
    <w:rsid w:val="007F1EEE"/>
    <w:rsid w:val="007F3131"/>
    <w:rsid w:val="007F6AA8"/>
    <w:rsid w:val="007F7BB7"/>
    <w:rsid w:val="008056CD"/>
    <w:rsid w:val="00807408"/>
    <w:rsid w:val="00807477"/>
    <w:rsid w:val="00815528"/>
    <w:rsid w:val="008174E0"/>
    <w:rsid w:val="00826CF7"/>
    <w:rsid w:val="00832C54"/>
    <w:rsid w:val="008346F3"/>
    <w:rsid w:val="00834D90"/>
    <w:rsid w:val="00834F5B"/>
    <w:rsid w:val="008440A8"/>
    <w:rsid w:val="008473F8"/>
    <w:rsid w:val="00851CFF"/>
    <w:rsid w:val="008565D6"/>
    <w:rsid w:val="00857945"/>
    <w:rsid w:val="00860969"/>
    <w:rsid w:val="00862C99"/>
    <w:rsid w:val="008644D8"/>
    <w:rsid w:val="00875D49"/>
    <w:rsid w:val="00881330"/>
    <w:rsid w:val="00894761"/>
    <w:rsid w:val="008948A6"/>
    <w:rsid w:val="008A79C1"/>
    <w:rsid w:val="008B090C"/>
    <w:rsid w:val="008B10F1"/>
    <w:rsid w:val="008B1347"/>
    <w:rsid w:val="008B4FEC"/>
    <w:rsid w:val="008C7A71"/>
    <w:rsid w:val="008D12E1"/>
    <w:rsid w:val="008D228F"/>
    <w:rsid w:val="008D47C9"/>
    <w:rsid w:val="008D4E73"/>
    <w:rsid w:val="008D6BBE"/>
    <w:rsid w:val="008E007C"/>
    <w:rsid w:val="008E56D9"/>
    <w:rsid w:val="008E5A03"/>
    <w:rsid w:val="008E5BCF"/>
    <w:rsid w:val="008F11A2"/>
    <w:rsid w:val="00902F9D"/>
    <w:rsid w:val="009041D4"/>
    <w:rsid w:val="00906373"/>
    <w:rsid w:val="00911FA0"/>
    <w:rsid w:val="00913A74"/>
    <w:rsid w:val="00913E71"/>
    <w:rsid w:val="00921AF1"/>
    <w:rsid w:val="00924238"/>
    <w:rsid w:val="00924462"/>
    <w:rsid w:val="009244AD"/>
    <w:rsid w:val="00927BAD"/>
    <w:rsid w:val="00931089"/>
    <w:rsid w:val="009343FF"/>
    <w:rsid w:val="00935298"/>
    <w:rsid w:val="0095138D"/>
    <w:rsid w:val="0095147F"/>
    <w:rsid w:val="00956E4D"/>
    <w:rsid w:val="009570A6"/>
    <w:rsid w:val="00965FDA"/>
    <w:rsid w:val="0097344A"/>
    <w:rsid w:val="00973CD9"/>
    <w:rsid w:val="009845C7"/>
    <w:rsid w:val="00984CBC"/>
    <w:rsid w:val="0098764D"/>
    <w:rsid w:val="009903DE"/>
    <w:rsid w:val="009A03DD"/>
    <w:rsid w:val="009A34BB"/>
    <w:rsid w:val="009B3B58"/>
    <w:rsid w:val="009B4289"/>
    <w:rsid w:val="009B5579"/>
    <w:rsid w:val="009B5865"/>
    <w:rsid w:val="009B7B21"/>
    <w:rsid w:val="009C3D55"/>
    <w:rsid w:val="009D12FD"/>
    <w:rsid w:val="009D201F"/>
    <w:rsid w:val="009D616E"/>
    <w:rsid w:val="009D6880"/>
    <w:rsid w:val="009D71D8"/>
    <w:rsid w:val="009E079F"/>
    <w:rsid w:val="009F58D0"/>
    <w:rsid w:val="00A02CE6"/>
    <w:rsid w:val="00A037A9"/>
    <w:rsid w:val="00A05155"/>
    <w:rsid w:val="00A10EC3"/>
    <w:rsid w:val="00A1576C"/>
    <w:rsid w:val="00A31397"/>
    <w:rsid w:val="00A338E3"/>
    <w:rsid w:val="00A35478"/>
    <w:rsid w:val="00A41B59"/>
    <w:rsid w:val="00A508CC"/>
    <w:rsid w:val="00A50B58"/>
    <w:rsid w:val="00A50C6F"/>
    <w:rsid w:val="00A51F99"/>
    <w:rsid w:val="00A5268B"/>
    <w:rsid w:val="00A54087"/>
    <w:rsid w:val="00A54ADB"/>
    <w:rsid w:val="00A64015"/>
    <w:rsid w:val="00A6727A"/>
    <w:rsid w:val="00A676D2"/>
    <w:rsid w:val="00A760E4"/>
    <w:rsid w:val="00A76F57"/>
    <w:rsid w:val="00A83832"/>
    <w:rsid w:val="00A83EE1"/>
    <w:rsid w:val="00A926C8"/>
    <w:rsid w:val="00A92FB3"/>
    <w:rsid w:val="00AA5353"/>
    <w:rsid w:val="00AA6AF0"/>
    <w:rsid w:val="00AB0969"/>
    <w:rsid w:val="00AB7028"/>
    <w:rsid w:val="00AB7AF7"/>
    <w:rsid w:val="00AC0978"/>
    <w:rsid w:val="00AC1292"/>
    <w:rsid w:val="00AC1578"/>
    <w:rsid w:val="00AD0024"/>
    <w:rsid w:val="00AD05E0"/>
    <w:rsid w:val="00AD0DBF"/>
    <w:rsid w:val="00AD2680"/>
    <w:rsid w:val="00AD7B5A"/>
    <w:rsid w:val="00AE7FBA"/>
    <w:rsid w:val="00AF0ACE"/>
    <w:rsid w:val="00AF56B9"/>
    <w:rsid w:val="00B00E56"/>
    <w:rsid w:val="00B0306A"/>
    <w:rsid w:val="00B03A71"/>
    <w:rsid w:val="00B1447D"/>
    <w:rsid w:val="00B24018"/>
    <w:rsid w:val="00B257A7"/>
    <w:rsid w:val="00B31166"/>
    <w:rsid w:val="00B31541"/>
    <w:rsid w:val="00B427A2"/>
    <w:rsid w:val="00B4391E"/>
    <w:rsid w:val="00B51900"/>
    <w:rsid w:val="00B534C5"/>
    <w:rsid w:val="00B53C75"/>
    <w:rsid w:val="00B5714D"/>
    <w:rsid w:val="00B624BC"/>
    <w:rsid w:val="00B679EB"/>
    <w:rsid w:val="00B70657"/>
    <w:rsid w:val="00B735A7"/>
    <w:rsid w:val="00B751AE"/>
    <w:rsid w:val="00B75588"/>
    <w:rsid w:val="00B819E3"/>
    <w:rsid w:val="00B81EDE"/>
    <w:rsid w:val="00B845EC"/>
    <w:rsid w:val="00B84C39"/>
    <w:rsid w:val="00B86A3C"/>
    <w:rsid w:val="00B923A3"/>
    <w:rsid w:val="00B92CF9"/>
    <w:rsid w:val="00B95198"/>
    <w:rsid w:val="00BA00BE"/>
    <w:rsid w:val="00BA6A9E"/>
    <w:rsid w:val="00BB3758"/>
    <w:rsid w:val="00BB501E"/>
    <w:rsid w:val="00BC0292"/>
    <w:rsid w:val="00BC2C76"/>
    <w:rsid w:val="00BC7B37"/>
    <w:rsid w:val="00BD408E"/>
    <w:rsid w:val="00BD646F"/>
    <w:rsid w:val="00BF338F"/>
    <w:rsid w:val="00BF3B8C"/>
    <w:rsid w:val="00BF49A3"/>
    <w:rsid w:val="00C00C71"/>
    <w:rsid w:val="00C02D63"/>
    <w:rsid w:val="00C12D9A"/>
    <w:rsid w:val="00C167E5"/>
    <w:rsid w:val="00C16DC5"/>
    <w:rsid w:val="00C216BC"/>
    <w:rsid w:val="00C21FEF"/>
    <w:rsid w:val="00C237FF"/>
    <w:rsid w:val="00C2557B"/>
    <w:rsid w:val="00C25CF7"/>
    <w:rsid w:val="00C27FD3"/>
    <w:rsid w:val="00C32B8E"/>
    <w:rsid w:val="00C36DA4"/>
    <w:rsid w:val="00C37EEF"/>
    <w:rsid w:val="00C401A8"/>
    <w:rsid w:val="00C4497F"/>
    <w:rsid w:val="00C53E74"/>
    <w:rsid w:val="00C5480E"/>
    <w:rsid w:val="00C55F15"/>
    <w:rsid w:val="00C56D80"/>
    <w:rsid w:val="00C57B15"/>
    <w:rsid w:val="00C608E9"/>
    <w:rsid w:val="00C64F39"/>
    <w:rsid w:val="00C65592"/>
    <w:rsid w:val="00C7202C"/>
    <w:rsid w:val="00C740F5"/>
    <w:rsid w:val="00C74425"/>
    <w:rsid w:val="00C76D82"/>
    <w:rsid w:val="00C80E67"/>
    <w:rsid w:val="00C8185C"/>
    <w:rsid w:val="00C842FC"/>
    <w:rsid w:val="00C8720D"/>
    <w:rsid w:val="00C9268F"/>
    <w:rsid w:val="00C9297B"/>
    <w:rsid w:val="00C95E32"/>
    <w:rsid w:val="00C964E3"/>
    <w:rsid w:val="00C967F3"/>
    <w:rsid w:val="00CA52C3"/>
    <w:rsid w:val="00CB43D7"/>
    <w:rsid w:val="00CB7EED"/>
    <w:rsid w:val="00CC0104"/>
    <w:rsid w:val="00CC1AEA"/>
    <w:rsid w:val="00CC30AE"/>
    <w:rsid w:val="00CC3A2B"/>
    <w:rsid w:val="00CC504C"/>
    <w:rsid w:val="00CD09A4"/>
    <w:rsid w:val="00CD0DCE"/>
    <w:rsid w:val="00CD379D"/>
    <w:rsid w:val="00CE1E24"/>
    <w:rsid w:val="00CE2602"/>
    <w:rsid w:val="00CE2EA9"/>
    <w:rsid w:val="00CE5C59"/>
    <w:rsid w:val="00CF0752"/>
    <w:rsid w:val="00CF7A4F"/>
    <w:rsid w:val="00D00AE0"/>
    <w:rsid w:val="00D02580"/>
    <w:rsid w:val="00D10ECE"/>
    <w:rsid w:val="00D110D7"/>
    <w:rsid w:val="00D12003"/>
    <w:rsid w:val="00D13252"/>
    <w:rsid w:val="00D154EF"/>
    <w:rsid w:val="00D1721B"/>
    <w:rsid w:val="00D205EA"/>
    <w:rsid w:val="00D20D60"/>
    <w:rsid w:val="00D20E49"/>
    <w:rsid w:val="00D21820"/>
    <w:rsid w:val="00D22588"/>
    <w:rsid w:val="00D233FC"/>
    <w:rsid w:val="00D23411"/>
    <w:rsid w:val="00D23554"/>
    <w:rsid w:val="00D261D3"/>
    <w:rsid w:val="00D3045F"/>
    <w:rsid w:val="00D3316D"/>
    <w:rsid w:val="00D3456C"/>
    <w:rsid w:val="00D417A3"/>
    <w:rsid w:val="00D44E47"/>
    <w:rsid w:val="00D47FB0"/>
    <w:rsid w:val="00D51683"/>
    <w:rsid w:val="00D52109"/>
    <w:rsid w:val="00D53255"/>
    <w:rsid w:val="00D54931"/>
    <w:rsid w:val="00D7107E"/>
    <w:rsid w:val="00D74186"/>
    <w:rsid w:val="00D75F02"/>
    <w:rsid w:val="00D83007"/>
    <w:rsid w:val="00D85934"/>
    <w:rsid w:val="00D90A6D"/>
    <w:rsid w:val="00D95D0E"/>
    <w:rsid w:val="00DA0ADF"/>
    <w:rsid w:val="00DB03C0"/>
    <w:rsid w:val="00DB3059"/>
    <w:rsid w:val="00DB4270"/>
    <w:rsid w:val="00DC0BDB"/>
    <w:rsid w:val="00DC1605"/>
    <w:rsid w:val="00DC37FD"/>
    <w:rsid w:val="00DC5DCD"/>
    <w:rsid w:val="00DD6225"/>
    <w:rsid w:val="00DD67EA"/>
    <w:rsid w:val="00DD69B3"/>
    <w:rsid w:val="00DD6CBC"/>
    <w:rsid w:val="00DD6DA7"/>
    <w:rsid w:val="00DD6FC4"/>
    <w:rsid w:val="00DE5438"/>
    <w:rsid w:val="00DE61D3"/>
    <w:rsid w:val="00DE6953"/>
    <w:rsid w:val="00DE6E80"/>
    <w:rsid w:val="00E013A8"/>
    <w:rsid w:val="00E01659"/>
    <w:rsid w:val="00E02490"/>
    <w:rsid w:val="00E0450B"/>
    <w:rsid w:val="00E12CB3"/>
    <w:rsid w:val="00E14AC9"/>
    <w:rsid w:val="00E17C3B"/>
    <w:rsid w:val="00E21242"/>
    <w:rsid w:val="00E214CF"/>
    <w:rsid w:val="00E25A97"/>
    <w:rsid w:val="00E279CF"/>
    <w:rsid w:val="00E3466C"/>
    <w:rsid w:val="00E353D3"/>
    <w:rsid w:val="00E377A0"/>
    <w:rsid w:val="00E410C7"/>
    <w:rsid w:val="00E47489"/>
    <w:rsid w:val="00E47FFA"/>
    <w:rsid w:val="00E50554"/>
    <w:rsid w:val="00E55D63"/>
    <w:rsid w:val="00E55E0A"/>
    <w:rsid w:val="00E5640D"/>
    <w:rsid w:val="00E5663F"/>
    <w:rsid w:val="00E63C74"/>
    <w:rsid w:val="00E63DBA"/>
    <w:rsid w:val="00E642D7"/>
    <w:rsid w:val="00E654DB"/>
    <w:rsid w:val="00E70E0C"/>
    <w:rsid w:val="00E722F7"/>
    <w:rsid w:val="00E72E8B"/>
    <w:rsid w:val="00E73C48"/>
    <w:rsid w:val="00E7551D"/>
    <w:rsid w:val="00E76393"/>
    <w:rsid w:val="00E83206"/>
    <w:rsid w:val="00E85FCD"/>
    <w:rsid w:val="00E92C6D"/>
    <w:rsid w:val="00E97E0D"/>
    <w:rsid w:val="00EA0A96"/>
    <w:rsid w:val="00EA3799"/>
    <w:rsid w:val="00EA3D14"/>
    <w:rsid w:val="00EB06DB"/>
    <w:rsid w:val="00EB0838"/>
    <w:rsid w:val="00EB14E7"/>
    <w:rsid w:val="00EB1A19"/>
    <w:rsid w:val="00EB3F2D"/>
    <w:rsid w:val="00EB7045"/>
    <w:rsid w:val="00EC0264"/>
    <w:rsid w:val="00EC041F"/>
    <w:rsid w:val="00EC146F"/>
    <w:rsid w:val="00EC695A"/>
    <w:rsid w:val="00ED273E"/>
    <w:rsid w:val="00ED3564"/>
    <w:rsid w:val="00ED44B5"/>
    <w:rsid w:val="00ED5619"/>
    <w:rsid w:val="00EE15C7"/>
    <w:rsid w:val="00EE1AB7"/>
    <w:rsid w:val="00EE1E1B"/>
    <w:rsid w:val="00EE2B1B"/>
    <w:rsid w:val="00EE57EB"/>
    <w:rsid w:val="00EF0FE5"/>
    <w:rsid w:val="00EF22A7"/>
    <w:rsid w:val="00EF4E2F"/>
    <w:rsid w:val="00EF7737"/>
    <w:rsid w:val="00F117A6"/>
    <w:rsid w:val="00F13683"/>
    <w:rsid w:val="00F1460E"/>
    <w:rsid w:val="00F16910"/>
    <w:rsid w:val="00F21258"/>
    <w:rsid w:val="00F23CD4"/>
    <w:rsid w:val="00F32957"/>
    <w:rsid w:val="00F33AAD"/>
    <w:rsid w:val="00F33D0F"/>
    <w:rsid w:val="00F4071E"/>
    <w:rsid w:val="00F40769"/>
    <w:rsid w:val="00F42077"/>
    <w:rsid w:val="00F454C1"/>
    <w:rsid w:val="00F45690"/>
    <w:rsid w:val="00F4623F"/>
    <w:rsid w:val="00F5311F"/>
    <w:rsid w:val="00F54BB8"/>
    <w:rsid w:val="00F551E8"/>
    <w:rsid w:val="00F5595B"/>
    <w:rsid w:val="00F663BF"/>
    <w:rsid w:val="00F73763"/>
    <w:rsid w:val="00F766B4"/>
    <w:rsid w:val="00F8159A"/>
    <w:rsid w:val="00F833EB"/>
    <w:rsid w:val="00F874DA"/>
    <w:rsid w:val="00F87DAD"/>
    <w:rsid w:val="00F90B54"/>
    <w:rsid w:val="00F97C2E"/>
    <w:rsid w:val="00FA0293"/>
    <w:rsid w:val="00FA038F"/>
    <w:rsid w:val="00FA2E63"/>
    <w:rsid w:val="00FB6634"/>
    <w:rsid w:val="00FC06FE"/>
    <w:rsid w:val="00FD1380"/>
    <w:rsid w:val="00FD4C5D"/>
    <w:rsid w:val="00FF028E"/>
    <w:rsid w:val="00FF3F67"/>
    <w:rsid w:val="00FF4220"/>
    <w:rsid w:val="00FF539F"/>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Arial" w:hAnsi="Arial" w:cs="Arial"/>
      <w:b/>
      <w:bCs/>
      <w:sz w:val="18"/>
    </w:rPr>
  </w:style>
  <w:style w:type="paragraph" w:styleId="2">
    <w:name w:val="heading 2"/>
    <w:basedOn w:val="a"/>
    <w:next w:val="a"/>
    <w:link w:val="20"/>
    <w:uiPriority w:val="9"/>
    <w:qFormat/>
    <w:pPr>
      <w:keepNext/>
      <w:jc w:val="center"/>
      <w:outlineLvl w:val="1"/>
    </w:pPr>
    <w:rPr>
      <w:i/>
      <w:iCs/>
    </w:rPr>
  </w:style>
  <w:style w:type="paragraph" w:styleId="3">
    <w:name w:val="heading 3"/>
    <w:basedOn w:val="a"/>
    <w:link w:val="30"/>
    <w:uiPriority w:val="9"/>
    <w:qFormat/>
    <w:rsid w:val="006D11E9"/>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next w:val="a"/>
    <w:link w:val="40"/>
    <w:uiPriority w:val="9"/>
    <w:qFormat/>
    <w:rsid w:val="006D11E9"/>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B819E3"/>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B819E3"/>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6D11E9"/>
    <w:pPr>
      <w:spacing w:before="240" w:after="60"/>
      <w:outlineLvl w:val="6"/>
    </w:pPr>
    <w:rPr>
      <w:rFonts w:asciiTheme="minorHAnsi" w:eastAsiaTheme="minorEastAsia" w:hAnsiTheme="minorHAnsi"/>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D11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
    <w:locked/>
    <w:rsid w:val="006D11E9"/>
    <w:rPr>
      <w:rFonts w:cs="Times New Roman"/>
      <w:b/>
      <w:bCs/>
      <w:sz w:val="28"/>
      <w:szCs w:val="28"/>
      <w:lang w:eastAsia="en-US"/>
    </w:rPr>
  </w:style>
  <w:style w:type="character" w:customStyle="1" w:styleId="50">
    <w:name w:val="Заголовок 5 Знак"/>
    <w:basedOn w:val="a0"/>
    <w:link w:val="5"/>
    <w:uiPriority w:val="9"/>
    <w:locked/>
    <w:rsid w:val="00B819E3"/>
    <w:rPr>
      <w:rFonts w:ascii="Calibri" w:hAnsi="Calibri" w:cs="Times New Roman"/>
      <w:b/>
      <w:bCs/>
      <w:i/>
      <w:iCs/>
      <w:sz w:val="26"/>
      <w:szCs w:val="26"/>
    </w:rPr>
  </w:style>
  <w:style w:type="character" w:customStyle="1" w:styleId="60">
    <w:name w:val="Заголовок 6 Знак"/>
    <w:basedOn w:val="a0"/>
    <w:link w:val="6"/>
    <w:uiPriority w:val="9"/>
    <w:locked/>
    <w:rsid w:val="00B819E3"/>
    <w:rPr>
      <w:rFonts w:ascii="Calibri" w:hAnsi="Calibri" w:cs="Times New Roman"/>
      <w:b/>
      <w:bCs/>
      <w:sz w:val="22"/>
      <w:szCs w:val="22"/>
    </w:rPr>
  </w:style>
  <w:style w:type="character" w:customStyle="1" w:styleId="70">
    <w:name w:val="Заголовок 7 Знак"/>
    <w:basedOn w:val="a0"/>
    <w:link w:val="7"/>
    <w:uiPriority w:val="9"/>
    <w:locked/>
    <w:rsid w:val="006D11E9"/>
    <w:rPr>
      <w:rFonts w:asciiTheme="minorHAnsi" w:eastAsiaTheme="minorEastAsia" w:hAnsiTheme="minorHAns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B819E3"/>
    <w:rPr>
      <w:rFonts w:cs="Times New Roman"/>
      <w:sz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locked/>
    <w:rsid w:val="00B819E3"/>
    <w:rPr>
      <w:rFonts w:cs="Times New Roman"/>
      <w:sz w:val="24"/>
    </w:rPr>
  </w:style>
  <w:style w:type="character" w:styleId="a7">
    <w:name w:val="Hyperlink"/>
    <w:basedOn w:val="a0"/>
    <w:uiPriority w:val="99"/>
    <w:rPr>
      <w:rFonts w:cs="Times New Roman"/>
      <w:color w:val="0000FF"/>
      <w:u w:val="single"/>
    </w:rPr>
  </w:style>
  <w:style w:type="paragraph" w:styleId="a8">
    <w:name w:val="Body Text"/>
    <w:basedOn w:val="a"/>
    <w:link w:val="a9"/>
    <w:uiPriority w:val="99"/>
    <w:semiHidden/>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ody Text Indent"/>
    <w:basedOn w:val="a"/>
    <w:link w:val="ab"/>
    <w:uiPriority w:val="99"/>
    <w:semiHidden/>
    <w:rsid w:val="00B819E3"/>
    <w:pPr>
      <w:autoSpaceDE w:val="0"/>
      <w:autoSpaceDN w:val="0"/>
      <w:adjustRightInd w:val="0"/>
      <w:ind w:firstLine="539"/>
      <w:jc w:val="both"/>
    </w:pPr>
    <w:rPr>
      <w:rFonts w:ascii="Arial" w:hAnsi="Arial" w:cs="Arial"/>
      <w:sz w:val="18"/>
      <w:szCs w:val="18"/>
    </w:rPr>
  </w:style>
  <w:style w:type="character" w:customStyle="1" w:styleId="ab">
    <w:name w:val="Основной текст с отступом Знак"/>
    <w:basedOn w:val="a0"/>
    <w:link w:val="aa"/>
    <w:uiPriority w:val="99"/>
    <w:semiHidden/>
    <w:locked/>
    <w:rsid w:val="00B819E3"/>
    <w:rPr>
      <w:rFonts w:ascii="Arial" w:hAnsi="Arial" w:cs="Arial"/>
      <w:sz w:val="18"/>
      <w:szCs w:val="18"/>
    </w:rPr>
  </w:style>
  <w:style w:type="paragraph" w:customStyle="1" w:styleId="fieldcomment">
    <w:name w:val="field_comment"/>
    <w:basedOn w:val="a"/>
    <w:rsid w:val="00B819E3"/>
    <w:pPr>
      <w:spacing w:before="45" w:after="45"/>
    </w:pPr>
    <w:rPr>
      <w:rFonts w:ascii="Arial" w:hAnsi="Arial" w:cs="Arial"/>
      <w:sz w:val="9"/>
      <w:szCs w:val="9"/>
      <w:lang w:val="en-US" w:eastAsia="en-US"/>
    </w:rPr>
  </w:style>
  <w:style w:type="character" w:customStyle="1" w:styleId="ac">
    <w:name w:val="Основной шрифт"/>
    <w:rsid w:val="00B819E3"/>
  </w:style>
  <w:style w:type="paragraph" w:customStyle="1" w:styleId="ConsNonformat">
    <w:name w:val="ConsNonformat"/>
    <w:rsid w:val="00B819E3"/>
    <w:pPr>
      <w:widowControl w:val="0"/>
    </w:pPr>
    <w:rPr>
      <w:rFonts w:ascii="Courier New" w:hAnsi="Courier New" w:cs="Courier New"/>
      <w:lang w:eastAsia="en-US"/>
    </w:rPr>
  </w:style>
  <w:style w:type="paragraph" w:customStyle="1" w:styleId="ConsNormal">
    <w:name w:val="ConsNormal"/>
    <w:uiPriority w:val="99"/>
    <w:rsid w:val="00B819E3"/>
    <w:pPr>
      <w:widowControl w:val="0"/>
      <w:ind w:firstLine="720"/>
    </w:pPr>
    <w:rPr>
      <w:rFonts w:ascii="Arial" w:hAnsi="Arial" w:cs="Arial"/>
      <w:lang w:eastAsia="en-US"/>
    </w:rPr>
  </w:style>
  <w:style w:type="paragraph" w:customStyle="1" w:styleId="stampfield">
    <w:name w:val="stamp_field"/>
    <w:basedOn w:val="a"/>
    <w:rsid w:val="00B819E3"/>
    <w:pPr>
      <w:spacing w:after="150"/>
      <w:ind w:left="6120"/>
      <w:jc w:val="center"/>
      <w:textAlignment w:val="top"/>
    </w:pPr>
    <w:rPr>
      <w:rFonts w:ascii="Arial" w:hAnsi="Arial" w:cs="Arial"/>
      <w:sz w:val="20"/>
      <w:szCs w:val="20"/>
      <w:lang w:val="en-US" w:eastAsia="en-US"/>
    </w:rPr>
  </w:style>
  <w:style w:type="paragraph" w:customStyle="1" w:styleId="Preformat">
    <w:name w:val="Preformat"/>
    <w:rsid w:val="00B819E3"/>
    <w:rPr>
      <w:rFonts w:ascii="Courier New" w:hAnsi="Courier New" w:cs="Courier New"/>
    </w:rPr>
  </w:style>
  <w:style w:type="paragraph" w:customStyle="1" w:styleId="RulesNo">
    <w:name w:val="Rules No"/>
    <w:autoRedefine/>
    <w:rsid w:val="00B819E3"/>
    <w:pPr>
      <w:ind w:firstLine="540"/>
      <w:jc w:val="both"/>
    </w:pPr>
    <w:rPr>
      <w:rFonts w:ascii="Arial" w:hAnsi="Arial" w:cs="Arial"/>
      <w:sz w:val="18"/>
      <w:szCs w:val="18"/>
    </w:rPr>
  </w:style>
  <w:style w:type="paragraph" w:styleId="ad">
    <w:name w:val="Balloon Text"/>
    <w:basedOn w:val="a"/>
    <w:link w:val="ae"/>
    <w:uiPriority w:val="99"/>
    <w:unhideWhenUsed/>
    <w:rsid w:val="00B819E3"/>
    <w:rPr>
      <w:rFonts w:ascii="Tahoma" w:hAnsi="Tahoma" w:cs="Tahoma"/>
      <w:sz w:val="16"/>
      <w:szCs w:val="16"/>
    </w:rPr>
  </w:style>
  <w:style w:type="character" w:customStyle="1" w:styleId="ae">
    <w:name w:val="Текст выноски Знак"/>
    <w:basedOn w:val="a0"/>
    <w:link w:val="ad"/>
    <w:uiPriority w:val="99"/>
    <w:locked/>
    <w:rsid w:val="00B819E3"/>
    <w:rPr>
      <w:rFonts w:ascii="Tahoma" w:hAnsi="Tahoma" w:cs="Tahoma"/>
      <w:sz w:val="16"/>
      <w:szCs w:val="16"/>
    </w:rPr>
  </w:style>
  <w:style w:type="paragraph" w:styleId="af">
    <w:name w:val="Normal (Web)"/>
    <w:basedOn w:val="a"/>
    <w:uiPriority w:val="99"/>
    <w:rsid w:val="00B819E3"/>
    <w:pPr>
      <w:spacing w:before="45" w:after="45"/>
    </w:pPr>
    <w:rPr>
      <w:rFonts w:ascii="Arial" w:hAnsi="Arial" w:cs="Arial"/>
      <w:sz w:val="16"/>
      <w:szCs w:val="16"/>
      <w:lang w:val="en-US" w:eastAsia="en-US"/>
    </w:rPr>
  </w:style>
  <w:style w:type="character" w:customStyle="1" w:styleId="fieldcomment1">
    <w:name w:val="field_comment1"/>
    <w:rsid w:val="00B819E3"/>
    <w:rPr>
      <w:sz w:val="9"/>
    </w:rPr>
  </w:style>
  <w:style w:type="paragraph" w:customStyle="1" w:styleId="ConsTitle">
    <w:name w:val="ConsTitle"/>
    <w:rsid w:val="00B819E3"/>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semiHidden/>
    <w:unhideWhenUsed/>
    <w:rsid w:val="003E1D04"/>
    <w:pPr>
      <w:spacing w:after="120" w:line="480" w:lineRule="auto"/>
      <w:ind w:left="283"/>
    </w:pPr>
  </w:style>
  <w:style w:type="character" w:customStyle="1" w:styleId="22">
    <w:name w:val="Основной текст с отступом 2 Знак"/>
    <w:basedOn w:val="a0"/>
    <w:link w:val="21"/>
    <w:uiPriority w:val="99"/>
    <w:semiHidden/>
    <w:locked/>
    <w:rsid w:val="003E1D04"/>
    <w:rPr>
      <w:rFonts w:cs="Times New Roman"/>
      <w:sz w:val="24"/>
      <w:szCs w:val="24"/>
    </w:rPr>
  </w:style>
  <w:style w:type="paragraph" w:customStyle="1" w:styleId="fieldname">
    <w:name w:val="field_name"/>
    <w:basedOn w:val="a"/>
    <w:rsid w:val="006D11E9"/>
    <w:pPr>
      <w:spacing w:before="45" w:after="45"/>
      <w:jc w:val="right"/>
    </w:pPr>
    <w:rPr>
      <w:rFonts w:ascii="Arial" w:hAnsi="Arial" w:cs="Arial"/>
      <w:b/>
      <w:bCs/>
      <w:sz w:val="16"/>
      <w:szCs w:val="16"/>
      <w:lang w:val="en-US" w:eastAsia="en-US"/>
    </w:rPr>
  </w:style>
  <w:style w:type="paragraph" w:customStyle="1" w:styleId="signfield">
    <w:name w:val="sign_field"/>
    <w:basedOn w:val="a"/>
    <w:rsid w:val="006D11E9"/>
    <w:pPr>
      <w:pBdr>
        <w:bottom w:val="single" w:sz="8" w:space="0" w:color="000000"/>
      </w:pBdr>
      <w:spacing w:before="375" w:after="150"/>
      <w:textAlignment w:val="top"/>
    </w:pPr>
    <w:rPr>
      <w:rFonts w:ascii="Arial" w:hAnsi="Arial" w:cs="Arial"/>
      <w:sz w:val="16"/>
      <w:szCs w:val="16"/>
      <w:lang w:val="en-US" w:eastAsia="en-US"/>
    </w:rPr>
  </w:style>
  <w:style w:type="paragraph" w:customStyle="1" w:styleId="fielddata">
    <w:name w:val="field_data"/>
    <w:basedOn w:val="a"/>
    <w:rsid w:val="006D11E9"/>
    <w:pPr>
      <w:spacing w:before="45" w:after="45"/>
    </w:pPr>
    <w:rPr>
      <w:rFonts w:ascii="Arial" w:hAnsi="Arial" w:cs="Arial"/>
      <w:sz w:val="16"/>
      <w:szCs w:val="16"/>
      <w:lang w:val="en-US" w:eastAsia="en-US"/>
    </w:rPr>
  </w:style>
  <w:style w:type="paragraph" w:customStyle="1" w:styleId="footnote">
    <w:name w:val="footnote"/>
    <w:basedOn w:val="a"/>
    <w:rsid w:val="006D11E9"/>
    <w:pPr>
      <w:spacing w:after="105"/>
      <w:ind w:left="367"/>
    </w:pPr>
    <w:rPr>
      <w:rFonts w:ascii="Arial" w:hAnsi="Arial" w:cs="Arial"/>
      <w:sz w:val="9"/>
      <w:szCs w:val="9"/>
      <w:lang w:val="en-US" w:eastAsia="en-US"/>
    </w:rPr>
  </w:style>
  <w:style w:type="character" w:styleId="af0">
    <w:name w:val="annotation reference"/>
    <w:basedOn w:val="a0"/>
    <w:uiPriority w:val="99"/>
    <w:semiHidden/>
    <w:rsid w:val="006D11E9"/>
    <w:rPr>
      <w:rFonts w:cs="Times New Roman"/>
      <w:sz w:val="16"/>
    </w:rPr>
  </w:style>
  <w:style w:type="paragraph" w:styleId="af1">
    <w:name w:val="annotation text"/>
    <w:basedOn w:val="a"/>
    <w:link w:val="af2"/>
    <w:uiPriority w:val="99"/>
    <w:semiHidden/>
    <w:rsid w:val="006D11E9"/>
    <w:pPr>
      <w:spacing w:line="360" w:lineRule="atLeast"/>
      <w:jc w:val="both"/>
    </w:pPr>
    <w:rPr>
      <w:rFonts w:ascii="Times New Roman CYR" w:hAnsi="Times New Roman CYR" w:cs="Times New Roman CYR"/>
      <w:sz w:val="20"/>
      <w:szCs w:val="20"/>
    </w:rPr>
  </w:style>
  <w:style w:type="character" w:customStyle="1" w:styleId="af2">
    <w:name w:val="Текст примечания Знак"/>
    <w:basedOn w:val="a0"/>
    <w:link w:val="af1"/>
    <w:uiPriority w:val="99"/>
    <w:semiHidden/>
    <w:locked/>
    <w:rsid w:val="006D11E9"/>
    <w:rPr>
      <w:rFonts w:ascii="Times New Roman CYR" w:hAnsi="Times New Roman CYR" w:cs="Times New Roman CYR"/>
    </w:rPr>
  </w:style>
  <w:style w:type="paragraph" w:customStyle="1" w:styleId="af3">
    <w:name w:val="Стиль"/>
    <w:basedOn w:val="a"/>
    <w:rsid w:val="006D11E9"/>
    <w:pPr>
      <w:spacing w:after="160" w:line="240" w:lineRule="exact"/>
    </w:pPr>
    <w:rPr>
      <w:rFonts w:ascii="Verdana" w:hAnsi="Verdana"/>
      <w:sz w:val="20"/>
      <w:szCs w:val="20"/>
      <w:lang w:val="en-US" w:eastAsia="en-US"/>
    </w:rPr>
  </w:style>
  <w:style w:type="paragraph" w:styleId="af4">
    <w:name w:val="Body Text First Indent"/>
    <w:basedOn w:val="a8"/>
    <w:link w:val="af5"/>
    <w:uiPriority w:val="99"/>
    <w:semiHidden/>
    <w:rsid w:val="006D11E9"/>
    <w:pPr>
      <w:spacing w:after="120"/>
      <w:ind w:firstLine="210"/>
      <w:jc w:val="left"/>
    </w:pPr>
  </w:style>
  <w:style w:type="character" w:customStyle="1" w:styleId="af5">
    <w:name w:val="Красная строка Знак"/>
    <w:basedOn w:val="a9"/>
    <w:link w:val="af4"/>
    <w:uiPriority w:val="99"/>
    <w:semiHidden/>
    <w:locked/>
    <w:rsid w:val="006D11E9"/>
  </w:style>
  <w:style w:type="paragraph" w:styleId="23">
    <w:name w:val="List Bullet 2"/>
    <w:basedOn w:val="a"/>
    <w:autoRedefine/>
    <w:uiPriority w:val="99"/>
    <w:semiHidden/>
    <w:rsid w:val="006D11E9"/>
    <w:pPr>
      <w:numPr>
        <w:numId w:val="1"/>
      </w:numPr>
      <w:tabs>
        <w:tab w:val="clear" w:pos="643"/>
        <w:tab w:val="num" w:pos="1068"/>
      </w:tabs>
      <w:ind w:left="1068"/>
    </w:pPr>
  </w:style>
  <w:style w:type="paragraph" w:styleId="31">
    <w:name w:val="Body Text Indent 3"/>
    <w:basedOn w:val="a"/>
    <w:link w:val="32"/>
    <w:uiPriority w:val="99"/>
    <w:semiHidden/>
    <w:rsid w:val="006D11E9"/>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semiHidden/>
    <w:locked/>
    <w:rsid w:val="006D11E9"/>
    <w:rPr>
      <w:rFonts w:ascii="Times New Roman CYR" w:hAnsi="Times New Roman CYR" w:cs="Times New Roman CYR"/>
      <w:sz w:val="16"/>
      <w:szCs w:val="16"/>
    </w:rPr>
  </w:style>
  <w:style w:type="paragraph" w:styleId="af6">
    <w:name w:val="annotation subject"/>
    <w:basedOn w:val="af1"/>
    <w:next w:val="af1"/>
    <w:link w:val="af7"/>
    <w:uiPriority w:val="99"/>
    <w:rsid w:val="006D11E9"/>
    <w:pPr>
      <w:spacing w:line="240" w:lineRule="auto"/>
      <w:jc w:val="left"/>
    </w:pPr>
    <w:rPr>
      <w:rFonts w:ascii="Times New Roman" w:hAnsi="Times New Roman" w:cs="Times New Roman"/>
      <w:b/>
      <w:bCs/>
      <w:lang w:eastAsia="en-US"/>
    </w:rPr>
  </w:style>
  <w:style w:type="character" w:customStyle="1" w:styleId="af7">
    <w:name w:val="Тема примечания Знак"/>
    <w:basedOn w:val="af2"/>
    <w:link w:val="af6"/>
    <w:uiPriority w:val="99"/>
    <w:locked/>
    <w:rsid w:val="006D11E9"/>
    <w:rPr>
      <w:b/>
      <w:bCs/>
      <w:lang w:eastAsia="en-US"/>
    </w:rPr>
  </w:style>
  <w:style w:type="paragraph" w:customStyle="1" w:styleId="ConsPlusNormal">
    <w:name w:val="ConsPlusNormal"/>
    <w:uiPriority w:val="99"/>
    <w:rsid w:val="006D11E9"/>
    <w:pPr>
      <w:widowControl w:val="0"/>
      <w:autoSpaceDE w:val="0"/>
      <w:autoSpaceDN w:val="0"/>
      <w:adjustRightInd w:val="0"/>
      <w:ind w:firstLine="720"/>
    </w:pPr>
    <w:rPr>
      <w:rFonts w:ascii="Arial" w:eastAsia="SimSun" w:hAnsi="Arial"/>
      <w:lang w:eastAsia="zh-CN"/>
    </w:rPr>
  </w:style>
  <w:style w:type="paragraph" w:customStyle="1" w:styleId="Body">
    <w:name w:val="Body"/>
    <w:basedOn w:val="a"/>
    <w:rsid w:val="006D11E9"/>
    <w:pPr>
      <w:spacing w:after="120"/>
      <w:ind w:left="357" w:firstLine="363"/>
      <w:jc w:val="both"/>
    </w:pPr>
  </w:style>
  <w:style w:type="paragraph" w:customStyle="1" w:styleId="Rulesbody">
    <w:name w:val="Rules body"/>
    <w:basedOn w:val="RulesNo"/>
    <w:autoRedefine/>
    <w:rsid w:val="006D11E9"/>
    <w:pPr>
      <w:ind w:left="426" w:firstLine="1"/>
    </w:pPr>
  </w:style>
  <w:style w:type="paragraph" w:customStyle="1" w:styleId="BodyNum">
    <w:name w:val="Body Num"/>
    <w:basedOn w:val="a"/>
    <w:rsid w:val="006D11E9"/>
    <w:pPr>
      <w:jc w:val="both"/>
    </w:pPr>
  </w:style>
  <w:style w:type="paragraph" w:customStyle="1" w:styleId="BodyBul">
    <w:name w:val="Body Bul"/>
    <w:basedOn w:val="a"/>
    <w:rsid w:val="006D11E9"/>
    <w:pPr>
      <w:numPr>
        <w:numId w:val="2"/>
      </w:numPr>
      <w:tabs>
        <w:tab w:val="num" w:pos="720"/>
        <w:tab w:val="num" w:pos="927"/>
        <w:tab w:val="num" w:pos="1068"/>
        <w:tab w:val="num" w:pos="1755"/>
        <w:tab w:val="num" w:pos="1969"/>
      </w:tabs>
      <w:autoSpaceDE w:val="0"/>
      <w:autoSpaceDN w:val="0"/>
      <w:spacing w:after="120"/>
      <w:ind w:left="360"/>
      <w:jc w:val="both"/>
    </w:pPr>
  </w:style>
  <w:style w:type="character" w:styleId="af8">
    <w:name w:val="page number"/>
    <w:basedOn w:val="a0"/>
    <w:uiPriority w:val="99"/>
    <w:semiHidden/>
    <w:rsid w:val="006D11E9"/>
    <w:rPr>
      <w:rFonts w:cs="Times New Roman"/>
    </w:rPr>
  </w:style>
  <w:style w:type="paragraph" w:styleId="af9">
    <w:name w:val="List Paragraph"/>
    <w:basedOn w:val="a"/>
    <w:uiPriority w:val="34"/>
    <w:qFormat/>
    <w:rsid w:val="00FC06FE"/>
    <w:pPr>
      <w:spacing w:after="200" w:line="276" w:lineRule="auto"/>
      <w:ind w:left="720"/>
      <w:contextualSpacing/>
    </w:pPr>
    <w:rPr>
      <w:rFonts w:ascii="Calibri" w:hAnsi="Calibri"/>
      <w:sz w:val="22"/>
      <w:szCs w:val="22"/>
      <w:lang w:eastAsia="en-US"/>
    </w:rPr>
  </w:style>
  <w:style w:type="character" w:customStyle="1" w:styleId="afa">
    <w:name w:val="Текстовый Знак"/>
    <w:link w:val="afb"/>
    <w:locked/>
    <w:rsid w:val="00FC06FE"/>
    <w:rPr>
      <w:rFonts w:ascii="Arial" w:hAnsi="Arial"/>
    </w:rPr>
  </w:style>
  <w:style w:type="paragraph" w:customStyle="1" w:styleId="afb">
    <w:name w:val="Текстовый"/>
    <w:link w:val="afa"/>
    <w:rsid w:val="00FC06FE"/>
    <w:pPr>
      <w:widowControl w:val="0"/>
      <w:jc w:val="both"/>
    </w:pPr>
    <w:rPr>
      <w:rFonts w:ascii="Arial" w:hAnsi="Arial"/>
    </w:rPr>
  </w:style>
  <w:style w:type="paragraph" w:styleId="afc">
    <w:name w:val="footnote text"/>
    <w:basedOn w:val="a"/>
    <w:link w:val="afd"/>
    <w:uiPriority w:val="99"/>
    <w:rsid w:val="00A54ADB"/>
    <w:rPr>
      <w:sz w:val="20"/>
      <w:szCs w:val="20"/>
    </w:rPr>
  </w:style>
  <w:style w:type="character" w:customStyle="1" w:styleId="afd">
    <w:name w:val="Текст сноски Знак"/>
    <w:basedOn w:val="a0"/>
    <w:link w:val="afc"/>
    <w:uiPriority w:val="99"/>
    <w:locked/>
    <w:rsid w:val="00A54ADB"/>
    <w:rPr>
      <w:rFonts w:cs="Times New Roman"/>
    </w:rPr>
  </w:style>
</w:styles>
</file>

<file path=word/webSettings.xml><?xml version="1.0" encoding="utf-8"?>
<w:webSettings xmlns:r="http://schemas.openxmlformats.org/officeDocument/2006/relationships" xmlns:w="http://schemas.openxmlformats.org/wordprocessingml/2006/main">
  <w:divs>
    <w:div w:id="1628466830">
      <w:marLeft w:val="0"/>
      <w:marRight w:val="0"/>
      <w:marTop w:val="0"/>
      <w:marBottom w:val="0"/>
      <w:divBdr>
        <w:top w:val="none" w:sz="0" w:space="0" w:color="auto"/>
        <w:left w:val="none" w:sz="0" w:space="0" w:color="auto"/>
        <w:bottom w:val="none" w:sz="0" w:space="0" w:color="auto"/>
        <w:right w:val="none" w:sz="0" w:space="0" w:color="auto"/>
      </w:divBdr>
    </w:div>
    <w:div w:id="1628466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002_частично действующая редакция</Статус_x0020_документа>
    <_EndDate xmlns="http://schemas.microsoft.com/sharepoint/v3/fields">10.09.2020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4664-8D7A-4646-8D1D-6B50C0ACC828}"/>
</file>

<file path=customXml/itemProps2.xml><?xml version="1.0" encoding="utf-8"?>
<ds:datastoreItem xmlns:ds="http://schemas.openxmlformats.org/officeDocument/2006/customXml" ds:itemID="{8F9A432A-7116-4660-A493-74447F195B42}"/>
</file>

<file path=customXml/itemProps3.xml><?xml version="1.0" encoding="utf-8"?>
<ds:datastoreItem xmlns:ds="http://schemas.openxmlformats.org/officeDocument/2006/customXml" ds:itemID="{8774C88E-3E02-4DBA-A3E5-808774755171}"/>
</file>

<file path=customXml/itemProps4.xml><?xml version="1.0" encoding="utf-8"?>
<ds:datastoreItem xmlns:ds="http://schemas.openxmlformats.org/officeDocument/2006/customXml" ds:itemID="{CDFB1B7C-E321-4296-AB91-2815B71FD7FF}"/>
</file>

<file path=docProps/app.xml><?xml version="1.0" encoding="utf-8"?>
<Properties xmlns="http://schemas.openxmlformats.org/officeDocument/2006/extended-properties" xmlns:vt="http://schemas.openxmlformats.org/officeDocument/2006/docPropsVTypes">
  <Template>Normal.dotm</Template>
  <TotalTime>1</TotalTime>
  <Pages>13</Pages>
  <Words>7898</Words>
  <Characters>45025</Characters>
  <Application>Microsoft Office Word</Application>
  <DocSecurity>0</DocSecurity>
  <Lines>375</Lines>
  <Paragraphs>105</Paragraphs>
  <ScaleCrop>false</ScaleCrop>
  <Company>bcs</Company>
  <LinksUpToDate>false</LinksUpToDate>
  <CharactersWithSpaces>52818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ФИЛИАЛ</dc:title>
  <dc:creator>ekorneenkova</dc:creator>
  <cp:lastModifiedBy>malyhina</cp:lastModifiedBy>
  <cp:revision>2</cp:revision>
  <cp:lastPrinted>2019-11-01T05:08:00Z</cp:lastPrinted>
  <dcterms:created xsi:type="dcterms:W3CDTF">2020-09-11T06:27:00Z</dcterms:created>
  <dcterms:modified xsi:type="dcterms:W3CDTF">2020-09-11T06:27:00Z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