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7178"/>
        <w:gridCol w:w="2465"/>
      </w:tblGrid>
      <w:tr w:rsidR="00EC695A" w:rsidRPr="00BA6A9E" w:rsidTr="00C9297B">
        <w:trPr>
          <w:trHeight w:val="360"/>
        </w:trPr>
        <w:tc>
          <w:tcPr>
            <w:tcW w:w="7178" w:type="dxa"/>
          </w:tcPr>
          <w:p w:rsidR="00EC695A" w:rsidRPr="00BA6A9E" w:rsidRDefault="00EC695A" w:rsidP="00C9297B">
            <w:pPr>
              <w:rPr>
                <w:rFonts w:ascii="Arial" w:hAnsi="Arial" w:cs="Arial"/>
                <w:sz w:val="22"/>
                <w:szCs w:val="22"/>
              </w:rPr>
            </w:pPr>
          </w:p>
        </w:tc>
        <w:tc>
          <w:tcPr>
            <w:tcW w:w="2465" w:type="dxa"/>
          </w:tcPr>
          <w:p w:rsidR="00EC695A" w:rsidRPr="00BA6A9E" w:rsidRDefault="00EC695A" w:rsidP="00C9297B">
            <w:pPr>
              <w:rPr>
                <w:sz w:val="22"/>
                <w:szCs w:val="22"/>
              </w:rPr>
            </w:pPr>
          </w:p>
        </w:tc>
      </w:tr>
    </w:tbl>
    <w:p w:rsidR="006B373D" w:rsidRPr="006B373D" w:rsidRDefault="006B373D" w:rsidP="007D7A52">
      <w:pPr>
        <w:autoSpaceDE w:val="0"/>
        <w:autoSpaceDN w:val="0"/>
        <w:adjustRightInd w:val="0"/>
        <w:rPr>
          <w:rFonts w:ascii="Arial" w:hAnsi="Arial" w:cs="Arial"/>
          <w:sz w:val="18"/>
          <w:szCs w:val="20"/>
        </w:rPr>
      </w:pPr>
      <w:r w:rsidRPr="006B373D">
        <w:rPr>
          <w:rFonts w:ascii="Arial" w:hAnsi="Arial" w:cs="Arial"/>
          <w:sz w:val="18"/>
          <w:szCs w:val="20"/>
        </w:rPr>
        <w:t>Акционерное общество Управляющая компания «Брокеркредитсервис»</w:t>
      </w:r>
      <w:r w:rsidRPr="006B373D">
        <w:rPr>
          <w:rFonts w:ascii="Arial" w:hAnsi="Arial" w:cs="Arial"/>
          <w:sz w:val="18"/>
          <w:szCs w:val="20"/>
        </w:rPr>
        <w:tab/>
      </w:r>
      <w:r w:rsidRPr="006B373D">
        <w:rPr>
          <w:rFonts w:ascii="Arial" w:hAnsi="Arial" w:cs="Arial"/>
          <w:sz w:val="18"/>
          <w:szCs w:val="20"/>
        </w:rPr>
        <w:tab/>
      </w:r>
      <w:r>
        <w:rPr>
          <w:rFonts w:ascii="Arial" w:hAnsi="Arial" w:cs="Arial"/>
          <w:sz w:val="18"/>
          <w:szCs w:val="20"/>
        </w:rPr>
        <w:t xml:space="preserve">   </w:t>
      </w:r>
      <w:r w:rsidRPr="006B373D">
        <w:rPr>
          <w:rFonts w:ascii="Arial" w:hAnsi="Arial" w:cs="Arial"/>
          <w:sz w:val="18"/>
          <w:szCs w:val="20"/>
        </w:rPr>
        <w:t xml:space="preserve"> </w:t>
      </w:r>
      <w:r w:rsidRPr="006B373D">
        <w:rPr>
          <w:rFonts w:ascii="Arial" w:hAnsi="Arial" w:cs="Arial"/>
          <w:sz w:val="18"/>
          <w:szCs w:val="18"/>
        </w:rPr>
        <w:t xml:space="preserve">Тел:  (383) </w:t>
      </w:r>
      <w:r w:rsidRPr="006B373D">
        <w:rPr>
          <w:rFonts w:ascii="Arial" w:hAnsi="Arial" w:cs="Arial"/>
          <w:sz w:val="18"/>
          <w:szCs w:val="20"/>
        </w:rPr>
        <w:t>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(АО УК «БКС»)</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rPr>
        <w:t>Факс:(383) 210 50 20</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18"/>
        </w:rPr>
        <w:t>ул. Советская, д.37, Новосибирск,</w:t>
      </w:r>
      <w:r>
        <w:rPr>
          <w:rFonts w:ascii="Arial" w:hAnsi="Arial" w:cs="Arial"/>
          <w:sz w:val="18"/>
          <w:szCs w:val="18"/>
        </w:rPr>
        <w:t xml:space="preserve"> Россия, 630099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373D">
        <w:rPr>
          <w:rFonts w:ascii="Arial" w:hAnsi="Arial" w:cs="Arial"/>
          <w:sz w:val="18"/>
          <w:szCs w:val="18"/>
        </w:rPr>
        <w:t xml:space="preserve">    </w:t>
      </w:r>
      <w:r w:rsidRPr="006B373D">
        <w:rPr>
          <w:rFonts w:ascii="Arial" w:hAnsi="Arial" w:cs="Arial"/>
          <w:sz w:val="18"/>
          <w:szCs w:val="20"/>
          <w:lang w:val="en-US"/>
        </w:rPr>
        <w:t>www</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r w:rsidRPr="006B373D">
        <w:rPr>
          <w:rFonts w:ascii="Arial" w:hAnsi="Arial" w:cs="Arial"/>
          <w:sz w:val="18"/>
          <w:szCs w:val="20"/>
        </w:rPr>
        <w:t>/</w:t>
      </w:r>
      <w:r w:rsidRPr="006B373D">
        <w:rPr>
          <w:rFonts w:ascii="Arial" w:hAnsi="Arial" w:cs="Arial"/>
          <w:sz w:val="18"/>
          <w:szCs w:val="20"/>
          <w:lang w:val="en-US"/>
        </w:rPr>
        <w:t>am</w:t>
      </w:r>
    </w:p>
    <w:p w:rsidR="006B373D" w:rsidRPr="006B373D" w:rsidRDefault="006B373D" w:rsidP="006B373D">
      <w:pPr>
        <w:autoSpaceDE w:val="0"/>
        <w:autoSpaceDN w:val="0"/>
        <w:adjustRightInd w:val="0"/>
        <w:rPr>
          <w:rFonts w:ascii="Arial" w:hAnsi="Arial" w:cs="Arial"/>
          <w:sz w:val="18"/>
          <w:szCs w:val="18"/>
        </w:rPr>
      </w:pPr>
      <w:r w:rsidRPr="006B373D">
        <w:rPr>
          <w:rFonts w:ascii="Arial" w:hAnsi="Arial" w:cs="Arial"/>
          <w:sz w:val="18"/>
          <w:szCs w:val="20"/>
        </w:rPr>
        <w:t xml:space="preserve">ОГРН 1025403200020 ИНН 5407191291 КПП </w:t>
      </w:r>
      <w:r>
        <w:rPr>
          <w:rFonts w:ascii="Arial" w:hAnsi="Arial" w:cs="Arial"/>
          <w:sz w:val="18"/>
          <w:szCs w:val="20"/>
        </w:rPr>
        <w:t>540701001</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Pr="006B373D">
        <w:rPr>
          <w:rFonts w:ascii="Arial" w:hAnsi="Arial" w:cs="Arial"/>
          <w:sz w:val="18"/>
          <w:szCs w:val="20"/>
        </w:rPr>
        <w:t xml:space="preserve">    </w:t>
      </w:r>
      <w:r w:rsidRPr="006B373D">
        <w:rPr>
          <w:rFonts w:ascii="Arial" w:hAnsi="Arial" w:cs="Arial"/>
          <w:sz w:val="18"/>
          <w:szCs w:val="20"/>
          <w:lang w:val="en-US"/>
        </w:rPr>
        <w:t>uk</w:t>
      </w:r>
      <w:r w:rsidRPr="006B373D">
        <w:rPr>
          <w:rFonts w:ascii="Arial" w:hAnsi="Arial" w:cs="Arial"/>
          <w:sz w:val="18"/>
          <w:szCs w:val="20"/>
        </w:rPr>
        <w:t>@</w:t>
      </w:r>
      <w:r w:rsidRPr="006B373D">
        <w:rPr>
          <w:rFonts w:ascii="Arial" w:hAnsi="Arial" w:cs="Arial"/>
          <w:sz w:val="18"/>
          <w:szCs w:val="20"/>
          <w:lang w:val="en-US"/>
        </w:rPr>
        <w:t>bcs</w:t>
      </w:r>
      <w:r w:rsidRPr="006B373D">
        <w:rPr>
          <w:rFonts w:ascii="Arial" w:hAnsi="Arial" w:cs="Arial"/>
          <w:sz w:val="18"/>
          <w:szCs w:val="20"/>
        </w:rPr>
        <w:t>.</w:t>
      </w:r>
      <w:r w:rsidRPr="006B373D">
        <w:rPr>
          <w:rFonts w:ascii="Arial" w:hAnsi="Arial" w:cs="Arial"/>
          <w:sz w:val="18"/>
          <w:szCs w:val="20"/>
          <w:lang w:val="en-US"/>
        </w:rPr>
        <w:t>ru</w:t>
      </w:r>
    </w:p>
    <w:p w:rsidR="006B373D" w:rsidRPr="006B373D" w:rsidRDefault="006B373D" w:rsidP="00EC695A">
      <w:pPr>
        <w:tabs>
          <w:tab w:val="center" w:pos="4677"/>
          <w:tab w:val="right" w:pos="9355"/>
        </w:tabs>
        <w:jc w:val="right"/>
        <w:rPr>
          <w:sz w:val="22"/>
          <w:szCs w:val="22"/>
        </w:rPr>
      </w:pPr>
    </w:p>
    <w:p w:rsidR="00841FA0" w:rsidRDefault="00841FA0" w:rsidP="00841FA0">
      <w:pPr>
        <w:tabs>
          <w:tab w:val="center" w:pos="4677"/>
          <w:tab w:val="right" w:pos="9355"/>
        </w:tabs>
        <w:jc w:val="right"/>
        <w:rPr>
          <w:sz w:val="22"/>
          <w:szCs w:val="22"/>
        </w:rPr>
      </w:pPr>
      <w:r>
        <w:rPr>
          <w:sz w:val="22"/>
          <w:szCs w:val="22"/>
        </w:rPr>
        <w:t xml:space="preserve">Утверждены </w:t>
      </w:r>
    </w:p>
    <w:p w:rsidR="00841FA0" w:rsidRDefault="00841FA0" w:rsidP="00841FA0">
      <w:pPr>
        <w:tabs>
          <w:tab w:val="center" w:pos="4677"/>
          <w:tab w:val="right" w:pos="9355"/>
        </w:tabs>
        <w:jc w:val="right"/>
        <w:rPr>
          <w:sz w:val="22"/>
          <w:szCs w:val="22"/>
        </w:rPr>
      </w:pPr>
      <w:r>
        <w:rPr>
          <w:sz w:val="22"/>
          <w:szCs w:val="22"/>
        </w:rPr>
        <w:t>Решением Генерального директора АО УК «БКС»</w:t>
      </w:r>
    </w:p>
    <w:p w:rsidR="00841FA0" w:rsidRDefault="00F45EFE" w:rsidP="00841FA0">
      <w:pPr>
        <w:jc w:val="right"/>
        <w:rPr>
          <w:sz w:val="22"/>
          <w:szCs w:val="22"/>
        </w:rPr>
      </w:pPr>
      <w:r>
        <w:rPr>
          <w:sz w:val="22"/>
          <w:szCs w:val="22"/>
        </w:rPr>
        <w:t xml:space="preserve">№ </w:t>
      </w:r>
      <w:r w:rsidRPr="00510AE5">
        <w:rPr>
          <w:sz w:val="22"/>
          <w:szCs w:val="22"/>
        </w:rPr>
        <w:t>5</w:t>
      </w:r>
      <w:r w:rsidR="00841FA0">
        <w:rPr>
          <w:sz w:val="22"/>
          <w:szCs w:val="22"/>
        </w:rPr>
        <w:t>/17 от «</w:t>
      </w:r>
      <w:r w:rsidRPr="00510AE5">
        <w:rPr>
          <w:sz w:val="22"/>
          <w:szCs w:val="22"/>
        </w:rPr>
        <w:t>24</w:t>
      </w:r>
      <w:r w:rsidR="00841FA0">
        <w:rPr>
          <w:sz w:val="22"/>
          <w:szCs w:val="22"/>
        </w:rPr>
        <w:t>»</w:t>
      </w:r>
      <w:r w:rsidRPr="00510AE5">
        <w:rPr>
          <w:sz w:val="22"/>
          <w:szCs w:val="22"/>
        </w:rPr>
        <w:t xml:space="preserve"> </w:t>
      </w:r>
      <w:r>
        <w:rPr>
          <w:sz w:val="22"/>
          <w:szCs w:val="22"/>
        </w:rPr>
        <w:t xml:space="preserve"> августа </w:t>
      </w:r>
      <w:r w:rsidR="00841FA0">
        <w:rPr>
          <w:sz w:val="22"/>
          <w:szCs w:val="22"/>
        </w:rPr>
        <w:t xml:space="preserve"> 2017г.</w:t>
      </w:r>
    </w:p>
    <w:p w:rsidR="00841FA0" w:rsidRDefault="00841FA0" w:rsidP="00841FA0">
      <w:pPr>
        <w:jc w:val="right"/>
        <w:rPr>
          <w:sz w:val="22"/>
          <w:szCs w:val="22"/>
        </w:rPr>
      </w:pPr>
      <w:r>
        <w:rPr>
          <w:sz w:val="22"/>
          <w:szCs w:val="22"/>
        </w:rPr>
        <w:t>___________/А.Ф. Рахманов</w:t>
      </w:r>
    </w:p>
    <w:p w:rsidR="00841FA0" w:rsidRDefault="00841FA0" w:rsidP="00841FA0">
      <w:pPr>
        <w:jc w:val="center"/>
        <w:rPr>
          <w:b/>
          <w:bCs/>
          <w:sz w:val="22"/>
          <w:szCs w:val="22"/>
        </w:rPr>
      </w:pPr>
      <w:r>
        <w:rPr>
          <w:bCs/>
          <w:sz w:val="22"/>
          <w:szCs w:val="22"/>
        </w:rPr>
        <w:t xml:space="preserve">                                                                                                      М.П.</w:t>
      </w:r>
    </w:p>
    <w:p w:rsidR="009D3977" w:rsidRDefault="009D3977" w:rsidP="009D3977">
      <w:pPr>
        <w:jc w:val="center"/>
        <w:rPr>
          <w:b/>
          <w:bCs/>
          <w:sz w:val="22"/>
          <w:szCs w:val="22"/>
        </w:rPr>
      </w:pPr>
    </w:p>
    <w:p w:rsidR="00092AF1" w:rsidRPr="00BA6A9E" w:rsidRDefault="00092AF1" w:rsidP="00B819E3">
      <w:pPr>
        <w:jc w:val="center"/>
        <w:rPr>
          <w:b/>
          <w:bCs/>
          <w:sz w:val="22"/>
          <w:szCs w:val="22"/>
        </w:rPr>
      </w:pPr>
    </w:p>
    <w:p w:rsidR="00DE6069" w:rsidRDefault="00DE6069" w:rsidP="00DE6069">
      <w:pPr>
        <w:jc w:val="center"/>
        <w:rPr>
          <w:b/>
          <w:bCs/>
          <w:sz w:val="22"/>
        </w:rPr>
      </w:pPr>
    </w:p>
    <w:p w:rsidR="00DE6069" w:rsidRPr="0048268E" w:rsidRDefault="00DE6069" w:rsidP="00DE6069">
      <w:pPr>
        <w:jc w:val="center"/>
        <w:rPr>
          <w:b/>
          <w:bCs/>
        </w:rPr>
      </w:pPr>
      <w:r>
        <w:rPr>
          <w:b/>
          <w:bCs/>
        </w:rPr>
        <w:t>ИЗМЕНЕНИЯ И ДОПОЛНЕНИЯ № 1</w:t>
      </w:r>
      <w:r w:rsidR="00596ECC">
        <w:rPr>
          <w:b/>
          <w:bCs/>
        </w:rPr>
        <w:t>7</w:t>
      </w:r>
    </w:p>
    <w:p w:rsidR="00DE6069" w:rsidRPr="003B6C74" w:rsidRDefault="00DE6069" w:rsidP="00DE6069">
      <w:pPr>
        <w:pStyle w:val="af"/>
        <w:spacing w:before="0" w:after="60" w:line="300" w:lineRule="exact"/>
        <w:ind w:left="284" w:right="-162"/>
        <w:jc w:val="center"/>
        <w:rPr>
          <w:rFonts w:ascii="Times New Roman" w:hAnsi="Times New Roman" w:cs="Times New Roman"/>
          <w:b/>
          <w:bCs/>
          <w:sz w:val="24"/>
          <w:szCs w:val="24"/>
          <w:lang w:val="ru-RU"/>
        </w:rPr>
      </w:pPr>
      <w:r w:rsidRPr="003B6C74">
        <w:rPr>
          <w:rFonts w:ascii="Times New Roman" w:hAnsi="Times New Roman" w:cs="Times New Roman"/>
          <w:b/>
          <w:bCs/>
          <w:sz w:val="24"/>
          <w:szCs w:val="24"/>
          <w:lang w:val="ru-RU"/>
        </w:rPr>
        <w:t>в Правила доверительного управления Открытым паевым инвестиционным фондом фондов  «БКС Фонды</w:t>
      </w:r>
      <w:r w:rsidR="00596ECC">
        <w:rPr>
          <w:rFonts w:ascii="Times New Roman" w:hAnsi="Times New Roman" w:cs="Times New Roman"/>
          <w:b/>
          <w:bCs/>
          <w:sz w:val="24"/>
          <w:szCs w:val="24"/>
          <w:lang w:val="ru-RU"/>
        </w:rPr>
        <w:t xml:space="preserve"> США</w:t>
      </w:r>
      <w:r w:rsidRPr="003B6C74">
        <w:rPr>
          <w:rFonts w:ascii="Times New Roman" w:hAnsi="Times New Roman" w:cs="Times New Roman"/>
          <w:b/>
          <w:bCs/>
          <w:sz w:val="24"/>
          <w:szCs w:val="24"/>
          <w:lang w:val="ru-RU"/>
        </w:rPr>
        <w:t>»</w:t>
      </w:r>
    </w:p>
    <w:p w:rsidR="00DE6069" w:rsidRPr="005B0A76" w:rsidRDefault="00DE6069" w:rsidP="00DE6069">
      <w:pPr>
        <w:pStyle w:val="af"/>
        <w:spacing w:before="0" w:after="60" w:line="300" w:lineRule="exact"/>
        <w:ind w:left="284" w:right="-162"/>
        <w:jc w:val="center"/>
        <w:rPr>
          <w:rFonts w:ascii="Times New Roman" w:hAnsi="Times New Roman" w:cs="Times New Roman"/>
          <w:bCs/>
          <w:sz w:val="24"/>
          <w:szCs w:val="24"/>
          <w:lang w:val="ru-RU"/>
        </w:rPr>
      </w:pPr>
      <w:r w:rsidRPr="005B0A76">
        <w:rPr>
          <w:rFonts w:ascii="Times New Roman" w:hAnsi="Times New Roman" w:cs="Times New Roman"/>
          <w:bCs/>
          <w:sz w:val="24"/>
          <w:szCs w:val="24"/>
          <w:lang w:val="ru-RU"/>
        </w:rPr>
        <w:t xml:space="preserve">(Правила доверительного управления Открытым паевым инвестиционным фондом фондов  «БКС – Зарубежные Фонды» зарегистрированы ФСФР России </w:t>
      </w:r>
    </w:p>
    <w:p w:rsidR="00DE6069" w:rsidRPr="005B0A76" w:rsidRDefault="00DE6069" w:rsidP="00DE6069">
      <w:pPr>
        <w:jc w:val="center"/>
        <w:rPr>
          <w:bCs/>
        </w:rPr>
      </w:pPr>
      <w:r w:rsidRPr="005B0A76">
        <w:rPr>
          <w:bCs/>
        </w:rPr>
        <w:t>за № 0133-58232502 от 10 сентября 2003</w:t>
      </w:r>
      <w:r>
        <w:rPr>
          <w:bCs/>
          <w:lang w:val="en-US"/>
        </w:rPr>
        <w:t xml:space="preserve"> </w:t>
      </w:r>
      <w:r w:rsidRPr="005B0A76">
        <w:rPr>
          <w:bCs/>
        </w:rPr>
        <w:t>г.)</w:t>
      </w:r>
    </w:p>
    <w:p w:rsidR="00EF7737" w:rsidRDefault="00EF7737" w:rsidP="00EF7737">
      <w:pPr>
        <w:pStyle w:val="af"/>
        <w:spacing w:before="0" w:after="60"/>
        <w:ind w:right="-162"/>
        <w:jc w:val="center"/>
        <w:rPr>
          <w:rFonts w:ascii="Times New Roman" w:hAnsi="Times New Roman" w:cs="Times New Roman"/>
          <w:b/>
          <w:bCs/>
          <w:sz w:val="22"/>
          <w:szCs w:val="22"/>
        </w:rPr>
      </w:pPr>
    </w:p>
    <w:p w:rsidR="00EF7737" w:rsidRPr="00EF7737" w:rsidRDefault="00EF7737" w:rsidP="00EF7737">
      <w:pPr>
        <w:pStyle w:val="af"/>
        <w:spacing w:before="0" w:after="60"/>
        <w:ind w:right="-162"/>
        <w:jc w:val="center"/>
        <w:rPr>
          <w:rFonts w:ascii="Times New Roman" w:hAnsi="Times New Roman" w:cs="Times New Roman"/>
          <w:b/>
          <w:bCs/>
          <w:sz w:val="22"/>
          <w:szCs w:val="22"/>
        </w:rPr>
      </w:pPr>
    </w:p>
    <w:p w:rsidR="005307C2" w:rsidRPr="00BA6A9E" w:rsidRDefault="005307C2" w:rsidP="005307C2">
      <w:pPr>
        <w:jc w:val="both"/>
        <w:rPr>
          <w:b/>
          <w:bCs/>
          <w:sz w:val="22"/>
          <w:szCs w:val="22"/>
        </w:rPr>
      </w:pPr>
    </w:p>
    <w:tbl>
      <w:tblPr>
        <w:tblW w:w="10255" w:type="dxa"/>
        <w:tblInd w:w="-792" w:type="dxa"/>
        <w:tblLook w:val="0000"/>
      </w:tblPr>
      <w:tblGrid>
        <w:gridCol w:w="4869"/>
        <w:gridCol w:w="5386"/>
      </w:tblGrid>
      <w:tr w:rsidR="00DE6069" w:rsidRPr="00BA6A9E" w:rsidTr="008B10F1">
        <w:trPr>
          <w:trHeight w:val="315"/>
        </w:trPr>
        <w:tc>
          <w:tcPr>
            <w:tcW w:w="4869"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ind w:right="34"/>
              <w:jc w:val="center"/>
              <w:rPr>
                <w:rFonts w:ascii="Times New Roman" w:hAnsi="Times New Roman" w:cs="Times New Roman"/>
                <w:b/>
                <w:bCs/>
                <w:sz w:val="22"/>
                <w:szCs w:val="22"/>
              </w:rPr>
            </w:pPr>
            <w:r w:rsidRPr="00BA6A9E">
              <w:rPr>
                <w:rFonts w:ascii="Times New Roman" w:hAnsi="Times New Roman" w:cs="Times New Roman"/>
                <w:b/>
                <w:bCs/>
                <w:sz w:val="22"/>
                <w:szCs w:val="22"/>
              </w:rPr>
              <w:t>Старая редакция</w:t>
            </w:r>
          </w:p>
          <w:p w:rsidR="00DE6069" w:rsidRPr="00BA6A9E" w:rsidRDefault="00DE6069" w:rsidP="008B10F1">
            <w:pPr>
              <w:pStyle w:val="af"/>
              <w:ind w:right="34"/>
              <w:jc w:val="center"/>
              <w:rPr>
                <w:rFonts w:ascii="Times New Roman" w:hAnsi="Times New Roman" w:cs="Times New Roman"/>
                <w:b/>
                <w:bCs/>
                <w:sz w:val="22"/>
                <w:szCs w:val="22"/>
              </w:rPr>
            </w:pPr>
          </w:p>
        </w:tc>
        <w:tc>
          <w:tcPr>
            <w:tcW w:w="5386" w:type="dxa"/>
            <w:tcBorders>
              <w:top w:val="single" w:sz="4" w:space="0" w:color="auto"/>
              <w:left w:val="single" w:sz="4" w:space="0" w:color="auto"/>
              <w:bottom w:val="single" w:sz="4" w:space="0" w:color="auto"/>
              <w:right w:val="single" w:sz="4" w:space="0" w:color="auto"/>
            </w:tcBorders>
          </w:tcPr>
          <w:p w:rsidR="00DE6069" w:rsidRPr="00BA6A9E" w:rsidRDefault="00DE6069" w:rsidP="008B10F1">
            <w:pPr>
              <w:pStyle w:val="af"/>
              <w:jc w:val="center"/>
              <w:rPr>
                <w:rFonts w:ascii="Times New Roman" w:hAnsi="Times New Roman" w:cs="Times New Roman"/>
                <w:b/>
                <w:bCs/>
                <w:sz w:val="22"/>
                <w:szCs w:val="22"/>
              </w:rPr>
            </w:pPr>
            <w:r w:rsidRPr="00BA6A9E">
              <w:rPr>
                <w:rFonts w:ascii="Times New Roman" w:hAnsi="Times New Roman" w:cs="Times New Roman"/>
                <w:b/>
                <w:bCs/>
                <w:sz w:val="22"/>
                <w:szCs w:val="22"/>
              </w:rPr>
              <w:t>Новая редакция</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773C48" w:rsidRPr="00773C48" w:rsidRDefault="00773C48" w:rsidP="00773C48">
            <w:pPr>
              <w:pStyle w:val="af"/>
              <w:jc w:val="both"/>
              <w:rPr>
                <w:rFonts w:ascii="Times New Roman" w:hAnsi="Times New Roman" w:cs="Times New Roman"/>
                <w:sz w:val="22"/>
                <w:szCs w:val="22"/>
                <w:lang w:val="ru-RU"/>
              </w:rPr>
            </w:pPr>
            <w:r w:rsidRPr="00773C48">
              <w:rPr>
                <w:rFonts w:ascii="Times New Roman" w:hAnsi="Times New Roman" w:cs="Times New Roman"/>
                <w:sz w:val="22"/>
                <w:szCs w:val="22"/>
                <w:lang w:val="ru-RU"/>
              </w:rPr>
              <w:t>Наименование</w:t>
            </w:r>
          </w:p>
          <w:p w:rsidR="00773C48" w:rsidRPr="00773C48" w:rsidRDefault="00773C48" w:rsidP="00773C48">
            <w:pPr>
              <w:pStyle w:val="af"/>
              <w:jc w:val="both"/>
              <w:rPr>
                <w:rFonts w:ascii="Times New Roman" w:hAnsi="Times New Roman" w:cs="Times New Roman"/>
                <w:sz w:val="22"/>
                <w:szCs w:val="22"/>
                <w:lang w:val="ru-RU"/>
              </w:rPr>
            </w:pPr>
            <w:r w:rsidRPr="00773C48">
              <w:rPr>
                <w:rFonts w:ascii="Times New Roman" w:hAnsi="Times New Roman" w:cs="Times New Roman"/>
                <w:sz w:val="22"/>
                <w:szCs w:val="22"/>
                <w:lang w:val="ru-RU"/>
              </w:rPr>
              <w:t>ПРАВИЛА</w:t>
            </w:r>
          </w:p>
          <w:p w:rsidR="00773C48" w:rsidRPr="00773C48" w:rsidRDefault="00773C48" w:rsidP="00773C48">
            <w:pPr>
              <w:pStyle w:val="af"/>
              <w:jc w:val="both"/>
              <w:rPr>
                <w:rFonts w:ascii="Times New Roman" w:hAnsi="Times New Roman" w:cs="Times New Roman"/>
                <w:sz w:val="22"/>
                <w:szCs w:val="22"/>
                <w:lang w:val="ru-RU"/>
              </w:rPr>
            </w:pPr>
            <w:r w:rsidRPr="00773C48">
              <w:rPr>
                <w:rFonts w:ascii="Times New Roman" w:hAnsi="Times New Roman" w:cs="Times New Roman"/>
                <w:sz w:val="22"/>
                <w:szCs w:val="22"/>
                <w:lang w:val="ru-RU"/>
              </w:rPr>
              <w:t>доверительного управления</w:t>
            </w:r>
          </w:p>
          <w:p w:rsidR="00DE6069" w:rsidRPr="00596ECC" w:rsidRDefault="00773C48" w:rsidP="00773C48">
            <w:pPr>
              <w:pStyle w:val="af"/>
              <w:spacing w:before="0" w:after="0"/>
              <w:jc w:val="both"/>
              <w:rPr>
                <w:rFonts w:ascii="Times New Roman" w:hAnsi="Times New Roman" w:cs="Times New Roman"/>
                <w:sz w:val="22"/>
                <w:szCs w:val="22"/>
                <w:lang w:val="ru-RU"/>
              </w:rPr>
            </w:pPr>
            <w:r w:rsidRPr="00773C48">
              <w:rPr>
                <w:rFonts w:ascii="Times New Roman" w:hAnsi="Times New Roman" w:cs="Times New Roman"/>
                <w:sz w:val="22"/>
                <w:szCs w:val="22"/>
                <w:lang w:val="ru-RU"/>
              </w:rPr>
              <w:t>Открытым паевым инвестиционным фондом  фондов «БКС Фонды США» под управлением Акционерного общества Управляющая компания «Брокеркредитсервис» (с внесенными изменениями и дополнениями)</w:t>
            </w:r>
          </w:p>
        </w:tc>
        <w:tc>
          <w:tcPr>
            <w:tcW w:w="5386" w:type="dxa"/>
            <w:tcBorders>
              <w:top w:val="single" w:sz="4" w:space="0" w:color="auto"/>
              <w:left w:val="single" w:sz="4" w:space="0" w:color="auto"/>
              <w:bottom w:val="single" w:sz="4" w:space="0" w:color="auto"/>
              <w:right w:val="single" w:sz="4" w:space="0" w:color="auto"/>
            </w:tcBorders>
          </w:tcPr>
          <w:p w:rsidR="00DE6069" w:rsidRPr="00596ECC" w:rsidRDefault="00DE6069" w:rsidP="00596ECC">
            <w:pPr>
              <w:jc w:val="both"/>
              <w:rPr>
                <w:sz w:val="22"/>
                <w:szCs w:val="22"/>
              </w:rPr>
            </w:pPr>
            <w:r w:rsidRPr="00596ECC">
              <w:rPr>
                <w:sz w:val="22"/>
                <w:szCs w:val="22"/>
              </w:rPr>
              <w:t>Наименование</w:t>
            </w:r>
          </w:p>
          <w:p w:rsidR="00DE6069" w:rsidRPr="00596ECC" w:rsidRDefault="00DE6069" w:rsidP="00596ECC">
            <w:pPr>
              <w:jc w:val="both"/>
              <w:rPr>
                <w:sz w:val="22"/>
                <w:szCs w:val="22"/>
              </w:rPr>
            </w:pPr>
            <w:r w:rsidRPr="00596ECC">
              <w:rPr>
                <w:sz w:val="22"/>
                <w:szCs w:val="22"/>
              </w:rPr>
              <w:t>ПРАВИЛА</w:t>
            </w:r>
          </w:p>
          <w:p w:rsidR="00DE6069" w:rsidRPr="00596ECC" w:rsidRDefault="00DE6069" w:rsidP="00596ECC">
            <w:pPr>
              <w:jc w:val="both"/>
              <w:rPr>
                <w:sz w:val="22"/>
                <w:szCs w:val="22"/>
              </w:rPr>
            </w:pPr>
            <w:r w:rsidRPr="00596ECC">
              <w:rPr>
                <w:sz w:val="22"/>
                <w:szCs w:val="22"/>
              </w:rPr>
              <w:t>доверительного управления</w:t>
            </w:r>
          </w:p>
          <w:p w:rsidR="00DE6069" w:rsidRPr="00596ECC" w:rsidRDefault="00DE6069" w:rsidP="00773C48">
            <w:pPr>
              <w:jc w:val="both"/>
              <w:rPr>
                <w:sz w:val="22"/>
                <w:szCs w:val="22"/>
              </w:rPr>
            </w:pPr>
            <w:r w:rsidRPr="00596ECC">
              <w:rPr>
                <w:sz w:val="22"/>
                <w:szCs w:val="22"/>
              </w:rPr>
              <w:t xml:space="preserve">Открытым паевым инвестиционным фондом  </w:t>
            </w:r>
            <w:r w:rsidR="00773C48">
              <w:rPr>
                <w:sz w:val="22"/>
                <w:szCs w:val="22"/>
              </w:rPr>
              <w:t>рыночных финансовых инструментов</w:t>
            </w:r>
            <w:r w:rsidRPr="00596ECC">
              <w:rPr>
                <w:sz w:val="22"/>
                <w:szCs w:val="22"/>
              </w:rPr>
              <w:t xml:space="preserve"> «БКС Фонды США» (с внесенными изменениями и дополнениями)</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596ECC" w:rsidRDefault="00773C48" w:rsidP="00596ECC">
            <w:pPr>
              <w:pStyle w:val="af"/>
              <w:spacing w:before="0" w:after="0"/>
              <w:jc w:val="both"/>
              <w:rPr>
                <w:rFonts w:ascii="Times New Roman" w:hAnsi="Times New Roman" w:cs="Times New Roman"/>
                <w:sz w:val="22"/>
                <w:szCs w:val="22"/>
                <w:lang w:val="ru-RU"/>
              </w:rPr>
            </w:pPr>
            <w:r w:rsidRPr="00773C48">
              <w:rPr>
                <w:rFonts w:ascii="Times New Roman" w:hAnsi="Times New Roman" w:cs="Times New Roman"/>
                <w:sz w:val="22"/>
                <w:szCs w:val="22"/>
                <w:lang w:val="ru-RU"/>
              </w:rPr>
              <w:t>1. Полное название паевого инвестиционного фонда  Открытый паевой инвестиционный фонд фондов «БКС Фонды США» (далее - фонд).</w:t>
            </w:r>
          </w:p>
        </w:tc>
        <w:tc>
          <w:tcPr>
            <w:tcW w:w="5386" w:type="dxa"/>
            <w:tcBorders>
              <w:top w:val="single" w:sz="4" w:space="0" w:color="auto"/>
              <w:left w:val="single" w:sz="4" w:space="0" w:color="auto"/>
              <w:bottom w:val="single" w:sz="4" w:space="0" w:color="auto"/>
              <w:right w:val="single" w:sz="4" w:space="0" w:color="auto"/>
            </w:tcBorders>
          </w:tcPr>
          <w:p w:rsidR="00DE6069" w:rsidRPr="00596ECC" w:rsidRDefault="00DE6069" w:rsidP="00B6578F">
            <w:pPr>
              <w:jc w:val="both"/>
              <w:rPr>
                <w:sz w:val="22"/>
                <w:szCs w:val="22"/>
              </w:rPr>
            </w:pPr>
            <w:r w:rsidRPr="00596ECC">
              <w:rPr>
                <w:sz w:val="22"/>
                <w:szCs w:val="22"/>
              </w:rPr>
              <w:t xml:space="preserve">1. Полное название паевого инвестиционного фонда  Открытый паевой инвестиционный фонд </w:t>
            </w:r>
            <w:r w:rsidR="00773C48">
              <w:rPr>
                <w:sz w:val="22"/>
                <w:szCs w:val="22"/>
              </w:rPr>
              <w:t>рыночных</w:t>
            </w:r>
            <w:r w:rsidR="00B6578F">
              <w:rPr>
                <w:sz w:val="22"/>
                <w:szCs w:val="22"/>
              </w:rPr>
              <w:t xml:space="preserve"> финансовых инструментов</w:t>
            </w:r>
            <w:r w:rsidRPr="00596ECC">
              <w:rPr>
                <w:sz w:val="22"/>
                <w:szCs w:val="22"/>
              </w:rPr>
              <w:t xml:space="preserve"> «БКС Фонды США» (далее - фонд).</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596ECC" w:rsidRDefault="00B6578F" w:rsidP="00596ECC">
            <w:pPr>
              <w:pStyle w:val="af"/>
              <w:spacing w:before="0" w:after="0"/>
              <w:jc w:val="both"/>
              <w:rPr>
                <w:rFonts w:ascii="Times New Roman" w:hAnsi="Times New Roman" w:cs="Times New Roman"/>
                <w:sz w:val="22"/>
                <w:szCs w:val="22"/>
                <w:lang w:val="ru-RU"/>
              </w:rPr>
            </w:pPr>
            <w:r w:rsidRPr="00B6578F">
              <w:rPr>
                <w:rFonts w:ascii="Times New Roman" w:hAnsi="Times New Roman" w:cs="Times New Roman"/>
                <w:sz w:val="22"/>
                <w:szCs w:val="22"/>
                <w:lang w:val="ru-RU"/>
              </w:rPr>
              <w:t>2</w:t>
            </w:r>
            <w:r w:rsidR="00773C48" w:rsidRPr="00773C48">
              <w:rPr>
                <w:rFonts w:ascii="Times New Roman" w:hAnsi="Times New Roman" w:cs="Times New Roman"/>
                <w:sz w:val="22"/>
                <w:szCs w:val="22"/>
                <w:lang w:val="ru-RU"/>
              </w:rPr>
              <w:t>. Краткое название фонда</w:t>
            </w:r>
            <w:r w:rsidR="002C7DC3">
              <w:rPr>
                <w:rFonts w:ascii="Times New Roman" w:hAnsi="Times New Roman" w:cs="Times New Roman"/>
                <w:sz w:val="22"/>
                <w:szCs w:val="22"/>
                <w:lang w:val="ru-RU"/>
              </w:rPr>
              <w:t>:</w:t>
            </w:r>
            <w:r w:rsidR="00773C48" w:rsidRPr="00773C48">
              <w:rPr>
                <w:rFonts w:ascii="Times New Roman" w:hAnsi="Times New Roman" w:cs="Times New Roman"/>
                <w:sz w:val="22"/>
                <w:szCs w:val="22"/>
                <w:lang w:val="ru-RU"/>
              </w:rPr>
              <w:t xml:space="preserve"> ОПИФ фондов «БКС Фонды США».</w:t>
            </w:r>
          </w:p>
        </w:tc>
        <w:tc>
          <w:tcPr>
            <w:tcW w:w="5386" w:type="dxa"/>
            <w:tcBorders>
              <w:top w:val="single" w:sz="4" w:space="0" w:color="auto"/>
              <w:left w:val="single" w:sz="4" w:space="0" w:color="auto"/>
              <w:bottom w:val="single" w:sz="4" w:space="0" w:color="auto"/>
              <w:right w:val="single" w:sz="4" w:space="0" w:color="auto"/>
            </w:tcBorders>
          </w:tcPr>
          <w:p w:rsidR="00DE6069" w:rsidRPr="00596ECC" w:rsidRDefault="00DE6069" w:rsidP="00773C48">
            <w:pPr>
              <w:jc w:val="both"/>
              <w:rPr>
                <w:sz w:val="22"/>
                <w:szCs w:val="22"/>
              </w:rPr>
            </w:pPr>
            <w:r w:rsidRPr="00596ECC">
              <w:rPr>
                <w:sz w:val="22"/>
                <w:szCs w:val="22"/>
              </w:rPr>
              <w:t>2. Краткое название фонда</w:t>
            </w:r>
            <w:r w:rsidR="002C7DC3">
              <w:rPr>
                <w:sz w:val="22"/>
                <w:szCs w:val="22"/>
              </w:rPr>
              <w:t xml:space="preserve"> </w:t>
            </w:r>
            <w:r w:rsidRPr="00596ECC">
              <w:rPr>
                <w:sz w:val="22"/>
                <w:szCs w:val="22"/>
              </w:rPr>
              <w:t xml:space="preserve">ОПИФ </w:t>
            </w:r>
            <w:r w:rsidR="00773C48">
              <w:rPr>
                <w:sz w:val="22"/>
                <w:szCs w:val="22"/>
              </w:rPr>
              <w:t>РФИ</w:t>
            </w:r>
            <w:r w:rsidRPr="00596ECC">
              <w:rPr>
                <w:sz w:val="22"/>
                <w:szCs w:val="22"/>
              </w:rPr>
              <w:t xml:space="preserve"> «БКС Фонды США».</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DE6069" w:rsidRPr="00596ECC" w:rsidRDefault="00391D4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4</w:t>
            </w:r>
            <w:r w:rsidR="00DE6069" w:rsidRPr="00596ECC">
              <w:rPr>
                <w:rFonts w:ascii="Times New Roman" w:hAnsi="Times New Roman" w:cs="Times New Roman"/>
                <w:sz w:val="22"/>
                <w:szCs w:val="22"/>
                <w:lang w:val="ru-RU"/>
              </w:rPr>
              <w:t xml:space="preserve">. </w:t>
            </w:r>
            <w:r w:rsidRPr="00596ECC">
              <w:rPr>
                <w:rFonts w:ascii="Times New Roman" w:hAnsi="Times New Roman" w:cs="Times New Roman"/>
                <w:sz w:val="22"/>
                <w:szCs w:val="22"/>
                <w:lang w:val="ru-RU"/>
              </w:rPr>
              <w:t>Полное фирменное наименование управляющей компании фонда  - Закрытое акционерное общество Управляющая компания «Брокеркредитсервис» (далее - управляющая компания).</w:t>
            </w:r>
          </w:p>
        </w:tc>
        <w:tc>
          <w:tcPr>
            <w:tcW w:w="5386" w:type="dxa"/>
            <w:tcBorders>
              <w:top w:val="single" w:sz="4" w:space="0" w:color="auto"/>
              <w:left w:val="single" w:sz="4" w:space="0" w:color="auto"/>
              <w:bottom w:val="single" w:sz="4" w:space="0" w:color="auto"/>
              <w:right w:val="single" w:sz="4" w:space="0" w:color="auto"/>
            </w:tcBorders>
          </w:tcPr>
          <w:p w:rsidR="00DE6069" w:rsidRPr="00596ECC" w:rsidRDefault="00391D4A" w:rsidP="00596ECC">
            <w:pPr>
              <w:jc w:val="both"/>
              <w:rPr>
                <w:sz w:val="22"/>
                <w:szCs w:val="22"/>
              </w:rPr>
            </w:pPr>
            <w:r w:rsidRPr="00596ECC">
              <w:rPr>
                <w:sz w:val="22"/>
                <w:szCs w:val="22"/>
              </w:rPr>
              <w:t>4. Полное фирменное наименование управляющей компании фонда  - Акционерное общество Управляющая компания «Брокеркредитсервис» (далее - управляющая компания).</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xml:space="preserve">22. Инвестиционная политика управляющей компании:  </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xml:space="preserve">Имущественные права из фьючерсных и опционных договоров (контрактов) могут составлять активы  при условии, что: </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lastRenderedPageBreak/>
              <w:t>1)</w:t>
            </w:r>
            <w:r w:rsidRPr="00596ECC">
              <w:rPr>
                <w:rFonts w:ascii="Times New Roman" w:hAnsi="Times New Roman" w:cs="Times New Roman"/>
                <w:sz w:val="22"/>
                <w:szCs w:val="22"/>
                <w:lang w:val="ru-RU"/>
              </w:rPr>
              <w:tab/>
              <w:t>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w:t>
            </w:r>
            <w:r w:rsidRPr="00596ECC">
              <w:rPr>
                <w:rFonts w:ascii="Times New Roman" w:hAnsi="Times New Roman" w:cs="Times New Roman"/>
                <w:sz w:val="22"/>
                <w:szCs w:val="22"/>
                <w:lang w:val="ru-RU"/>
              </w:rPr>
              <w:tab/>
              <w:t>сумма величин открытой длинной позиции  по всем фьючерсным и опционным контрактам  не превышает:</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сумму денежных средств, составляющих активы фонда и находящиеся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сумму денежных средств, включая иностранную валюту, составляющих активы фонда, на банковских счетах; и</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A07F5"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стоимость облигаций иных эмитентов, составляющих активы фонда, имеющих рейтинг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w:t>
            </w:r>
          </w:p>
          <w:p w:rsidR="00DE6069" w:rsidRPr="00596ECC" w:rsidRDefault="004A07F5"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386" w:type="dxa"/>
            <w:tcBorders>
              <w:top w:val="single" w:sz="4" w:space="0" w:color="auto"/>
              <w:left w:val="single" w:sz="4" w:space="0" w:color="auto"/>
              <w:bottom w:val="single" w:sz="4" w:space="0" w:color="auto"/>
              <w:right w:val="single" w:sz="4" w:space="0" w:color="auto"/>
            </w:tcBorders>
          </w:tcPr>
          <w:p w:rsidR="00FC4DA5" w:rsidRPr="00596ECC" w:rsidRDefault="00167A1A" w:rsidP="00596ECC">
            <w:pPr>
              <w:jc w:val="both"/>
              <w:rPr>
                <w:sz w:val="22"/>
                <w:szCs w:val="22"/>
              </w:rPr>
            </w:pPr>
            <w:r w:rsidRPr="00596ECC">
              <w:rPr>
                <w:sz w:val="22"/>
                <w:szCs w:val="22"/>
              </w:rPr>
              <w:lastRenderedPageBreak/>
              <w:t>22.</w:t>
            </w:r>
            <w:r w:rsidR="00FC4DA5" w:rsidRPr="00596ECC">
              <w:rPr>
                <w:sz w:val="22"/>
                <w:szCs w:val="22"/>
              </w:rPr>
              <w:t xml:space="preserve"> Инвестиционная политика управляющей компании:  </w:t>
            </w:r>
          </w:p>
          <w:p w:rsidR="00FC4DA5" w:rsidRPr="00596ECC" w:rsidRDefault="00FC4DA5" w:rsidP="00596ECC">
            <w:pPr>
              <w:jc w:val="both"/>
              <w:rPr>
                <w:sz w:val="22"/>
                <w:szCs w:val="22"/>
              </w:rPr>
            </w:pPr>
            <w:r w:rsidRPr="00596ECC">
              <w:rPr>
                <w:sz w:val="22"/>
                <w:szCs w:val="22"/>
              </w:rPr>
              <w:t>Инвестиционной политикой управляющей компании является долгосрочное вложение средств в ценные бумаги и вложение средств в имущественные права из фьючерсных и опционных договоров (контрактов).</w:t>
            </w:r>
          </w:p>
          <w:p w:rsidR="00DE6069" w:rsidRPr="00596ECC" w:rsidRDefault="009E3D6B" w:rsidP="009E3D6B">
            <w:pPr>
              <w:jc w:val="both"/>
              <w:rPr>
                <w:sz w:val="22"/>
                <w:szCs w:val="22"/>
              </w:rPr>
            </w:pPr>
            <w:r w:rsidRPr="009E3D6B">
              <w:rPr>
                <w:sz w:val="22"/>
                <w:szCs w:val="22"/>
              </w:rPr>
              <w:t xml:space="preserve">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w:t>
            </w:r>
            <w:r w:rsidRPr="009E3D6B">
              <w:rPr>
                <w:sz w:val="22"/>
                <w:szCs w:val="22"/>
              </w:rPr>
              <w:lastRenderedPageBreak/>
              <w:t>актива, в целях настоящих Правил под которым понимаются активы, указанные в подпункте 1 пункта 2</w:t>
            </w:r>
            <w:r>
              <w:rPr>
                <w:sz w:val="22"/>
                <w:szCs w:val="22"/>
              </w:rPr>
              <w:t>3</w:t>
            </w:r>
            <w:r w:rsidRPr="009E3D6B">
              <w:rPr>
                <w:sz w:val="22"/>
                <w:szCs w:val="22"/>
              </w:rPr>
              <w:t>.1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lastRenderedPageBreak/>
              <w:t>23.1. Имущество, составляющее фонд, может быть инвестировано 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 денежные средства, включая иностранную валюту, на счетах и во вкладах в кредитных организациях;</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 долговые инструменты;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xml:space="preserve">3) акции акционерных инвестиционных фондов </w:t>
            </w:r>
            <w:r w:rsidRPr="00596ECC">
              <w:rPr>
                <w:rFonts w:ascii="Times New Roman" w:hAnsi="Times New Roman" w:cs="Times New Roman"/>
                <w:sz w:val="22"/>
                <w:szCs w:val="22"/>
                <w:lang w:val="ru-RU"/>
              </w:rPr>
              <w:lastRenderedPageBreak/>
              <w:t>и инвестиционные паи паевых инвестиционных фондов, за исключением инвестиционных фондов, относящихся к категории фондов фондов;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4)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23.3 настоящих Правил, - значение "C", пятая буква - значение "S", "М", "C", "D" или "R",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5) российские и иностранные депозитарные расписки на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6) ипотечные сертификаты участия, выданные в соответствии с законодательством Российской Федерации;</w:t>
            </w:r>
          </w:p>
          <w:p w:rsidR="00DE6069"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7) имущественные права из фьючерсных и опционных договоров (контрактов), базовым активом которых является имущество (индекс), предусмотренное пунктом 23.6. настоящих Правил.</w:t>
            </w:r>
          </w:p>
        </w:tc>
        <w:tc>
          <w:tcPr>
            <w:tcW w:w="5386" w:type="dxa"/>
            <w:tcBorders>
              <w:top w:val="single" w:sz="4" w:space="0" w:color="auto"/>
              <w:left w:val="single" w:sz="4" w:space="0" w:color="auto"/>
              <w:bottom w:val="single" w:sz="4" w:space="0" w:color="auto"/>
              <w:right w:val="single" w:sz="4" w:space="0" w:color="auto"/>
            </w:tcBorders>
          </w:tcPr>
          <w:p w:rsidR="00FC4DA5" w:rsidRPr="00596ECC" w:rsidRDefault="00FC4DA5" w:rsidP="00596ECC">
            <w:pPr>
              <w:jc w:val="both"/>
              <w:rPr>
                <w:sz w:val="22"/>
                <w:szCs w:val="22"/>
              </w:rPr>
            </w:pPr>
            <w:r w:rsidRPr="00596ECC">
              <w:rPr>
                <w:sz w:val="22"/>
                <w:szCs w:val="22"/>
              </w:rPr>
              <w:lastRenderedPageBreak/>
              <w:t>23.1. Имущество, составляющее фонд, может быть инвестировано в:</w:t>
            </w:r>
          </w:p>
          <w:p w:rsidR="00FC4DA5" w:rsidRPr="00596ECC" w:rsidRDefault="00FC4DA5" w:rsidP="00596ECC">
            <w:pPr>
              <w:jc w:val="both"/>
              <w:rPr>
                <w:sz w:val="22"/>
                <w:szCs w:val="22"/>
              </w:rPr>
            </w:pPr>
            <w:r w:rsidRPr="00596ECC">
              <w:rPr>
                <w:sz w:val="22"/>
                <w:szCs w:val="22"/>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w:t>
            </w:r>
            <w:r w:rsidRPr="00596ECC">
              <w:rPr>
                <w:sz w:val="22"/>
                <w:szCs w:val="22"/>
              </w:rPr>
              <w:lastRenderedPageBreak/>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за исключением инвестиционных паев фондов для квалифицированных инвесторов:</w:t>
            </w:r>
          </w:p>
          <w:p w:rsidR="00FC4DA5" w:rsidRPr="00596ECC" w:rsidRDefault="00FC4DA5" w:rsidP="00596ECC">
            <w:pPr>
              <w:jc w:val="both"/>
              <w:rPr>
                <w:sz w:val="22"/>
                <w:szCs w:val="22"/>
              </w:rPr>
            </w:pPr>
            <w:r w:rsidRPr="00596ECC">
              <w:rPr>
                <w:sz w:val="22"/>
                <w:szCs w:val="22"/>
              </w:rPr>
              <w:t>- долговые инструменты;</w:t>
            </w:r>
          </w:p>
          <w:p w:rsidR="00FC4DA5" w:rsidRPr="00596ECC" w:rsidRDefault="00FC4DA5" w:rsidP="00596ECC">
            <w:pPr>
              <w:jc w:val="both"/>
              <w:rPr>
                <w:sz w:val="22"/>
                <w:szCs w:val="22"/>
              </w:rPr>
            </w:pPr>
            <w:r w:rsidRPr="00596ECC">
              <w:rPr>
                <w:sz w:val="22"/>
                <w:szCs w:val="22"/>
              </w:rPr>
              <w:t>- акции российских акционерных обществ, за исключением акций акционерных инвестиционных фондов;</w:t>
            </w:r>
          </w:p>
          <w:p w:rsidR="00FC4DA5" w:rsidRPr="00596ECC" w:rsidRDefault="00FC4DA5" w:rsidP="00596ECC">
            <w:pPr>
              <w:jc w:val="both"/>
              <w:rPr>
                <w:sz w:val="22"/>
                <w:szCs w:val="22"/>
              </w:rPr>
            </w:pPr>
            <w:r w:rsidRPr="00596ECC">
              <w:rPr>
                <w:sz w:val="22"/>
                <w:szCs w:val="22"/>
              </w:rPr>
              <w:t>- акции иностранных акционерных обществ;</w:t>
            </w:r>
          </w:p>
          <w:p w:rsidR="00337BFD" w:rsidRPr="00337BFD" w:rsidRDefault="00337BFD" w:rsidP="00337BFD">
            <w:pPr>
              <w:jc w:val="both"/>
              <w:rPr>
                <w:sz w:val="22"/>
                <w:szCs w:val="22"/>
              </w:rPr>
            </w:pPr>
            <w:r w:rsidRPr="00337BFD">
              <w:rPr>
                <w:sz w:val="22"/>
                <w:szCs w:val="22"/>
              </w:rPr>
              <w:t xml:space="preserve">- паи (акции) иностранных инвестиционных фондов, при этом: </w:t>
            </w:r>
          </w:p>
          <w:p w:rsidR="00337BFD" w:rsidRPr="00337BFD" w:rsidRDefault="00337BFD" w:rsidP="00337BFD">
            <w:pPr>
              <w:jc w:val="both"/>
              <w:rPr>
                <w:sz w:val="22"/>
                <w:szCs w:val="22"/>
              </w:rPr>
            </w:pPr>
            <w:r w:rsidRPr="00337BFD">
              <w:rPr>
                <w:sz w:val="22"/>
                <w:szCs w:val="22"/>
              </w:rPr>
              <w:t xml:space="preserve">а)  если код  CFI присвоен указанным паям (акциям) в соответствии с международным стандартом ISO 10962:2001, то он должен иметь следующие значения: третья буква - значение «O», или «C», пятая буква - значение </w:t>
            </w:r>
            <w:r w:rsidR="00AB2A3C">
              <w:rPr>
                <w:sz w:val="22"/>
                <w:szCs w:val="22"/>
              </w:rPr>
              <w:t>«</w:t>
            </w:r>
            <w:r w:rsidRPr="00337BFD">
              <w:rPr>
                <w:sz w:val="22"/>
                <w:szCs w:val="22"/>
              </w:rPr>
              <w:t>S</w:t>
            </w:r>
            <w:r w:rsidR="00AB2A3C">
              <w:rPr>
                <w:sz w:val="22"/>
                <w:szCs w:val="22"/>
              </w:rPr>
              <w:t>»</w:t>
            </w:r>
            <w:r w:rsidRPr="00337BFD">
              <w:rPr>
                <w:sz w:val="22"/>
                <w:szCs w:val="22"/>
              </w:rPr>
              <w:t xml:space="preserve">,  </w:t>
            </w:r>
            <w:r w:rsidR="00AB2A3C">
              <w:rPr>
                <w:sz w:val="22"/>
                <w:szCs w:val="22"/>
              </w:rPr>
              <w:t>или «</w:t>
            </w:r>
            <w:r w:rsidR="00AB2A3C">
              <w:rPr>
                <w:sz w:val="22"/>
                <w:szCs w:val="22"/>
                <w:lang w:val="en-US"/>
              </w:rPr>
              <w:t>M</w:t>
            </w:r>
            <w:r w:rsidR="00AB2A3C">
              <w:rPr>
                <w:sz w:val="22"/>
                <w:szCs w:val="22"/>
              </w:rPr>
              <w:t>», или «</w:t>
            </w:r>
            <w:r w:rsidRPr="00337BFD">
              <w:rPr>
                <w:sz w:val="22"/>
                <w:szCs w:val="22"/>
              </w:rPr>
              <w:t>C</w:t>
            </w:r>
            <w:r w:rsidR="00AB2A3C">
              <w:rPr>
                <w:sz w:val="22"/>
                <w:szCs w:val="22"/>
              </w:rPr>
              <w:t>»</w:t>
            </w:r>
            <w:r w:rsidRPr="00337BFD">
              <w:rPr>
                <w:sz w:val="22"/>
                <w:szCs w:val="22"/>
              </w:rPr>
              <w:t xml:space="preserve">, </w:t>
            </w:r>
            <w:r w:rsidR="00AB2A3C">
              <w:rPr>
                <w:sz w:val="22"/>
                <w:szCs w:val="22"/>
              </w:rPr>
              <w:t>или «D», или</w:t>
            </w:r>
            <w:r w:rsidRPr="00337BFD">
              <w:rPr>
                <w:sz w:val="22"/>
                <w:szCs w:val="22"/>
              </w:rPr>
              <w:t xml:space="preserve"> </w:t>
            </w:r>
            <w:r w:rsidR="00AB2A3C">
              <w:rPr>
                <w:sz w:val="22"/>
                <w:szCs w:val="22"/>
              </w:rPr>
              <w:t>«</w:t>
            </w:r>
            <w:r w:rsidR="00AB2A3C">
              <w:rPr>
                <w:sz w:val="22"/>
                <w:szCs w:val="22"/>
                <w:lang w:val="en-US"/>
              </w:rPr>
              <w:t>R</w:t>
            </w:r>
            <w:r w:rsidR="00AB2A3C">
              <w:rPr>
                <w:sz w:val="22"/>
                <w:szCs w:val="22"/>
              </w:rPr>
              <w:t>»</w:t>
            </w:r>
            <w:r w:rsidRPr="00337BFD">
              <w:rPr>
                <w:sz w:val="22"/>
                <w:szCs w:val="22"/>
              </w:rPr>
              <w:t>,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337BFD" w:rsidRPr="00337BFD" w:rsidRDefault="00337BFD" w:rsidP="00337BFD">
            <w:pPr>
              <w:jc w:val="both"/>
              <w:rPr>
                <w:sz w:val="22"/>
                <w:szCs w:val="22"/>
              </w:rPr>
            </w:pPr>
            <w:r w:rsidRPr="00337BFD">
              <w:rPr>
                <w:sz w:val="22"/>
                <w:szCs w:val="22"/>
              </w:rPr>
              <w:t>или</w:t>
            </w:r>
          </w:p>
          <w:p w:rsidR="00FC4DA5" w:rsidRPr="00596ECC" w:rsidRDefault="00337BFD" w:rsidP="00337BFD">
            <w:pPr>
              <w:jc w:val="both"/>
              <w:rPr>
                <w:sz w:val="22"/>
                <w:szCs w:val="22"/>
              </w:rPr>
            </w:pPr>
            <w:r w:rsidRPr="00337BFD">
              <w:rPr>
                <w:sz w:val="22"/>
                <w:szCs w:val="22"/>
              </w:rPr>
              <w:t>б) если код  CFI присвоен указанным паям (акциям) присвоен в соответствии с международным стандартом ISO 10962:2015, то он должен иметь следующие значения: третья буква  – значение «О» либо «C», пятая буква  – значение «</w:t>
            </w:r>
            <w:r w:rsidRPr="00337BFD">
              <w:rPr>
                <w:sz w:val="22"/>
                <w:szCs w:val="22"/>
                <w:lang w:val="en-US"/>
              </w:rPr>
              <w:t>B</w:t>
            </w:r>
            <w:r w:rsidRPr="00337BFD">
              <w:rPr>
                <w:sz w:val="22"/>
                <w:szCs w:val="22"/>
              </w:rPr>
              <w:t>», или «</w:t>
            </w:r>
            <w:r w:rsidRPr="00337BFD">
              <w:rPr>
                <w:sz w:val="22"/>
                <w:szCs w:val="22"/>
                <w:lang w:val="en-US"/>
              </w:rPr>
              <w:t>L</w:t>
            </w:r>
            <w:r w:rsidRPr="00337BFD">
              <w:rPr>
                <w:sz w:val="22"/>
                <w:szCs w:val="22"/>
              </w:rPr>
              <w:t>», или «С», или «D», или «М»</w:t>
            </w:r>
            <w:r w:rsidR="00510AE5">
              <w:rPr>
                <w:sz w:val="22"/>
                <w:szCs w:val="22"/>
              </w:rPr>
              <w:t xml:space="preserve"> или «Е», или «</w:t>
            </w:r>
            <w:r w:rsidR="00510AE5">
              <w:rPr>
                <w:sz w:val="22"/>
                <w:szCs w:val="22"/>
                <w:lang w:val="en-US"/>
              </w:rPr>
              <w:t>V</w:t>
            </w:r>
            <w:r w:rsidR="00882B55">
              <w:rPr>
                <w:sz w:val="22"/>
                <w:szCs w:val="22"/>
              </w:rPr>
              <w:t>»</w:t>
            </w:r>
            <w:r w:rsidRPr="00337BFD">
              <w:rPr>
                <w:sz w:val="22"/>
                <w:szCs w:val="22"/>
              </w:rPr>
              <w:t>;</w:t>
            </w:r>
          </w:p>
          <w:p w:rsidR="00FC4DA5" w:rsidRPr="00596ECC" w:rsidRDefault="00FC4DA5" w:rsidP="00596ECC">
            <w:pPr>
              <w:jc w:val="both"/>
              <w:rPr>
                <w:sz w:val="22"/>
                <w:szCs w:val="22"/>
              </w:rPr>
            </w:pPr>
            <w:r w:rsidRPr="00596ECC">
              <w:rPr>
                <w:sz w:val="22"/>
                <w:szCs w:val="22"/>
              </w:rPr>
              <w:t>- российские и иностранные депозитарные расписки на паи (акции) иностранных инвестиционных фондов, за исключением паев (акций) иностранных инвестиционных фондов, которые в соответствии с личным законом иностранного эмитента являются фондами фондов;</w:t>
            </w:r>
          </w:p>
          <w:p w:rsidR="00FC4DA5" w:rsidRPr="00596ECC" w:rsidRDefault="00FC4DA5" w:rsidP="00596ECC">
            <w:pPr>
              <w:jc w:val="both"/>
              <w:rPr>
                <w:sz w:val="22"/>
                <w:szCs w:val="22"/>
              </w:rPr>
            </w:pPr>
            <w:r w:rsidRPr="00596ECC">
              <w:rPr>
                <w:sz w:val="22"/>
                <w:szCs w:val="22"/>
              </w:rPr>
              <w:t>- ипотечные сертификаты участия, выданные в соответствии с законодательством Российской Федерации;</w:t>
            </w:r>
          </w:p>
          <w:p w:rsidR="00FC4DA5" w:rsidRPr="00596ECC" w:rsidRDefault="00FC4DA5" w:rsidP="00596ECC">
            <w:pPr>
              <w:jc w:val="both"/>
              <w:rPr>
                <w:sz w:val="22"/>
                <w:szCs w:val="22"/>
              </w:rPr>
            </w:pPr>
            <w:r w:rsidRPr="00596ECC">
              <w:rPr>
                <w:sz w:val="22"/>
                <w:szCs w:val="22"/>
              </w:rPr>
              <w:t>- производные финансовые инструменты (фьючерсные и опционные договоры (контракты)) при соблюдении условий, предусмотренных пунктом 23.4 настоящих Правил;</w:t>
            </w:r>
          </w:p>
          <w:p w:rsidR="00FC4DA5" w:rsidRPr="00596ECC" w:rsidRDefault="00FC4DA5" w:rsidP="00596ECC">
            <w:pPr>
              <w:jc w:val="both"/>
              <w:rPr>
                <w:sz w:val="22"/>
                <w:szCs w:val="22"/>
              </w:rPr>
            </w:pPr>
            <w:r w:rsidRPr="00596ECC">
              <w:rPr>
                <w:sz w:val="22"/>
                <w:szCs w:val="22"/>
              </w:rPr>
              <w:t xml:space="preserve">2)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 </w:t>
            </w:r>
          </w:p>
          <w:p w:rsidR="00FC4DA5" w:rsidRPr="00596ECC" w:rsidRDefault="00FC4DA5" w:rsidP="00596ECC">
            <w:pPr>
              <w:jc w:val="both"/>
              <w:rPr>
                <w:sz w:val="22"/>
                <w:szCs w:val="22"/>
              </w:rPr>
            </w:pPr>
            <w:r w:rsidRPr="00596ECC">
              <w:rPr>
                <w:sz w:val="22"/>
                <w:szCs w:val="22"/>
              </w:rPr>
              <w:t xml:space="preserve">К ценным бумагам, предусмотренным настоящим абзацем, относятся ценные бумаги, не подпадающие под требования подпункта 1 пункта 23.1. настоящих Правил </w:t>
            </w:r>
          </w:p>
          <w:p w:rsidR="00FC4DA5" w:rsidRPr="00596ECC" w:rsidRDefault="00FC4DA5" w:rsidP="00596ECC">
            <w:pPr>
              <w:jc w:val="both"/>
              <w:rPr>
                <w:sz w:val="22"/>
                <w:szCs w:val="22"/>
              </w:rPr>
            </w:pPr>
            <w:r w:rsidRPr="00596ECC">
              <w:rPr>
                <w:sz w:val="22"/>
                <w:szCs w:val="22"/>
              </w:rPr>
              <w:t xml:space="preserve">3) </w:t>
            </w:r>
            <w:r w:rsidR="00927769" w:rsidRPr="00927769">
              <w:rPr>
                <w:sz w:val="22"/>
                <w:szCs w:val="22"/>
              </w:rPr>
              <w:t>инвестиционные паи открытых паевых инвестиционных фондов, относящихся к категории фондов рыночных финансовых инструментов, фондов денежного рынка,  фондов облигаций, фондов акций,  фондов смешанных инвестиций,  индексных фондов;</w:t>
            </w:r>
          </w:p>
          <w:p w:rsidR="00FC4DA5" w:rsidRPr="00596ECC" w:rsidRDefault="00FC4DA5" w:rsidP="00596ECC">
            <w:pPr>
              <w:jc w:val="both"/>
              <w:rPr>
                <w:sz w:val="22"/>
                <w:szCs w:val="22"/>
              </w:rPr>
            </w:pPr>
            <w:r w:rsidRPr="00596ECC">
              <w:rPr>
                <w:sz w:val="22"/>
                <w:szCs w:val="22"/>
              </w:rPr>
              <w:t>4) права требования из договоров, заключенных для целей доверительного управления в отношении указанных активов;</w:t>
            </w:r>
          </w:p>
          <w:p w:rsidR="00DE6069" w:rsidRPr="00596ECC" w:rsidRDefault="00FC4DA5" w:rsidP="00596ECC">
            <w:pPr>
              <w:jc w:val="both"/>
              <w:rPr>
                <w:sz w:val="22"/>
                <w:szCs w:val="22"/>
              </w:rPr>
            </w:pPr>
            <w:r w:rsidRPr="00596ECC">
              <w:rPr>
                <w:sz w:val="22"/>
                <w:szCs w:val="22"/>
              </w:rPr>
              <w:t>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lastRenderedPageBreak/>
              <w:t xml:space="preserve">23.2. В целях настоящих Правил под долговыми инструментами понимаются: </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б) биржевые облигации российских хозяйственных обществ;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д) российские и иностранные депозитарные расписки на ценные бумаги, предусмотренные настоящим пунктом.</w:t>
            </w:r>
          </w:p>
        </w:tc>
        <w:tc>
          <w:tcPr>
            <w:tcW w:w="5386" w:type="dxa"/>
            <w:tcBorders>
              <w:top w:val="single" w:sz="4" w:space="0" w:color="auto"/>
              <w:left w:val="single" w:sz="4" w:space="0" w:color="auto"/>
              <w:bottom w:val="single" w:sz="4" w:space="0" w:color="auto"/>
              <w:right w:val="single" w:sz="4" w:space="0" w:color="auto"/>
            </w:tcBorders>
          </w:tcPr>
          <w:p w:rsidR="00FC4DA5" w:rsidRPr="00596ECC" w:rsidRDefault="00FC4DA5" w:rsidP="00596ECC">
            <w:pPr>
              <w:jc w:val="both"/>
              <w:rPr>
                <w:sz w:val="22"/>
                <w:szCs w:val="22"/>
              </w:rPr>
            </w:pPr>
            <w:r w:rsidRPr="00596ECC">
              <w:rPr>
                <w:sz w:val="22"/>
                <w:szCs w:val="22"/>
              </w:rPr>
              <w:t xml:space="preserve">23.2. В целях настоящих Правил под долговыми инструментами понимаются: </w:t>
            </w:r>
          </w:p>
          <w:p w:rsidR="00FC4DA5" w:rsidRPr="00596ECC" w:rsidRDefault="00FC4DA5" w:rsidP="00596ECC">
            <w:pPr>
              <w:jc w:val="both"/>
              <w:rPr>
                <w:sz w:val="22"/>
                <w:szCs w:val="22"/>
              </w:rPr>
            </w:pPr>
            <w:r w:rsidRPr="00596ECC">
              <w:rPr>
                <w:sz w:val="22"/>
                <w:szCs w:val="22"/>
              </w:rPr>
              <w:t>а) облигации российских юридических лиц;</w:t>
            </w:r>
          </w:p>
          <w:p w:rsidR="00FC4DA5" w:rsidRPr="00596ECC" w:rsidRDefault="00FC4DA5" w:rsidP="00596ECC">
            <w:pPr>
              <w:jc w:val="both"/>
              <w:rPr>
                <w:sz w:val="22"/>
                <w:szCs w:val="22"/>
              </w:rPr>
            </w:pPr>
            <w:r w:rsidRPr="00596ECC">
              <w:rPr>
                <w:sz w:val="22"/>
                <w:szCs w:val="22"/>
              </w:rPr>
              <w:t xml:space="preserve">б) </w:t>
            </w:r>
            <w:r w:rsidR="00592B6D" w:rsidRPr="00592B6D">
              <w:rPr>
                <w:sz w:val="22"/>
                <w:szCs w:val="22"/>
              </w:rPr>
              <w:t>государственные ценные бумаги Российской Федерации,</w:t>
            </w:r>
            <w:r w:rsidR="00592B6D">
              <w:rPr>
                <w:sz w:val="22"/>
                <w:szCs w:val="22"/>
              </w:rPr>
              <w:t xml:space="preserve"> </w:t>
            </w:r>
            <w:r w:rsidRPr="00596ECC">
              <w:rPr>
                <w:sz w:val="22"/>
                <w:szCs w:val="22"/>
              </w:rPr>
              <w:t>государственные ценные бумаги субъектов Российской Федерации и муниципальные ценные бумаги;</w:t>
            </w:r>
          </w:p>
          <w:p w:rsidR="00E72961" w:rsidRPr="0026180D" w:rsidRDefault="00FC4DA5" w:rsidP="0026180D">
            <w:pPr>
              <w:jc w:val="both"/>
              <w:rPr>
                <w:sz w:val="22"/>
                <w:szCs w:val="22"/>
              </w:rPr>
            </w:pPr>
            <w:r w:rsidRPr="00596ECC">
              <w:rPr>
                <w:sz w:val="22"/>
                <w:szCs w:val="22"/>
              </w:rPr>
              <w:t>в) облигации иностранных эмитентов и международных финансовых организаций (далее вместе - об</w:t>
            </w:r>
            <w:r w:rsidR="0026180D">
              <w:rPr>
                <w:sz w:val="22"/>
                <w:szCs w:val="22"/>
              </w:rPr>
              <w:t>лигации иностранных эмитентов).</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Имущество, составляющее Фонд, может быть инвестировано в инвестиционные паи следующих паевых инвестиционных фондов: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  открытые, интервальные и закрытые фонды денежного рынка;</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 открытые, интервальные и закрытые фонды облигаций;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3) открытые, интервальные и закрытые фонды акций;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4) открытые, интервальные и закрытые фонды смешанных инвестиций;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5) закрытые фонды прямых инвестиций;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6) закрытые фонды особо рисковых (венчурных) инвестиций;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7) закрытые рентные фонды;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8) закрытые фонды недвижимости;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9) закрытые ипотечные фонды;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10) открытые, интервальные и закрытые индексные фонды;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11) закрытые кредитные фонды;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12) интервальные и закрытые фонды товарного рынка;</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13) интервальные и закрытые хедж-фонды;</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14) закрытые фонды художественных ценностей.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В состав активов Фонда могут входить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 Американская фондовая биржа (American Stock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 Гонконгская фондовая биржа (Hong Kong Stock Exchange);</w:t>
            </w:r>
          </w:p>
          <w:p w:rsidR="00167A1A" w:rsidRPr="00596ECC" w:rsidRDefault="00167A1A" w:rsidP="00596ECC">
            <w:pPr>
              <w:pStyle w:val="af"/>
              <w:spacing w:before="0" w:after="0"/>
              <w:jc w:val="both"/>
              <w:rPr>
                <w:rFonts w:ascii="Times New Roman" w:hAnsi="Times New Roman" w:cs="Times New Roman"/>
                <w:sz w:val="22"/>
                <w:szCs w:val="22"/>
              </w:rPr>
            </w:pPr>
            <w:r w:rsidRPr="00596ECC">
              <w:rPr>
                <w:rFonts w:ascii="Times New Roman" w:hAnsi="Times New Roman" w:cs="Times New Roman"/>
                <w:sz w:val="22"/>
                <w:szCs w:val="22"/>
              </w:rPr>
              <w:t xml:space="preserve">3) </w:t>
            </w:r>
            <w:r w:rsidRPr="00596ECC">
              <w:rPr>
                <w:rFonts w:ascii="Times New Roman" w:hAnsi="Times New Roman" w:cs="Times New Roman"/>
                <w:sz w:val="22"/>
                <w:szCs w:val="22"/>
                <w:lang w:val="ru-RU"/>
              </w:rPr>
              <w:t>Евронекст</w:t>
            </w:r>
            <w:r w:rsidRPr="00596ECC">
              <w:rPr>
                <w:rFonts w:ascii="Times New Roman" w:hAnsi="Times New Roman" w:cs="Times New Roman"/>
                <w:sz w:val="22"/>
                <w:szCs w:val="22"/>
              </w:rPr>
              <w:t xml:space="preserve"> (Euronext Amsterdam, Euronext Brussels, Euronext Lisbon, Euronext Paris);</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4) Закрытое акционерное общество "Фондовая биржа ММВБ";</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5) Ирландская фондовая биржа (Irish Stock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6) Испанская фондовая биржа (BME Spanish Exchanges);</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7) Итальянская фондовая биржа (Borsa Italiana);</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8) Корейская биржа (Korea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9) Лондонская фондовая биржа (London Stock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10) Люксембургская фондовая биржа (Luxembourg Stock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11) Насдак (Nasdaq);</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12) Немецкая фондовая биржа (Deutsche Borse);</w:t>
            </w:r>
          </w:p>
          <w:p w:rsidR="00167A1A" w:rsidRPr="00596ECC" w:rsidRDefault="00167A1A" w:rsidP="00596ECC">
            <w:pPr>
              <w:pStyle w:val="af"/>
              <w:spacing w:before="0" w:after="0"/>
              <w:jc w:val="both"/>
              <w:rPr>
                <w:rFonts w:ascii="Times New Roman" w:hAnsi="Times New Roman" w:cs="Times New Roman"/>
                <w:sz w:val="22"/>
                <w:szCs w:val="22"/>
              </w:rPr>
            </w:pPr>
            <w:r w:rsidRPr="00596ECC">
              <w:rPr>
                <w:rFonts w:ascii="Times New Roman" w:hAnsi="Times New Roman" w:cs="Times New Roman"/>
                <w:sz w:val="22"/>
                <w:szCs w:val="22"/>
              </w:rPr>
              <w:t xml:space="preserve">13) </w:t>
            </w:r>
            <w:r w:rsidRPr="00596ECC">
              <w:rPr>
                <w:rFonts w:ascii="Times New Roman" w:hAnsi="Times New Roman" w:cs="Times New Roman"/>
                <w:sz w:val="22"/>
                <w:szCs w:val="22"/>
                <w:lang w:val="ru-RU"/>
              </w:rPr>
              <w:t>Нью</w:t>
            </w:r>
            <w:r w:rsidRPr="00596ECC">
              <w:rPr>
                <w:rFonts w:ascii="Times New Roman" w:hAnsi="Times New Roman" w:cs="Times New Roman"/>
                <w:sz w:val="22"/>
                <w:szCs w:val="22"/>
              </w:rPr>
              <w:t>-</w:t>
            </w:r>
            <w:r w:rsidRPr="00596ECC">
              <w:rPr>
                <w:rFonts w:ascii="Times New Roman" w:hAnsi="Times New Roman" w:cs="Times New Roman"/>
                <w:sz w:val="22"/>
                <w:szCs w:val="22"/>
                <w:lang w:val="ru-RU"/>
              </w:rPr>
              <w:t>Йоркская</w:t>
            </w:r>
            <w:r w:rsidRPr="00596ECC">
              <w:rPr>
                <w:rFonts w:ascii="Times New Roman" w:hAnsi="Times New Roman" w:cs="Times New Roman"/>
                <w:sz w:val="22"/>
                <w:szCs w:val="22"/>
              </w:rPr>
              <w:t xml:space="preserve"> </w:t>
            </w:r>
            <w:r w:rsidRPr="00596ECC">
              <w:rPr>
                <w:rFonts w:ascii="Times New Roman" w:hAnsi="Times New Roman" w:cs="Times New Roman"/>
                <w:sz w:val="22"/>
                <w:szCs w:val="22"/>
                <w:lang w:val="ru-RU"/>
              </w:rPr>
              <w:t>фондовая</w:t>
            </w:r>
            <w:r w:rsidRPr="00596ECC">
              <w:rPr>
                <w:rFonts w:ascii="Times New Roman" w:hAnsi="Times New Roman" w:cs="Times New Roman"/>
                <w:sz w:val="22"/>
                <w:szCs w:val="22"/>
              </w:rPr>
              <w:t xml:space="preserve"> </w:t>
            </w:r>
            <w:r w:rsidRPr="00596ECC">
              <w:rPr>
                <w:rFonts w:ascii="Times New Roman" w:hAnsi="Times New Roman" w:cs="Times New Roman"/>
                <w:sz w:val="22"/>
                <w:szCs w:val="22"/>
                <w:lang w:val="ru-RU"/>
              </w:rPr>
              <w:t>биржа</w:t>
            </w:r>
            <w:r w:rsidRPr="00596ECC">
              <w:rPr>
                <w:rFonts w:ascii="Times New Roman" w:hAnsi="Times New Roman" w:cs="Times New Roman"/>
                <w:sz w:val="22"/>
                <w:szCs w:val="22"/>
              </w:rPr>
              <w:t xml:space="preserve"> (New York Stock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14) Открытое акционерное общество "Фондовая биржа "Российская Торговая Система";</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15) Токийская фондовая биржа (Tokyo Stock Exchange Group);</w:t>
            </w:r>
          </w:p>
          <w:p w:rsidR="00167A1A" w:rsidRPr="00596ECC" w:rsidRDefault="00167A1A" w:rsidP="00596ECC">
            <w:pPr>
              <w:pStyle w:val="af"/>
              <w:spacing w:before="0" w:after="0"/>
              <w:jc w:val="both"/>
              <w:rPr>
                <w:rFonts w:ascii="Times New Roman" w:hAnsi="Times New Roman" w:cs="Times New Roman"/>
                <w:sz w:val="22"/>
                <w:szCs w:val="22"/>
              </w:rPr>
            </w:pPr>
            <w:r w:rsidRPr="00596ECC">
              <w:rPr>
                <w:rFonts w:ascii="Times New Roman" w:hAnsi="Times New Roman" w:cs="Times New Roman"/>
                <w:sz w:val="22"/>
                <w:szCs w:val="22"/>
              </w:rPr>
              <w:t xml:space="preserve">16) </w:t>
            </w:r>
            <w:r w:rsidRPr="00596ECC">
              <w:rPr>
                <w:rFonts w:ascii="Times New Roman" w:hAnsi="Times New Roman" w:cs="Times New Roman"/>
                <w:sz w:val="22"/>
                <w:szCs w:val="22"/>
                <w:lang w:val="ru-RU"/>
              </w:rPr>
              <w:t>Фондовая</w:t>
            </w:r>
            <w:r w:rsidRPr="00596ECC">
              <w:rPr>
                <w:rFonts w:ascii="Times New Roman" w:hAnsi="Times New Roman" w:cs="Times New Roman"/>
                <w:sz w:val="22"/>
                <w:szCs w:val="22"/>
              </w:rPr>
              <w:t xml:space="preserve"> </w:t>
            </w:r>
            <w:r w:rsidRPr="00596ECC">
              <w:rPr>
                <w:rFonts w:ascii="Times New Roman" w:hAnsi="Times New Roman" w:cs="Times New Roman"/>
                <w:sz w:val="22"/>
                <w:szCs w:val="22"/>
                <w:lang w:val="ru-RU"/>
              </w:rPr>
              <w:t>биржа</w:t>
            </w:r>
            <w:r w:rsidRPr="00596ECC">
              <w:rPr>
                <w:rFonts w:ascii="Times New Roman" w:hAnsi="Times New Roman" w:cs="Times New Roman"/>
                <w:sz w:val="22"/>
                <w:szCs w:val="22"/>
              </w:rPr>
              <w:t xml:space="preserve"> </w:t>
            </w:r>
            <w:r w:rsidRPr="00596ECC">
              <w:rPr>
                <w:rFonts w:ascii="Times New Roman" w:hAnsi="Times New Roman" w:cs="Times New Roman"/>
                <w:sz w:val="22"/>
                <w:szCs w:val="22"/>
                <w:lang w:val="ru-RU"/>
              </w:rPr>
              <w:t>Торонто</w:t>
            </w:r>
            <w:r w:rsidRPr="00596ECC">
              <w:rPr>
                <w:rFonts w:ascii="Times New Roman" w:hAnsi="Times New Roman" w:cs="Times New Roman"/>
                <w:sz w:val="22"/>
                <w:szCs w:val="22"/>
              </w:rPr>
              <w:t xml:space="preserve"> (Toronto Stock Exchange, TSX Group);</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17) Фондовая биржа Швейцарии (Swiss Exchange);</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18) Шанхайская фондовая биржа (Shanghai Stock Exchange).</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а также на паи (акции) иностранных инвестиционных фондов  открытого типа.</w:t>
            </w:r>
          </w:p>
        </w:tc>
        <w:tc>
          <w:tcPr>
            <w:tcW w:w="5386" w:type="dxa"/>
            <w:tcBorders>
              <w:top w:val="single" w:sz="4" w:space="0" w:color="auto"/>
              <w:left w:val="single" w:sz="4" w:space="0" w:color="auto"/>
              <w:bottom w:val="single" w:sz="4" w:space="0" w:color="auto"/>
              <w:right w:val="single" w:sz="4" w:space="0" w:color="auto"/>
            </w:tcBorders>
          </w:tcPr>
          <w:p w:rsidR="00FC4DA5" w:rsidRPr="00596ECC" w:rsidRDefault="00FC4DA5" w:rsidP="00596ECC">
            <w:pPr>
              <w:jc w:val="both"/>
              <w:rPr>
                <w:sz w:val="22"/>
                <w:szCs w:val="22"/>
              </w:rPr>
            </w:pPr>
            <w:r w:rsidRPr="00596ECC">
              <w:rPr>
                <w:sz w:val="22"/>
                <w:szCs w:val="22"/>
              </w:rPr>
              <w:t>23.3. Лица, обязанные по:</w:t>
            </w:r>
          </w:p>
          <w:p w:rsidR="00FC4DA5" w:rsidRPr="00596ECC" w:rsidRDefault="00FC4DA5" w:rsidP="00596ECC">
            <w:pPr>
              <w:jc w:val="both"/>
              <w:rPr>
                <w:sz w:val="22"/>
                <w:szCs w:val="22"/>
              </w:rPr>
            </w:pPr>
            <w:r w:rsidRPr="00596ECC">
              <w:rPr>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акциям российских акционерных обществ,  инвестиционным паям открытых паевых инвестиционных фондов, ипотечным сертификатам участия, российским депозитарным распискам, депозитным сертификатам российских кредитных организаций, должны быть зарегистрированы в Российской Федерации;</w:t>
            </w:r>
          </w:p>
          <w:p w:rsidR="00FC4DA5" w:rsidRPr="00596ECC" w:rsidRDefault="00FC4DA5" w:rsidP="00596ECC">
            <w:pPr>
              <w:jc w:val="both"/>
              <w:rPr>
                <w:sz w:val="22"/>
                <w:szCs w:val="22"/>
              </w:rPr>
            </w:pPr>
            <w:r w:rsidRPr="00596ECC">
              <w:rPr>
                <w:sz w:val="22"/>
                <w:szCs w:val="22"/>
              </w:rPr>
              <w:t>- облигациям иностранных эмитентов и международных</w:t>
            </w:r>
          </w:p>
          <w:p w:rsidR="00FC4DA5" w:rsidRPr="00596ECC" w:rsidRDefault="00FC4DA5" w:rsidP="00596ECC">
            <w:pPr>
              <w:jc w:val="both"/>
              <w:rPr>
                <w:sz w:val="22"/>
                <w:szCs w:val="22"/>
              </w:rPr>
            </w:pPr>
            <w:r w:rsidRPr="00596ECC">
              <w:rPr>
                <w:sz w:val="22"/>
                <w:szCs w:val="22"/>
              </w:rPr>
              <w:t>финансовых организаций,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FC4DA5" w:rsidRPr="00596ECC" w:rsidRDefault="00FC4DA5" w:rsidP="00596ECC">
            <w:pPr>
              <w:jc w:val="both"/>
              <w:rPr>
                <w:sz w:val="22"/>
                <w:szCs w:val="22"/>
              </w:rPr>
            </w:pPr>
            <w:r w:rsidRPr="00596ECC">
              <w:rPr>
                <w:sz w:val="22"/>
                <w:szCs w:val="22"/>
              </w:rPr>
              <w:t>-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23.1.</w:t>
            </w:r>
          </w:p>
          <w:p w:rsidR="00FC4DA5" w:rsidRPr="00596ECC" w:rsidRDefault="00FC4DA5" w:rsidP="00596ECC">
            <w:pPr>
              <w:jc w:val="both"/>
              <w:rPr>
                <w:sz w:val="22"/>
                <w:szCs w:val="22"/>
              </w:rPr>
            </w:pPr>
            <w:r w:rsidRPr="00596ECC">
              <w:rPr>
                <w:sz w:val="22"/>
                <w:szCs w:val="22"/>
              </w:rPr>
              <w:t>Имущество, составляющее Фонд, может быть инвестировано в облигации, эмитентами которых могут быть:</w:t>
            </w:r>
          </w:p>
          <w:p w:rsidR="00FC4DA5" w:rsidRPr="00596ECC" w:rsidRDefault="00FC4DA5" w:rsidP="00596ECC">
            <w:pPr>
              <w:jc w:val="both"/>
              <w:rPr>
                <w:sz w:val="22"/>
                <w:szCs w:val="22"/>
              </w:rPr>
            </w:pPr>
            <w:r w:rsidRPr="00596ECC">
              <w:rPr>
                <w:sz w:val="22"/>
                <w:szCs w:val="22"/>
              </w:rPr>
              <w:t>- российские органы государственной власти;</w:t>
            </w:r>
          </w:p>
          <w:p w:rsidR="00FC4DA5" w:rsidRPr="00596ECC" w:rsidRDefault="00FC4DA5" w:rsidP="00596ECC">
            <w:pPr>
              <w:jc w:val="both"/>
              <w:rPr>
                <w:sz w:val="22"/>
                <w:szCs w:val="22"/>
              </w:rPr>
            </w:pPr>
            <w:r w:rsidRPr="00596ECC">
              <w:rPr>
                <w:sz w:val="22"/>
                <w:szCs w:val="22"/>
              </w:rPr>
              <w:t>- иностранные органы государственной власти;</w:t>
            </w:r>
          </w:p>
          <w:p w:rsidR="00FC4DA5" w:rsidRPr="00596ECC" w:rsidRDefault="00FC4DA5" w:rsidP="00596ECC">
            <w:pPr>
              <w:jc w:val="both"/>
              <w:rPr>
                <w:sz w:val="22"/>
                <w:szCs w:val="22"/>
              </w:rPr>
            </w:pPr>
            <w:r w:rsidRPr="00596ECC">
              <w:rPr>
                <w:sz w:val="22"/>
                <w:szCs w:val="22"/>
              </w:rPr>
              <w:t>- органы местного самоуправления;</w:t>
            </w:r>
          </w:p>
          <w:p w:rsidR="00FC4DA5" w:rsidRPr="00596ECC" w:rsidRDefault="00FC4DA5" w:rsidP="00596ECC">
            <w:pPr>
              <w:jc w:val="both"/>
              <w:rPr>
                <w:sz w:val="22"/>
                <w:szCs w:val="22"/>
              </w:rPr>
            </w:pPr>
            <w:r w:rsidRPr="00596ECC">
              <w:rPr>
                <w:sz w:val="22"/>
                <w:szCs w:val="22"/>
              </w:rPr>
              <w:t>- международные финансовые организации;</w:t>
            </w:r>
          </w:p>
          <w:p w:rsidR="00FC4DA5" w:rsidRPr="00596ECC" w:rsidRDefault="00FC4DA5" w:rsidP="00596ECC">
            <w:pPr>
              <w:jc w:val="both"/>
              <w:rPr>
                <w:sz w:val="22"/>
                <w:szCs w:val="22"/>
              </w:rPr>
            </w:pPr>
            <w:r w:rsidRPr="00596ECC">
              <w:rPr>
                <w:sz w:val="22"/>
                <w:szCs w:val="22"/>
              </w:rPr>
              <w:t>- российские юридические лица;</w:t>
            </w:r>
          </w:p>
          <w:p w:rsidR="00E72961" w:rsidRPr="00596ECC" w:rsidRDefault="00FC4DA5" w:rsidP="00596ECC">
            <w:pPr>
              <w:jc w:val="both"/>
              <w:rPr>
                <w:sz w:val="22"/>
                <w:szCs w:val="22"/>
              </w:rPr>
            </w:pPr>
            <w:r w:rsidRPr="00596ECC">
              <w:rPr>
                <w:sz w:val="22"/>
                <w:szCs w:val="22"/>
              </w:rPr>
              <w:t>- иностранные юридические лица.</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23.4. Лица, обязанные по:</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ценным бумагам иностранных государств, облигациям иностранных эмитентов и международных</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финансовых организаций, паям (акциям) иностранных инвестиционных фондов, акциям иностранных акционерных обществ, иностранным депозитарным распискам должны быть зарегистрированы в одном из следующих государств: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Соединенном Королевстве Великобритании и Северной Ирландии (включая ее зависимые территории и коронные владения), Малайзии, Мексике, Остров Мэн, Новой Зеландии, Папуа-Новой Гвинее, Норвегии, Перу, Республике Маршалловы Острова, Сингапуре, Соединённых Штатах Америки, Таиланде, Тайване, Филиппинах, Чили, Швейцарии, Южной Корее, Японии.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Имущество, составляющее Фонд, может быть инвестировано в облигации, эмитентами которых могут быть:</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российские органы государственной власти;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иностранные органы государственной власти;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органы местного самоуправления;</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международные финансовые организации;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российские юридические лица;</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 иностранные юридические лица.</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Ценные бумаги, составляющие фонд, могут быть как включены, так и не включены в котировальные списки фондовых бирж.</w:t>
            </w:r>
          </w:p>
        </w:tc>
        <w:tc>
          <w:tcPr>
            <w:tcW w:w="5386" w:type="dxa"/>
            <w:tcBorders>
              <w:top w:val="single" w:sz="4" w:space="0" w:color="auto"/>
              <w:left w:val="single" w:sz="4" w:space="0" w:color="auto"/>
              <w:bottom w:val="single" w:sz="4" w:space="0" w:color="auto"/>
              <w:right w:val="single" w:sz="4" w:space="0" w:color="auto"/>
            </w:tcBorders>
          </w:tcPr>
          <w:p w:rsidR="00E72961" w:rsidRPr="00596ECC" w:rsidRDefault="00FC4DA5" w:rsidP="00596ECC">
            <w:pPr>
              <w:jc w:val="both"/>
              <w:rPr>
                <w:sz w:val="22"/>
                <w:szCs w:val="22"/>
              </w:rPr>
            </w:pPr>
            <w:r w:rsidRPr="00596ECC">
              <w:rPr>
                <w:sz w:val="22"/>
                <w:szCs w:val="22"/>
              </w:rPr>
              <w:t xml:space="preserve">23.4. </w:t>
            </w:r>
            <w:r w:rsidR="00091985" w:rsidRPr="00091985">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подпункте 1 п. 23.1 настоящих Правил (в том числе изменения значения индекса, рассчитываемого исходя из стоимости данных активов), а также денежных средств в иностранной валюте, от величины процентных ставок, уровня инфляции, курсов валют.</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23.5.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а) ценная бумага включена в котировальные списки "А" или "Б" российской фондовой биржи;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1 миллион долларов США для облигаций, акций (паев) иностранных инвестиционных фондов и депозитарных расписок;</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д) на торговый день, предшествующий текущему дню, в информационной системе Блумберг (Bloomberg) были одновременно выставлены заявки на покупку и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c>
          <w:tcPr>
            <w:tcW w:w="5386" w:type="dxa"/>
            <w:tcBorders>
              <w:top w:val="single" w:sz="4" w:space="0" w:color="auto"/>
              <w:left w:val="single" w:sz="4" w:space="0" w:color="auto"/>
              <w:bottom w:val="single" w:sz="4" w:space="0" w:color="auto"/>
              <w:right w:val="single" w:sz="4" w:space="0" w:color="auto"/>
            </w:tcBorders>
          </w:tcPr>
          <w:p w:rsidR="00E72961" w:rsidRPr="00596ECC" w:rsidRDefault="00FC4DA5" w:rsidP="00596ECC">
            <w:pPr>
              <w:jc w:val="both"/>
              <w:rPr>
                <w:sz w:val="22"/>
                <w:szCs w:val="22"/>
              </w:rPr>
            </w:pPr>
            <w:r w:rsidRPr="00596ECC">
              <w:rPr>
                <w:sz w:val="22"/>
                <w:szCs w:val="22"/>
              </w:rPr>
              <w:t>23.5. Акции, составляющие активы фонда, могут быть как обыкновенными, так и привилегированными.</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23.6. Под базовым активом фьючерсных и опционных договоров (контрактов), указанных в подпункте 7 пункта 23.1. настоящих Правил понимаются:</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а) индексы, рассчитанные фондовыми биржами только  по соответствующему виду ценных бумаг (облигациям), предусмотренных п. 23.1. настоящих Правил;</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б) имущество, указанное в подпунктах 1-6 п. 23.1. настоящих Правил;</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в) имущественные права из фьючерсных договоров (контрактов), базовым активом которых является имущество или индекс предусмотренные  подпунктами «а» и «б» настоящего пункта.</w:t>
            </w:r>
          </w:p>
        </w:tc>
        <w:tc>
          <w:tcPr>
            <w:tcW w:w="5386" w:type="dxa"/>
            <w:tcBorders>
              <w:top w:val="single" w:sz="4" w:space="0" w:color="auto"/>
              <w:left w:val="single" w:sz="4" w:space="0" w:color="auto"/>
              <w:bottom w:val="single" w:sz="4" w:space="0" w:color="auto"/>
              <w:right w:val="single" w:sz="4" w:space="0" w:color="auto"/>
            </w:tcBorders>
          </w:tcPr>
          <w:p w:rsidR="00E72961" w:rsidRPr="00596ECC" w:rsidRDefault="00FC4DA5" w:rsidP="00596ECC">
            <w:pPr>
              <w:jc w:val="both"/>
              <w:rPr>
                <w:sz w:val="22"/>
                <w:szCs w:val="22"/>
              </w:rPr>
            </w:pPr>
            <w:r w:rsidRPr="00596ECC">
              <w:rPr>
                <w:sz w:val="22"/>
                <w:szCs w:val="22"/>
              </w:rPr>
              <w:t>23.6. 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24. Структура активов Фонда должна одновременно соответствовать следующим требованиям:</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 оценочная стоимость ценных бумаг одного эмитента  (инвестиционного фонда, ипотечного покрытия)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«ВааЗ»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3) не менее двух третей рабочих дней в течение одного календарного квартала оценочная стоимость инвестиционных паев паевых инвестиционных фондов, акций акционерных  инвестиционных фондов и ипотечных сертификатов участия, а также паев (акций) иностранных инвестиционных фондов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4) оценочная стоимость инвестиционных паев паевых инвестиционных фондов, ипотечных сертификатов участия, акций акционерных инвестиционных фондов, паев (акций) иностранных инвестиционных фондов, которые (активы которых)  находятся в управлении  (доверительном управлении) одной управляющей компании (управляющего), может  составлять не более 35 процентов стоимости активов;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5) оценочная стоимость неликвидных ценных бумаг может составлять не более 10 процентов стоимости активов;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6)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государстве и прошедшие процедуру листинга хотя бы на одной из фондовых бирж, указанных в п. 23.3. настоящих Правил;</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7) количество инвестиционных паев паевого инвестиционного фонда, ипотечных сертификатов участия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паев (акций) каждого из этих фондов (ипотечных покрытий);</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Требования настоящего пункта применяются до даты возникновения основания прекращения Фонда.</w:t>
            </w:r>
          </w:p>
        </w:tc>
        <w:tc>
          <w:tcPr>
            <w:tcW w:w="5386" w:type="dxa"/>
            <w:tcBorders>
              <w:top w:val="single" w:sz="4" w:space="0" w:color="auto"/>
              <w:left w:val="single" w:sz="4" w:space="0" w:color="auto"/>
              <w:bottom w:val="single" w:sz="4" w:space="0" w:color="auto"/>
              <w:right w:val="single" w:sz="4" w:space="0" w:color="auto"/>
            </w:tcBorders>
          </w:tcPr>
          <w:p w:rsidR="00E72961" w:rsidRPr="00596ECC" w:rsidRDefault="00596ECC" w:rsidP="00596ECC">
            <w:pPr>
              <w:jc w:val="both"/>
              <w:rPr>
                <w:sz w:val="22"/>
                <w:szCs w:val="22"/>
              </w:rPr>
            </w:pPr>
            <w:r w:rsidRPr="00596ECC">
              <w:rPr>
                <w:sz w:val="22"/>
                <w:szCs w:val="22"/>
              </w:rPr>
              <w:t>24. Структура активов Фонда должна соответствовать следующим требованиям:</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24.1.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67A1A"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386" w:type="dxa"/>
            <w:tcBorders>
              <w:top w:val="single" w:sz="4" w:space="0" w:color="auto"/>
              <w:left w:val="single" w:sz="4" w:space="0" w:color="auto"/>
              <w:bottom w:val="single" w:sz="4" w:space="0" w:color="auto"/>
              <w:right w:val="single" w:sz="4" w:space="0" w:color="auto"/>
            </w:tcBorders>
          </w:tcPr>
          <w:p w:rsidR="00596ECC" w:rsidRPr="00596ECC" w:rsidRDefault="00596ECC" w:rsidP="00596ECC">
            <w:pPr>
              <w:jc w:val="both"/>
              <w:rPr>
                <w:sz w:val="22"/>
                <w:szCs w:val="22"/>
              </w:rPr>
            </w:pPr>
            <w:r w:rsidRPr="00596ECC">
              <w:rPr>
                <w:sz w:val="22"/>
                <w:szCs w:val="22"/>
              </w:rPr>
              <w:t>24.1. 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E72961" w:rsidRPr="00596ECC" w:rsidRDefault="00596ECC" w:rsidP="00596ECC">
            <w:pPr>
              <w:jc w:val="both"/>
              <w:rPr>
                <w:sz w:val="22"/>
                <w:szCs w:val="22"/>
              </w:rPr>
            </w:pPr>
            <w:r w:rsidRPr="00596ECC">
              <w:rPr>
                <w:sz w:val="22"/>
                <w:szCs w:val="22"/>
              </w:rPr>
              <w:t>Для целей п. 24 настоящих Правил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tc>
      </w:tr>
      <w:tr w:rsidR="00E72961"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72961" w:rsidRPr="00596ECC" w:rsidRDefault="00167A1A"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24.2. Отсутствует.</w:t>
            </w:r>
          </w:p>
        </w:tc>
        <w:tc>
          <w:tcPr>
            <w:tcW w:w="5386" w:type="dxa"/>
            <w:tcBorders>
              <w:top w:val="single" w:sz="4" w:space="0" w:color="auto"/>
              <w:left w:val="single" w:sz="4" w:space="0" w:color="auto"/>
              <w:bottom w:val="single" w:sz="4" w:space="0" w:color="auto"/>
              <w:right w:val="single" w:sz="4" w:space="0" w:color="auto"/>
            </w:tcBorders>
          </w:tcPr>
          <w:p w:rsidR="00596ECC" w:rsidRPr="00596ECC" w:rsidRDefault="00596ECC" w:rsidP="00596ECC">
            <w:pPr>
              <w:jc w:val="both"/>
              <w:rPr>
                <w:sz w:val="22"/>
                <w:szCs w:val="22"/>
              </w:rPr>
            </w:pPr>
            <w:r w:rsidRPr="00596ECC">
              <w:rPr>
                <w:sz w:val="22"/>
                <w:szCs w:val="22"/>
              </w:rPr>
              <w:t>24.2.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Указании Банка России от 05.09.2016 № 4129-У «О составе и структуре активов акционерных инвестиционных фондов и активов паевых инвестиционных фондов», от стоимости чистых активов фонда в совокупности должна превышать большую из следующих величин:</w:t>
            </w:r>
          </w:p>
          <w:p w:rsidR="00596ECC" w:rsidRPr="00596ECC" w:rsidRDefault="00596ECC" w:rsidP="00596ECC">
            <w:pPr>
              <w:jc w:val="both"/>
              <w:rPr>
                <w:sz w:val="22"/>
                <w:szCs w:val="22"/>
              </w:rPr>
            </w:pPr>
            <w:r w:rsidRPr="00596ECC">
              <w:rPr>
                <w:sz w:val="22"/>
                <w:szCs w:val="22"/>
              </w:rPr>
              <w:t>пять процентов;</w:t>
            </w:r>
          </w:p>
          <w:p w:rsidR="00596ECC" w:rsidRPr="00596ECC" w:rsidRDefault="00596ECC" w:rsidP="00596ECC">
            <w:pPr>
              <w:jc w:val="both"/>
              <w:rPr>
                <w:sz w:val="22"/>
                <w:szCs w:val="22"/>
              </w:rPr>
            </w:pPr>
            <w:r w:rsidRPr="00596ECC">
              <w:rPr>
                <w:sz w:val="22"/>
                <w:szCs w:val="22"/>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96ECC" w:rsidRPr="00596ECC" w:rsidRDefault="00596ECC" w:rsidP="00596ECC">
            <w:pPr>
              <w:jc w:val="both"/>
              <w:rPr>
                <w:sz w:val="22"/>
                <w:szCs w:val="22"/>
              </w:rPr>
            </w:pPr>
            <w:r w:rsidRPr="00596ECC">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E72961" w:rsidRPr="00596ECC" w:rsidRDefault="00596ECC" w:rsidP="00596ECC">
            <w:pPr>
              <w:jc w:val="both"/>
              <w:rPr>
                <w:sz w:val="22"/>
                <w:szCs w:val="22"/>
              </w:rPr>
            </w:pPr>
            <w:r w:rsidRPr="00596ECC">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167A1A"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jc w:val="both"/>
              <w:rPr>
                <w:sz w:val="22"/>
                <w:szCs w:val="22"/>
              </w:rPr>
            </w:pPr>
            <w:r w:rsidRPr="00596ECC">
              <w:rPr>
                <w:sz w:val="22"/>
                <w:szCs w:val="22"/>
              </w:rPr>
              <w:t>24.3. Отсутствует.</w:t>
            </w:r>
          </w:p>
        </w:tc>
        <w:tc>
          <w:tcPr>
            <w:tcW w:w="5386" w:type="dxa"/>
            <w:tcBorders>
              <w:top w:val="single" w:sz="4" w:space="0" w:color="auto"/>
              <w:left w:val="single" w:sz="4" w:space="0" w:color="auto"/>
              <w:bottom w:val="single" w:sz="4" w:space="0" w:color="auto"/>
              <w:right w:val="single" w:sz="4" w:space="0" w:color="auto"/>
            </w:tcBorders>
          </w:tcPr>
          <w:p w:rsidR="00596ECC" w:rsidRPr="00596ECC" w:rsidRDefault="00596ECC" w:rsidP="00596ECC">
            <w:pPr>
              <w:jc w:val="both"/>
              <w:rPr>
                <w:sz w:val="22"/>
                <w:szCs w:val="22"/>
              </w:rPr>
            </w:pPr>
            <w:r w:rsidRPr="00596ECC">
              <w:rPr>
                <w:sz w:val="22"/>
                <w:szCs w:val="22"/>
              </w:rPr>
              <w:t>24.3.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596ECC" w:rsidRPr="00596ECC" w:rsidRDefault="00596ECC" w:rsidP="00596ECC">
            <w:pPr>
              <w:jc w:val="both"/>
              <w:rPr>
                <w:sz w:val="22"/>
                <w:szCs w:val="22"/>
              </w:rPr>
            </w:pPr>
            <w:r w:rsidRPr="00596ECC">
              <w:rPr>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96ECC" w:rsidRPr="00596ECC" w:rsidRDefault="00596ECC" w:rsidP="00596ECC">
            <w:pPr>
              <w:jc w:val="both"/>
              <w:rPr>
                <w:sz w:val="22"/>
                <w:szCs w:val="22"/>
              </w:rPr>
            </w:pPr>
            <w:r w:rsidRPr="00596ECC">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абз.1 п. 24.3 настоящих Правил),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167A1A" w:rsidRPr="00596ECC" w:rsidRDefault="00596ECC" w:rsidP="00596ECC">
            <w:pPr>
              <w:jc w:val="both"/>
              <w:rPr>
                <w:sz w:val="22"/>
                <w:szCs w:val="22"/>
              </w:rPr>
            </w:pPr>
            <w:r w:rsidRPr="00596ECC">
              <w:rPr>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tc>
      </w:tr>
      <w:tr w:rsidR="00167A1A"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jc w:val="both"/>
              <w:rPr>
                <w:sz w:val="22"/>
                <w:szCs w:val="22"/>
              </w:rPr>
            </w:pPr>
            <w:r w:rsidRPr="00596ECC">
              <w:rPr>
                <w:sz w:val="22"/>
                <w:szCs w:val="22"/>
              </w:rPr>
              <w:t>24.4. Отсутствует.</w:t>
            </w:r>
          </w:p>
        </w:tc>
        <w:tc>
          <w:tcPr>
            <w:tcW w:w="5386" w:type="dxa"/>
            <w:tcBorders>
              <w:top w:val="single" w:sz="4" w:space="0" w:color="auto"/>
              <w:left w:val="single" w:sz="4" w:space="0" w:color="auto"/>
              <w:bottom w:val="single" w:sz="4" w:space="0" w:color="auto"/>
              <w:right w:val="single" w:sz="4" w:space="0" w:color="auto"/>
            </w:tcBorders>
          </w:tcPr>
          <w:p w:rsidR="00596ECC" w:rsidRPr="00596ECC" w:rsidRDefault="00596ECC" w:rsidP="00596ECC">
            <w:pPr>
              <w:jc w:val="both"/>
              <w:rPr>
                <w:sz w:val="22"/>
                <w:szCs w:val="22"/>
              </w:rPr>
            </w:pPr>
            <w:r w:rsidRPr="00596ECC">
              <w:rPr>
                <w:sz w:val="22"/>
                <w:szCs w:val="22"/>
              </w:rPr>
              <w:t>24.4. 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«Об инвестиционных фондах», в совокупности не должны превышать 40 процентов стоимости чистых активов фонда.</w:t>
            </w:r>
          </w:p>
          <w:p w:rsidR="00596ECC" w:rsidRPr="00596ECC" w:rsidRDefault="00596ECC" w:rsidP="00596ECC">
            <w:pPr>
              <w:jc w:val="both"/>
              <w:rPr>
                <w:sz w:val="22"/>
                <w:szCs w:val="22"/>
              </w:rPr>
            </w:pPr>
            <w:r w:rsidRPr="00596ECC">
              <w:rPr>
                <w:sz w:val="22"/>
                <w:szCs w:val="22"/>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первом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от 29 ноября 2001 г. № 156-ФЗ «Об инвестиционных фондах», не должна превышать 20 процентов стоимости чистых активов фонда.</w:t>
            </w:r>
          </w:p>
          <w:p w:rsidR="00596ECC" w:rsidRPr="00596ECC" w:rsidRDefault="00596ECC" w:rsidP="00596ECC">
            <w:pPr>
              <w:jc w:val="both"/>
              <w:rPr>
                <w:sz w:val="22"/>
                <w:szCs w:val="22"/>
              </w:rPr>
            </w:pPr>
            <w:r w:rsidRPr="00596ECC">
              <w:rPr>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596ECC" w:rsidRPr="00596ECC" w:rsidRDefault="00596ECC" w:rsidP="00596ECC">
            <w:pPr>
              <w:jc w:val="both"/>
              <w:rPr>
                <w:sz w:val="22"/>
                <w:szCs w:val="22"/>
              </w:rPr>
            </w:pPr>
            <w:r w:rsidRPr="00596ECC">
              <w:rPr>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репо могут быть только активы, включаемые в состав активов фонда в соответствии с п. 23 настоящих Правил. </w:t>
            </w:r>
          </w:p>
          <w:p w:rsidR="00596ECC" w:rsidRPr="00596ECC" w:rsidRDefault="00596ECC" w:rsidP="00596ECC">
            <w:pPr>
              <w:jc w:val="both"/>
              <w:rPr>
                <w:sz w:val="22"/>
                <w:szCs w:val="22"/>
              </w:rPr>
            </w:pPr>
            <w:r w:rsidRPr="00596ECC">
              <w:rPr>
                <w:sz w:val="22"/>
                <w:szCs w:val="22"/>
              </w:rPr>
              <w:t xml:space="preserve">Для целей абзаца первого и второго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167A1A" w:rsidRPr="00596ECC" w:rsidRDefault="00596ECC" w:rsidP="00596ECC">
            <w:pPr>
              <w:jc w:val="both"/>
              <w:rPr>
                <w:sz w:val="22"/>
                <w:szCs w:val="22"/>
              </w:rPr>
            </w:pPr>
            <w:r w:rsidRPr="00596ECC">
              <w:rPr>
                <w:sz w:val="22"/>
                <w:szCs w:val="22"/>
              </w:rPr>
              <w:t>Требования п. 24.1-24.4 настоящих Правил применяются до даты возникновения основания прекращения фонда.</w:t>
            </w:r>
          </w:p>
        </w:tc>
      </w:tr>
      <w:tr w:rsidR="00167A1A"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167A1A" w:rsidRPr="00596ECC" w:rsidRDefault="00167A1A" w:rsidP="00596ECC">
            <w:pPr>
              <w:jc w:val="both"/>
              <w:rPr>
                <w:sz w:val="22"/>
                <w:szCs w:val="22"/>
              </w:rPr>
            </w:pPr>
            <w:r w:rsidRPr="00596ECC">
              <w:rPr>
                <w:sz w:val="22"/>
                <w:szCs w:val="22"/>
              </w:rPr>
              <w:t>24.5. Отсутствует.</w:t>
            </w:r>
          </w:p>
        </w:tc>
        <w:tc>
          <w:tcPr>
            <w:tcW w:w="5386" w:type="dxa"/>
            <w:tcBorders>
              <w:top w:val="single" w:sz="4" w:space="0" w:color="auto"/>
              <w:left w:val="single" w:sz="4" w:space="0" w:color="auto"/>
              <w:bottom w:val="single" w:sz="4" w:space="0" w:color="auto"/>
              <w:right w:val="single" w:sz="4" w:space="0" w:color="auto"/>
            </w:tcBorders>
          </w:tcPr>
          <w:p w:rsidR="00167A1A" w:rsidRPr="00596ECC" w:rsidRDefault="00596ECC" w:rsidP="00596ECC">
            <w:pPr>
              <w:jc w:val="both"/>
              <w:rPr>
                <w:sz w:val="22"/>
                <w:szCs w:val="22"/>
              </w:rPr>
            </w:pPr>
            <w:r w:rsidRPr="00596ECC">
              <w:rPr>
                <w:sz w:val="22"/>
                <w:szCs w:val="22"/>
              </w:rPr>
              <w:t>24.5.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w:t>
            </w:r>
          </w:p>
        </w:tc>
      </w:tr>
      <w:tr w:rsidR="00DE6069" w:rsidRPr="00BA6A9E" w:rsidTr="008B10F1">
        <w:trPr>
          <w:trHeight w:val="135"/>
        </w:trPr>
        <w:tc>
          <w:tcPr>
            <w:tcW w:w="4869" w:type="dxa"/>
            <w:tcBorders>
              <w:top w:val="single" w:sz="4" w:space="0" w:color="auto"/>
              <w:left w:val="single" w:sz="4" w:space="0" w:color="auto"/>
              <w:bottom w:val="single" w:sz="4" w:space="0" w:color="auto"/>
              <w:right w:val="single" w:sz="4" w:space="0" w:color="auto"/>
            </w:tcBorders>
          </w:tcPr>
          <w:p w:rsidR="00E72961"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83. Инвестиционные паи могут обмениваться на инвестиционные паи следующих паевых инвестиционных фондов:</w:t>
            </w:r>
          </w:p>
          <w:p w:rsidR="00E72961"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w:t>
            </w:r>
            <w:r w:rsidRPr="00596ECC">
              <w:rPr>
                <w:rFonts w:ascii="Times New Roman" w:hAnsi="Times New Roman" w:cs="Times New Roman"/>
                <w:sz w:val="22"/>
                <w:szCs w:val="22"/>
                <w:lang w:val="ru-RU"/>
              </w:rPr>
              <w:tab/>
              <w:t>Открытый паевой инвестиционный фонд смешанных инвестиций «БКС Перспектива»,</w:t>
            </w:r>
          </w:p>
          <w:p w:rsidR="00E72961"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w:t>
            </w:r>
            <w:r w:rsidRPr="00596ECC">
              <w:rPr>
                <w:rFonts w:ascii="Times New Roman" w:hAnsi="Times New Roman" w:cs="Times New Roman"/>
                <w:sz w:val="22"/>
                <w:szCs w:val="22"/>
                <w:lang w:val="ru-RU"/>
              </w:rPr>
              <w:tab/>
              <w:t>Открытый паевой инвестиционный фонд облигаций «БКС Основа»,</w:t>
            </w:r>
          </w:p>
          <w:p w:rsidR="00E72961"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w:t>
            </w:r>
            <w:r w:rsidRPr="00596ECC">
              <w:rPr>
                <w:rFonts w:ascii="Times New Roman" w:hAnsi="Times New Roman" w:cs="Times New Roman"/>
                <w:sz w:val="22"/>
                <w:szCs w:val="22"/>
                <w:lang w:val="ru-RU"/>
              </w:rPr>
              <w:tab/>
              <w:t>Открытый паевой инвестиционный фонд смешанных инвестиций «БКС Империя»,</w:t>
            </w:r>
          </w:p>
          <w:p w:rsidR="00E72961"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w:t>
            </w:r>
            <w:r w:rsidRPr="00596ECC">
              <w:rPr>
                <w:rFonts w:ascii="Times New Roman" w:hAnsi="Times New Roman" w:cs="Times New Roman"/>
                <w:sz w:val="22"/>
                <w:szCs w:val="22"/>
                <w:lang w:val="ru-RU"/>
              </w:rPr>
              <w:tab/>
              <w:t>Открытый индексный паевой инвестиционный Фонд «БКС Индекс ММВБ»,</w:t>
            </w:r>
          </w:p>
          <w:p w:rsidR="00DE6069" w:rsidRPr="00596ECC" w:rsidRDefault="00E72961" w:rsidP="00596ECC">
            <w:pPr>
              <w:pStyle w:val="af"/>
              <w:spacing w:before="0" w:after="0"/>
              <w:jc w:val="both"/>
              <w:rPr>
                <w:rFonts w:ascii="Times New Roman" w:hAnsi="Times New Roman" w:cs="Times New Roman"/>
                <w:sz w:val="22"/>
                <w:szCs w:val="22"/>
                <w:lang w:val="ru-RU"/>
              </w:rPr>
            </w:pPr>
            <w:r w:rsidRPr="00596ECC">
              <w:rPr>
                <w:rFonts w:ascii="Times New Roman" w:hAnsi="Times New Roman" w:cs="Times New Roman"/>
                <w:sz w:val="22"/>
                <w:szCs w:val="22"/>
                <w:lang w:val="ru-RU"/>
              </w:rPr>
              <w:t>-</w:t>
            </w:r>
            <w:r w:rsidRPr="00596ECC">
              <w:rPr>
                <w:rFonts w:ascii="Times New Roman" w:hAnsi="Times New Roman" w:cs="Times New Roman"/>
                <w:sz w:val="22"/>
                <w:szCs w:val="22"/>
                <w:lang w:val="ru-RU"/>
              </w:rPr>
              <w:tab/>
              <w:t>Открытый паевой инвестиционный фонд фондов «БКС Драгоценные Металлы».</w:t>
            </w:r>
          </w:p>
        </w:tc>
        <w:tc>
          <w:tcPr>
            <w:tcW w:w="5386" w:type="dxa"/>
            <w:tcBorders>
              <w:top w:val="single" w:sz="4" w:space="0" w:color="auto"/>
              <w:left w:val="single" w:sz="4" w:space="0" w:color="auto"/>
              <w:bottom w:val="single" w:sz="4" w:space="0" w:color="auto"/>
              <w:right w:val="single" w:sz="4" w:space="0" w:color="auto"/>
            </w:tcBorders>
          </w:tcPr>
          <w:p w:rsidR="00DE6069" w:rsidRPr="00596ECC" w:rsidRDefault="00DE6069" w:rsidP="00596ECC">
            <w:pPr>
              <w:jc w:val="both"/>
              <w:rPr>
                <w:sz w:val="22"/>
                <w:szCs w:val="22"/>
              </w:rPr>
            </w:pPr>
            <w:r w:rsidRPr="00596ECC">
              <w:rPr>
                <w:sz w:val="22"/>
                <w:szCs w:val="22"/>
              </w:rPr>
              <w:t>83. Инвестиционные паи могут обмениваться на инвестиционные паи следующих паевых инвестиционных фондов:</w:t>
            </w:r>
          </w:p>
          <w:p w:rsidR="00DE6069" w:rsidRPr="00596ECC" w:rsidRDefault="00DE6069" w:rsidP="00596ECC">
            <w:pPr>
              <w:jc w:val="both"/>
              <w:rPr>
                <w:sz w:val="22"/>
                <w:szCs w:val="22"/>
              </w:rPr>
            </w:pPr>
            <w:r w:rsidRPr="00596ECC">
              <w:rPr>
                <w:sz w:val="22"/>
                <w:szCs w:val="22"/>
              </w:rPr>
              <w:t>-</w:t>
            </w:r>
            <w:r w:rsidRPr="00596ECC">
              <w:rPr>
                <w:sz w:val="22"/>
                <w:szCs w:val="22"/>
              </w:rPr>
              <w:tab/>
              <w:t xml:space="preserve">Открытый паевой инвестиционный фонд </w:t>
            </w:r>
            <w:r w:rsidR="00E72961" w:rsidRPr="00596ECC">
              <w:rPr>
                <w:sz w:val="22"/>
                <w:szCs w:val="22"/>
              </w:rPr>
              <w:t>рыночных финансовых инструментов</w:t>
            </w:r>
            <w:r w:rsidRPr="00596ECC">
              <w:rPr>
                <w:sz w:val="22"/>
                <w:szCs w:val="22"/>
              </w:rPr>
              <w:t xml:space="preserve"> «БКС Перспектива»,</w:t>
            </w:r>
          </w:p>
          <w:p w:rsidR="00DE6069" w:rsidRPr="00596ECC" w:rsidRDefault="00DE6069" w:rsidP="00596ECC">
            <w:pPr>
              <w:jc w:val="both"/>
              <w:rPr>
                <w:sz w:val="22"/>
                <w:szCs w:val="22"/>
              </w:rPr>
            </w:pPr>
            <w:r w:rsidRPr="00596ECC">
              <w:rPr>
                <w:sz w:val="22"/>
                <w:szCs w:val="22"/>
              </w:rPr>
              <w:t>-</w:t>
            </w:r>
            <w:r w:rsidRPr="00596ECC">
              <w:rPr>
                <w:sz w:val="22"/>
                <w:szCs w:val="22"/>
              </w:rPr>
              <w:tab/>
              <w:t xml:space="preserve">Открытый паевой инвестиционный фонд </w:t>
            </w:r>
            <w:r w:rsidR="00E72961" w:rsidRPr="00596ECC">
              <w:rPr>
                <w:sz w:val="22"/>
                <w:szCs w:val="22"/>
              </w:rPr>
              <w:t>рыночных финансовых инструментов</w:t>
            </w:r>
            <w:r w:rsidRPr="00596ECC">
              <w:rPr>
                <w:sz w:val="22"/>
                <w:szCs w:val="22"/>
              </w:rPr>
              <w:t xml:space="preserve"> «БКС Основа»,</w:t>
            </w:r>
          </w:p>
          <w:p w:rsidR="00DE6069" w:rsidRPr="00596ECC" w:rsidRDefault="00DE6069" w:rsidP="00596ECC">
            <w:pPr>
              <w:jc w:val="both"/>
              <w:rPr>
                <w:sz w:val="22"/>
                <w:szCs w:val="22"/>
              </w:rPr>
            </w:pPr>
            <w:r w:rsidRPr="00596ECC">
              <w:rPr>
                <w:sz w:val="22"/>
                <w:szCs w:val="22"/>
              </w:rPr>
              <w:t>-</w:t>
            </w:r>
            <w:r w:rsidRPr="00596ECC">
              <w:rPr>
                <w:sz w:val="22"/>
                <w:szCs w:val="22"/>
              </w:rPr>
              <w:tab/>
              <w:t xml:space="preserve">Открытый паевой инвестиционный фонд </w:t>
            </w:r>
            <w:r w:rsidR="00E72961" w:rsidRPr="00596ECC">
              <w:rPr>
                <w:sz w:val="22"/>
                <w:szCs w:val="22"/>
              </w:rPr>
              <w:t>рыночных финансовых инструментов</w:t>
            </w:r>
            <w:r w:rsidRPr="00596ECC">
              <w:rPr>
                <w:sz w:val="22"/>
                <w:szCs w:val="22"/>
              </w:rPr>
              <w:t xml:space="preserve"> «БКС Империя»,</w:t>
            </w:r>
          </w:p>
          <w:p w:rsidR="00DE6069" w:rsidRPr="00596ECC" w:rsidRDefault="00DE6069" w:rsidP="00596ECC">
            <w:pPr>
              <w:jc w:val="both"/>
              <w:rPr>
                <w:sz w:val="22"/>
                <w:szCs w:val="22"/>
              </w:rPr>
            </w:pPr>
            <w:r w:rsidRPr="00596ECC">
              <w:rPr>
                <w:sz w:val="22"/>
                <w:szCs w:val="22"/>
              </w:rPr>
              <w:t>-</w:t>
            </w:r>
            <w:r w:rsidRPr="00596ECC">
              <w:rPr>
                <w:sz w:val="22"/>
                <w:szCs w:val="22"/>
              </w:rPr>
              <w:tab/>
              <w:t xml:space="preserve">Открытый паевой инвестиционный Фонд </w:t>
            </w:r>
            <w:r w:rsidR="00E72961" w:rsidRPr="00596ECC">
              <w:rPr>
                <w:sz w:val="22"/>
                <w:szCs w:val="22"/>
              </w:rPr>
              <w:t xml:space="preserve">рыночных финансовых инструментов </w:t>
            </w:r>
            <w:r w:rsidRPr="00596ECC">
              <w:rPr>
                <w:sz w:val="22"/>
                <w:szCs w:val="22"/>
              </w:rPr>
              <w:t>«БКС Индекс ММВБ»,</w:t>
            </w:r>
          </w:p>
          <w:p w:rsidR="00DE6069" w:rsidRPr="00596ECC" w:rsidRDefault="00DE6069" w:rsidP="00596ECC">
            <w:pPr>
              <w:jc w:val="both"/>
              <w:rPr>
                <w:sz w:val="22"/>
                <w:szCs w:val="22"/>
              </w:rPr>
            </w:pPr>
            <w:r w:rsidRPr="00596ECC">
              <w:rPr>
                <w:sz w:val="22"/>
                <w:szCs w:val="22"/>
              </w:rPr>
              <w:t>-</w:t>
            </w:r>
            <w:r w:rsidRPr="00596ECC">
              <w:rPr>
                <w:sz w:val="22"/>
                <w:szCs w:val="22"/>
              </w:rPr>
              <w:tab/>
              <w:t xml:space="preserve">Открытый паевой инвестиционный фонд </w:t>
            </w:r>
            <w:r w:rsidR="00E72961" w:rsidRPr="00596ECC">
              <w:rPr>
                <w:sz w:val="22"/>
                <w:szCs w:val="22"/>
              </w:rPr>
              <w:t>рыночных финансовых инструментов</w:t>
            </w:r>
            <w:r w:rsidRPr="00596ECC">
              <w:rPr>
                <w:sz w:val="22"/>
                <w:szCs w:val="22"/>
              </w:rPr>
              <w:t xml:space="preserve"> «БКС Драгоценные Металлы».</w:t>
            </w:r>
          </w:p>
        </w:tc>
      </w:tr>
    </w:tbl>
    <w:p w:rsidR="005307C2" w:rsidRPr="00BA6A9E" w:rsidRDefault="005307C2" w:rsidP="005307C2">
      <w:pPr>
        <w:rPr>
          <w:b/>
          <w:bCs/>
          <w:sz w:val="22"/>
          <w:szCs w:val="22"/>
        </w:rPr>
      </w:pPr>
    </w:p>
    <w:p w:rsidR="005307C2" w:rsidRPr="00BA6A9E" w:rsidRDefault="005307C2" w:rsidP="005307C2">
      <w:pPr>
        <w:rPr>
          <w:b/>
          <w:bCs/>
          <w:sz w:val="22"/>
          <w:szCs w:val="22"/>
        </w:rPr>
      </w:pPr>
    </w:p>
    <w:p w:rsidR="00092AF1" w:rsidRPr="00BA6A9E" w:rsidRDefault="00092AF1" w:rsidP="005307C2">
      <w:pPr>
        <w:rPr>
          <w:b/>
          <w:sz w:val="22"/>
          <w:szCs w:val="22"/>
        </w:rPr>
      </w:pPr>
    </w:p>
    <w:p w:rsidR="00092AF1" w:rsidRPr="00BA6A9E" w:rsidRDefault="00092AF1" w:rsidP="00B819E3">
      <w:pPr>
        <w:rPr>
          <w:b/>
          <w:sz w:val="22"/>
          <w:szCs w:val="22"/>
        </w:rPr>
      </w:pPr>
    </w:p>
    <w:p w:rsidR="00B819E3" w:rsidRPr="00BA6A9E" w:rsidRDefault="00B819E3" w:rsidP="00B819E3">
      <w:pPr>
        <w:rPr>
          <w:b/>
          <w:sz w:val="22"/>
          <w:szCs w:val="22"/>
        </w:rPr>
      </w:pPr>
      <w:r w:rsidRPr="00BA6A9E">
        <w:rPr>
          <w:b/>
          <w:sz w:val="22"/>
          <w:szCs w:val="22"/>
        </w:rPr>
        <w:t>Генеральный директор</w:t>
      </w:r>
    </w:p>
    <w:p w:rsidR="00B819E3" w:rsidRPr="00BA6A9E" w:rsidRDefault="00B819E3" w:rsidP="00B819E3">
      <w:pPr>
        <w:rPr>
          <w:b/>
          <w:sz w:val="22"/>
          <w:szCs w:val="22"/>
        </w:rPr>
      </w:pPr>
      <w:r w:rsidRPr="00BA6A9E">
        <w:rPr>
          <w:b/>
          <w:sz w:val="22"/>
          <w:szCs w:val="22"/>
        </w:rPr>
        <w:t xml:space="preserve">АО УК «БКС»                        </w:t>
      </w:r>
      <w:r w:rsidR="005307C2" w:rsidRPr="00BA6A9E">
        <w:rPr>
          <w:b/>
          <w:sz w:val="22"/>
          <w:szCs w:val="22"/>
        </w:rPr>
        <w:t xml:space="preserve">               </w:t>
      </w:r>
      <w:r w:rsidRPr="00BA6A9E">
        <w:rPr>
          <w:b/>
          <w:sz w:val="22"/>
          <w:szCs w:val="22"/>
        </w:rPr>
        <w:t xml:space="preserve"> ___________________ /</w:t>
      </w:r>
      <w:r w:rsidR="00BF49A3" w:rsidRPr="00BA6A9E">
        <w:rPr>
          <w:b/>
          <w:sz w:val="22"/>
          <w:szCs w:val="22"/>
        </w:rPr>
        <w:t>А</w:t>
      </w:r>
      <w:r w:rsidRPr="00BA6A9E">
        <w:rPr>
          <w:b/>
          <w:sz w:val="22"/>
          <w:szCs w:val="22"/>
        </w:rPr>
        <w:t xml:space="preserve">.Ф. </w:t>
      </w:r>
      <w:r w:rsidR="00BF49A3" w:rsidRPr="00BA6A9E">
        <w:rPr>
          <w:b/>
          <w:sz w:val="22"/>
          <w:szCs w:val="22"/>
        </w:rPr>
        <w:t>Рахманов</w:t>
      </w:r>
    </w:p>
    <w:sectPr w:rsidR="00B819E3" w:rsidRPr="00BA6A9E" w:rsidSect="0098764D">
      <w:headerReference w:type="default" r:id="rId11"/>
      <w:pgSz w:w="11906" w:h="16838" w:code="9"/>
      <w:pgMar w:top="878" w:right="850" w:bottom="1134" w:left="1701" w:header="426"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58C" w:rsidRDefault="0049258C">
      <w:r>
        <w:separator/>
      </w:r>
    </w:p>
  </w:endnote>
  <w:endnote w:type="continuationSeparator" w:id="0">
    <w:p w:rsidR="0049258C" w:rsidRDefault="004925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58C" w:rsidRDefault="0049258C">
      <w:r>
        <w:separator/>
      </w:r>
    </w:p>
  </w:footnote>
  <w:footnote w:type="continuationSeparator" w:id="0">
    <w:p w:rsidR="0049258C" w:rsidRDefault="00492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73D" w:rsidRDefault="00195F62">
    <w:pPr>
      <w:pStyle w:val="a3"/>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-95250</wp:posOffset>
          </wp:positionV>
          <wp:extent cx="1543050" cy="409575"/>
          <wp:effectExtent l="19050" t="0" r="0" b="0"/>
          <wp:wrapNone/>
          <wp:docPr id="1" name="Рисунок 1" descr="Описание: C:\Documents and Settings\kmitrofanov\Рабочий стол\bcs.F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kmitrofanov\Рабочий стол\bcs.FG.png"/>
                  <pic:cNvPicPr>
                    <a:picLocks noChangeAspect="1" noChangeArrowheads="1"/>
                  </pic:cNvPicPr>
                </pic:nvPicPr>
                <pic:blipFill>
                  <a:blip r:embed="rId1"/>
                  <a:srcRect/>
                  <a:stretch>
                    <a:fillRect/>
                  </a:stretch>
                </pic:blipFill>
                <pic:spPr bwMode="auto">
                  <a:xfrm>
                    <a:off x="0" y="0"/>
                    <a:ext cx="154305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92C09AA"/>
    <w:multiLevelType w:val="hybridMultilevel"/>
    <w:tmpl w:val="FB2E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A7612"/>
    <w:multiLevelType w:val="hybridMultilevel"/>
    <w:tmpl w:val="E250C3B4"/>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A04104"/>
    <w:multiLevelType w:val="hybridMultilevel"/>
    <w:tmpl w:val="0C9E89DA"/>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3"/>
  </w:num>
  <w:num w:numId="34">
    <w:abstractNumId w:val="2"/>
  </w:num>
  <w:num w:numId="3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33D0F"/>
    <w:rsid w:val="000040FD"/>
    <w:rsid w:val="00010C4C"/>
    <w:rsid w:val="00011E88"/>
    <w:rsid w:val="00013CB6"/>
    <w:rsid w:val="0001553C"/>
    <w:rsid w:val="00020261"/>
    <w:rsid w:val="00022EE7"/>
    <w:rsid w:val="00023992"/>
    <w:rsid w:val="00026BC0"/>
    <w:rsid w:val="00031D8F"/>
    <w:rsid w:val="00035C08"/>
    <w:rsid w:val="0003769E"/>
    <w:rsid w:val="000419CA"/>
    <w:rsid w:val="0005155A"/>
    <w:rsid w:val="00064ED9"/>
    <w:rsid w:val="00070F4D"/>
    <w:rsid w:val="00076365"/>
    <w:rsid w:val="000773C8"/>
    <w:rsid w:val="00091985"/>
    <w:rsid w:val="00092AF1"/>
    <w:rsid w:val="000958FC"/>
    <w:rsid w:val="000A78EA"/>
    <w:rsid w:val="000C28D7"/>
    <w:rsid w:val="000C5113"/>
    <w:rsid w:val="000C7F2D"/>
    <w:rsid w:val="000D7022"/>
    <w:rsid w:val="000E1A01"/>
    <w:rsid w:val="000F27F1"/>
    <w:rsid w:val="000F4A1A"/>
    <w:rsid w:val="000F562C"/>
    <w:rsid w:val="00123242"/>
    <w:rsid w:val="0013264D"/>
    <w:rsid w:val="001333AB"/>
    <w:rsid w:val="001501D9"/>
    <w:rsid w:val="00167A1A"/>
    <w:rsid w:val="00175C79"/>
    <w:rsid w:val="00194853"/>
    <w:rsid w:val="00195F62"/>
    <w:rsid w:val="001C5F46"/>
    <w:rsid w:val="001C78B9"/>
    <w:rsid w:val="001D2805"/>
    <w:rsid w:val="001E29AE"/>
    <w:rsid w:val="001E57E0"/>
    <w:rsid w:val="001F1170"/>
    <w:rsid w:val="001F4100"/>
    <w:rsid w:val="002020A1"/>
    <w:rsid w:val="00210415"/>
    <w:rsid w:val="00225798"/>
    <w:rsid w:val="00226583"/>
    <w:rsid w:val="00233438"/>
    <w:rsid w:val="00246E38"/>
    <w:rsid w:val="00247D3B"/>
    <w:rsid w:val="0026180D"/>
    <w:rsid w:val="00263C69"/>
    <w:rsid w:val="00272A9C"/>
    <w:rsid w:val="00273A08"/>
    <w:rsid w:val="002B7DCF"/>
    <w:rsid w:val="002C7DC3"/>
    <w:rsid w:val="002F0109"/>
    <w:rsid w:val="002F705B"/>
    <w:rsid w:val="002F72F4"/>
    <w:rsid w:val="002F7F1B"/>
    <w:rsid w:val="0032334D"/>
    <w:rsid w:val="00330CFA"/>
    <w:rsid w:val="0033163E"/>
    <w:rsid w:val="00332ACC"/>
    <w:rsid w:val="00337BFD"/>
    <w:rsid w:val="003408AF"/>
    <w:rsid w:val="0035325F"/>
    <w:rsid w:val="00354C26"/>
    <w:rsid w:val="00373C28"/>
    <w:rsid w:val="00374878"/>
    <w:rsid w:val="00376447"/>
    <w:rsid w:val="00382D6B"/>
    <w:rsid w:val="00383A54"/>
    <w:rsid w:val="00391D4A"/>
    <w:rsid w:val="003A7AEB"/>
    <w:rsid w:val="003B0AC5"/>
    <w:rsid w:val="003B1928"/>
    <w:rsid w:val="003B6C74"/>
    <w:rsid w:val="003B6D1F"/>
    <w:rsid w:val="003C15B6"/>
    <w:rsid w:val="003E1D04"/>
    <w:rsid w:val="003E3AA1"/>
    <w:rsid w:val="003F6EA9"/>
    <w:rsid w:val="00405778"/>
    <w:rsid w:val="00415B22"/>
    <w:rsid w:val="00417D14"/>
    <w:rsid w:val="00425B76"/>
    <w:rsid w:val="00430208"/>
    <w:rsid w:val="00433BE6"/>
    <w:rsid w:val="00435191"/>
    <w:rsid w:val="00444377"/>
    <w:rsid w:val="004452F0"/>
    <w:rsid w:val="0045061A"/>
    <w:rsid w:val="0045478C"/>
    <w:rsid w:val="00463099"/>
    <w:rsid w:val="00470A9B"/>
    <w:rsid w:val="0048268E"/>
    <w:rsid w:val="0048455E"/>
    <w:rsid w:val="004846EA"/>
    <w:rsid w:val="004878B4"/>
    <w:rsid w:val="0049258C"/>
    <w:rsid w:val="004A07F5"/>
    <w:rsid w:val="004A5AAE"/>
    <w:rsid w:val="004A64A5"/>
    <w:rsid w:val="004D2788"/>
    <w:rsid w:val="004E1ADC"/>
    <w:rsid w:val="004F17FA"/>
    <w:rsid w:val="004F4EAE"/>
    <w:rsid w:val="004F4F1F"/>
    <w:rsid w:val="0050777E"/>
    <w:rsid w:val="00510279"/>
    <w:rsid w:val="00510AE5"/>
    <w:rsid w:val="00513E16"/>
    <w:rsid w:val="005160B7"/>
    <w:rsid w:val="005307C2"/>
    <w:rsid w:val="0053727C"/>
    <w:rsid w:val="005375D5"/>
    <w:rsid w:val="00553A10"/>
    <w:rsid w:val="00562FCF"/>
    <w:rsid w:val="00572656"/>
    <w:rsid w:val="00574E1F"/>
    <w:rsid w:val="00590864"/>
    <w:rsid w:val="00590F4B"/>
    <w:rsid w:val="00592B6D"/>
    <w:rsid w:val="00596ECC"/>
    <w:rsid w:val="005A7AF8"/>
    <w:rsid w:val="005B0A76"/>
    <w:rsid w:val="005B3497"/>
    <w:rsid w:val="005B3FD9"/>
    <w:rsid w:val="005C628F"/>
    <w:rsid w:val="005C6318"/>
    <w:rsid w:val="005C73FD"/>
    <w:rsid w:val="005E2947"/>
    <w:rsid w:val="005E7F51"/>
    <w:rsid w:val="00604577"/>
    <w:rsid w:val="00612AF4"/>
    <w:rsid w:val="00615889"/>
    <w:rsid w:val="00647857"/>
    <w:rsid w:val="00661DCF"/>
    <w:rsid w:val="006751A4"/>
    <w:rsid w:val="00686FA1"/>
    <w:rsid w:val="006A1081"/>
    <w:rsid w:val="006A259A"/>
    <w:rsid w:val="006A3DC3"/>
    <w:rsid w:val="006B373D"/>
    <w:rsid w:val="006B7655"/>
    <w:rsid w:val="006C7270"/>
    <w:rsid w:val="006D11E9"/>
    <w:rsid w:val="006D3595"/>
    <w:rsid w:val="006D43BD"/>
    <w:rsid w:val="006E1AAD"/>
    <w:rsid w:val="006F03DA"/>
    <w:rsid w:val="006F38D6"/>
    <w:rsid w:val="00700D15"/>
    <w:rsid w:val="007071D6"/>
    <w:rsid w:val="00711AB9"/>
    <w:rsid w:val="007147ED"/>
    <w:rsid w:val="00734CB2"/>
    <w:rsid w:val="0073585D"/>
    <w:rsid w:val="007514C1"/>
    <w:rsid w:val="00752F69"/>
    <w:rsid w:val="00773C48"/>
    <w:rsid w:val="00780D37"/>
    <w:rsid w:val="00781348"/>
    <w:rsid w:val="007944BC"/>
    <w:rsid w:val="00797689"/>
    <w:rsid w:val="00797E5E"/>
    <w:rsid w:val="007A4276"/>
    <w:rsid w:val="007A7175"/>
    <w:rsid w:val="007B0A42"/>
    <w:rsid w:val="007B2918"/>
    <w:rsid w:val="007B4A6F"/>
    <w:rsid w:val="007B5D14"/>
    <w:rsid w:val="007C3D68"/>
    <w:rsid w:val="007C713D"/>
    <w:rsid w:val="007D6405"/>
    <w:rsid w:val="007D7A52"/>
    <w:rsid w:val="007F0C0E"/>
    <w:rsid w:val="007F3131"/>
    <w:rsid w:val="007F7BB7"/>
    <w:rsid w:val="00807408"/>
    <w:rsid w:val="00807477"/>
    <w:rsid w:val="00815528"/>
    <w:rsid w:val="008174E0"/>
    <w:rsid w:val="00832C54"/>
    <w:rsid w:val="008346F3"/>
    <w:rsid w:val="00834D90"/>
    <w:rsid w:val="00841FA0"/>
    <w:rsid w:val="008644D8"/>
    <w:rsid w:val="00882B55"/>
    <w:rsid w:val="00894761"/>
    <w:rsid w:val="00894F89"/>
    <w:rsid w:val="008B090C"/>
    <w:rsid w:val="008B10F1"/>
    <w:rsid w:val="008D12E1"/>
    <w:rsid w:val="008D228F"/>
    <w:rsid w:val="008D6BBE"/>
    <w:rsid w:val="00906373"/>
    <w:rsid w:val="00911FA0"/>
    <w:rsid w:val="00913A74"/>
    <w:rsid w:val="00913E71"/>
    <w:rsid w:val="00921AF1"/>
    <w:rsid w:val="00924462"/>
    <w:rsid w:val="00927769"/>
    <w:rsid w:val="00935298"/>
    <w:rsid w:val="00937E3E"/>
    <w:rsid w:val="00965FDA"/>
    <w:rsid w:val="0097344A"/>
    <w:rsid w:val="00984CBC"/>
    <w:rsid w:val="0098764D"/>
    <w:rsid w:val="009903DE"/>
    <w:rsid w:val="009A03DD"/>
    <w:rsid w:val="009B5865"/>
    <w:rsid w:val="009B7B21"/>
    <w:rsid w:val="009C3D55"/>
    <w:rsid w:val="009D201F"/>
    <w:rsid w:val="009D3977"/>
    <w:rsid w:val="009D616E"/>
    <w:rsid w:val="009E3D6B"/>
    <w:rsid w:val="009F58D0"/>
    <w:rsid w:val="00A02CE6"/>
    <w:rsid w:val="00A05155"/>
    <w:rsid w:val="00A1576C"/>
    <w:rsid w:val="00A508CC"/>
    <w:rsid w:val="00A50C6F"/>
    <w:rsid w:val="00A5268B"/>
    <w:rsid w:val="00A64015"/>
    <w:rsid w:val="00A76F57"/>
    <w:rsid w:val="00AA5353"/>
    <w:rsid w:val="00AB2A3C"/>
    <w:rsid w:val="00AB7AF7"/>
    <w:rsid w:val="00AC0978"/>
    <w:rsid w:val="00AC0A50"/>
    <w:rsid w:val="00AC1292"/>
    <w:rsid w:val="00AD2680"/>
    <w:rsid w:val="00AD7B5A"/>
    <w:rsid w:val="00B00E56"/>
    <w:rsid w:val="00B24018"/>
    <w:rsid w:val="00B4391E"/>
    <w:rsid w:val="00B51900"/>
    <w:rsid w:val="00B5714D"/>
    <w:rsid w:val="00B6578F"/>
    <w:rsid w:val="00B7055C"/>
    <w:rsid w:val="00B70657"/>
    <w:rsid w:val="00B735A7"/>
    <w:rsid w:val="00B75588"/>
    <w:rsid w:val="00B819E3"/>
    <w:rsid w:val="00B84500"/>
    <w:rsid w:val="00B845EC"/>
    <w:rsid w:val="00B84C39"/>
    <w:rsid w:val="00B86A3C"/>
    <w:rsid w:val="00B92CF9"/>
    <w:rsid w:val="00BA6A9E"/>
    <w:rsid w:val="00BC2C76"/>
    <w:rsid w:val="00BD408E"/>
    <w:rsid w:val="00BD646F"/>
    <w:rsid w:val="00BE01E8"/>
    <w:rsid w:val="00BF3B8C"/>
    <w:rsid w:val="00BF49A3"/>
    <w:rsid w:val="00C167E5"/>
    <w:rsid w:val="00C21FEF"/>
    <w:rsid w:val="00C2557B"/>
    <w:rsid w:val="00C25CF7"/>
    <w:rsid w:val="00C26647"/>
    <w:rsid w:val="00C32B8E"/>
    <w:rsid w:val="00C37EEF"/>
    <w:rsid w:val="00C56D80"/>
    <w:rsid w:val="00C57B15"/>
    <w:rsid w:val="00C608E9"/>
    <w:rsid w:val="00C64F39"/>
    <w:rsid w:val="00C65592"/>
    <w:rsid w:val="00C7202C"/>
    <w:rsid w:val="00C776E6"/>
    <w:rsid w:val="00C8720D"/>
    <w:rsid w:val="00C9268F"/>
    <w:rsid w:val="00C9297B"/>
    <w:rsid w:val="00C95326"/>
    <w:rsid w:val="00CB43D7"/>
    <w:rsid w:val="00CC1AEA"/>
    <w:rsid w:val="00CD09A4"/>
    <w:rsid w:val="00CD379D"/>
    <w:rsid w:val="00CE2EA9"/>
    <w:rsid w:val="00CE5C59"/>
    <w:rsid w:val="00CF0752"/>
    <w:rsid w:val="00D02580"/>
    <w:rsid w:val="00D10ECE"/>
    <w:rsid w:val="00D110D7"/>
    <w:rsid w:val="00D13252"/>
    <w:rsid w:val="00D154EF"/>
    <w:rsid w:val="00D20D60"/>
    <w:rsid w:val="00D20E49"/>
    <w:rsid w:val="00D22588"/>
    <w:rsid w:val="00D233FC"/>
    <w:rsid w:val="00D23554"/>
    <w:rsid w:val="00D261D3"/>
    <w:rsid w:val="00D3316D"/>
    <w:rsid w:val="00D3456C"/>
    <w:rsid w:val="00D417A3"/>
    <w:rsid w:val="00D44E47"/>
    <w:rsid w:val="00D47FB0"/>
    <w:rsid w:val="00D75F02"/>
    <w:rsid w:val="00D8186D"/>
    <w:rsid w:val="00D90A6D"/>
    <w:rsid w:val="00D95D0E"/>
    <w:rsid w:val="00DA0ADF"/>
    <w:rsid w:val="00DB03C0"/>
    <w:rsid w:val="00DC5DCD"/>
    <w:rsid w:val="00DD6225"/>
    <w:rsid w:val="00DD6CBC"/>
    <w:rsid w:val="00DE5438"/>
    <w:rsid w:val="00DE6069"/>
    <w:rsid w:val="00DE61D3"/>
    <w:rsid w:val="00E0450B"/>
    <w:rsid w:val="00E062C7"/>
    <w:rsid w:val="00E12CB3"/>
    <w:rsid w:val="00E14AC9"/>
    <w:rsid w:val="00E21242"/>
    <w:rsid w:val="00E25A97"/>
    <w:rsid w:val="00E279CF"/>
    <w:rsid w:val="00E377A0"/>
    <w:rsid w:val="00E410C7"/>
    <w:rsid w:val="00E47489"/>
    <w:rsid w:val="00E47FFA"/>
    <w:rsid w:val="00E55D63"/>
    <w:rsid w:val="00E55E0A"/>
    <w:rsid w:val="00E5640D"/>
    <w:rsid w:val="00E5663F"/>
    <w:rsid w:val="00E63C74"/>
    <w:rsid w:val="00E70E0C"/>
    <w:rsid w:val="00E722F7"/>
    <w:rsid w:val="00E72961"/>
    <w:rsid w:val="00E738BB"/>
    <w:rsid w:val="00E85FCD"/>
    <w:rsid w:val="00E97E0D"/>
    <w:rsid w:val="00EA0A96"/>
    <w:rsid w:val="00EA3799"/>
    <w:rsid w:val="00EB06DB"/>
    <w:rsid w:val="00EB1A19"/>
    <w:rsid w:val="00EB3F2D"/>
    <w:rsid w:val="00EC0264"/>
    <w:rsid w:val="00EC041F"/>
    <w:rsid w:val="00EC146F"/>
    <w:rsid w:val="00EC695A"/>
    <w:rsid w:val="00ED3564"/>
    <w:rsid w:val="00ED5619"/>
    <w:rsid w:val="00EE1012"/>
    <w:rsid w:val="00EE1E1B"/>
    <w:rsid w:val="00EE2B1B"/>
    <w:rsid w:val="00EE57EB"/>
    <w:rsid w:val="00EF0FE5"/>
    <w:rsid w:val="00EF7737"/>
    <w:rsid w:val="00F33D0F"/>
    <w:rsid w:val="00F4071E"/>
    <w:rsid w:val="00F454C1"/>
    <w:rsid w:val="00F45EFE"/>
    <w:rsid w:val="00F46275"/>
    <w:rsid w:val="00F551E8"/>
    <w:rsid w:val="00F5595B"/>
    <w:rsid w:val="00F663BF"/>
    <w:rsid w:val="00F73763"/>
    <w:rsid w:val="00F766B4"/>
    <w:rsid w:val="00F874DA"/>
    <w:rsid w:val="00F87DAD"/>
    <w:rsid w:val="00F90B54"/>
    <w:rsid w:val="00F97C2E"/>
    <w:rsid w:val="00FA0293"/>
    <w:rsid w:val="00FA038F"/>
    <w:rsid w:val="00FA2E63"/>
    <w:rsid w:val="00FC4DA5"/>
    <w:rsid w:val="00FD1380"/>
    <w:rsid w:val="00FD4C5D"/>
    <w:rsid w:val="00FE6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DD"/>
    <w:rPr>
      <w:sz w:val="24"/>
      <w:szCs w:val="24"/>
    </w:rPr>
  </w:style>
  <w:style w:type="paragraph" w:styleId="1">
    <w:name w:val="heading 1"/>
    <w:basedOn w:val="a"/>
    <w:next w:val="a"/>
    <w:link w:val="10"/>
    <w:uiPriority w:val="9"/>
    <w:qFormat/>
    <w:rsid w:val="00FE6ADD"/>
    <w:pPr>
      <w:keepNext/>
      <w:outlineLvl w:val="0"/>
    </w:pPr>
    <w:rPr>
      <w:rFonts w:ascii="Arial" w:hAnsi="Arial" w:cs="Arial"/>
      <w:b/>
      <w:bCs/>
      <w:sz w:val="18"/>
    </w:rPr>
  </w:style>
  <w:style w:type="paragraph" w:styleId="20">
    <w:name w:val="heading 2"/>
    <w:basedOn w:val="a"/>
    <w:next w:val="a"/>
    <w:link w:val="21"/>
    <w:uiPriority w:val="9"/>
    <w:qFormat/>
    <w:rsid w:val="00FE6ADD"/>
    <w:pPr>
      <w:keepNext/>
      <w:jc w:val="center"/>
      <w:outlineLvl w:val="1"/>
    </w:pPr>
    <w:rPr>
      <w:i/>
      <w:iCs/>
    </w:rPr>
  </w:style>
  <w:style w:type="paragraph" w:styleId="3">
    <w:name w:val="heading 3"/>
    <w:basedOn w:val="a"/>
    <w:link w:val="30"/>
    <w:uiPriority w:val="9"/>
    <w:qFormat/>
    <w:rsid w:val="006D11E9"/>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uiPriority w:val="9"/>
    <w:qFormat/>
    <w:rsid w:val="006D11E9"/>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B819E3"/>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B819E3"/>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6D11E9"/>
    <w:pPr>
      <w:spacing w:before="240" w:after="60"/>
      <w:outlineLvl w:val="6"/>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6AD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locked/>
    <w:rsid w:val="00FE6AD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D11E9"/>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
    <w:locked/>
    <w:rsid w:val="006D11E9"/>
    <w:rPr>
      <w:rFonts w:cs="Times New Roman"/>
      <w:b/>
      <w:bCs/>
      <w:sz w:val="28"/>
      <w:szCs w:val="28"/>
      <w:lang w:eastAsia="en-US"/>
    </w:rPr>
  </w:style>
  <w:style w:type="character" w:customStyle="1" w:styleId="50">
    <w:name w:val="Заголовок 5 Знак"/>
    <w:basedOn w:val="a0"/>
    <w:link w:val="5"/>
    <w:uiPriority w:val="9"/>
    <w:locked/>
    <w:rsid w:val="00B819E3"/>
    <w:rPr>
      <w:rFonts w:ascii="Calibri" w:hAnsi="Calibri" w:cs="Times New Roman"/>
      <w:b/>
      <w:bCs/>
      <w:i/>
      <w:iCs/>
      <w:sz w:val="26"/>
      <w:szCs w:val="26"/>
    </w:rPr>
  </w:style>
  <w:style w:type="character" w:customStyle="1" w:styleId="60">
    <w:name w:val="Заголовок 6 Знак"/>
    <w:basedOn w:val="a0"/>
    <w:link w:val="6"/>
    <w:uiPriority w:val="9"/>
    <w:locked/>
    <w:rsid w:val="00B819E3"/>
    <w:rPr>
      <w:rFonts w:ascii="Calibri" w:hAnsi="Calibri" w:cs="Times New Roman"/>
      <w:b/>
      <w:bCs/>
      <w:sz w:val="22"/>
      <w:szCs w:val="22"/>
    </w:rPr>
  </w:style>
  <w:style w:type="character" w:customStyle="1" w:styleId="70">
    <w:name w:val="Заголовок 7 Знак"/>
    <w:basedOn w:val="a0"/>
    <w:link w:val="7"/>
    <w:uiPriority w:val="9"/>
    <w:locked/>
    <w:rsid w:val="006D11E9"/>
    <w:rPr>
      <w:rFonts w:asciiTheme="minorHAnsi" w:eastAsiaTheme="minorEastAsia" w:hAnsiTheme="minorHAnsi" w:cs="Times New Roman"/>
      <w:sz w:val="24"/>
      <w:szCs w:val="24"/>
    </w:rPr>
  </w:style>
  <w:style w:type="paragraph" w:styleId="a3">
    <w:name w:val="header"/>
    <w:basedOn w:val="a"/>
    <w:link w:val="a4"/>
    <w:uiPriority w:val="99"/>
    <w:semiHidden/>
    <w:rsid w:val="00FE6ADD"/>
    <w:pPr>
      <w:tabs>
        <w:tab w:val="center" w:pos="4677"/>
        <w:tab w:val="right" w:pos="9355"/>
      </w:tabs>
    </w:pPr>
  </w:style>
  <w:style w:type="character" w:customStyle="1" w:styleId="a4">
    <w:name w:val="Верхний колонтитул Знак"/>
    <w:basedOn w:val="a0"/>
    <w:link w:val="a3"/>
    <w:uiPriority w:val="99"/>
    <w:semiHidden/>
    <w:locked/>
    <w:rsid w:val="00B819E3"/>
    <w:rPr>
      <w:rFonts w:cs="Times New Roman"/>
      <w:sz w:val="24"/>
    </w:rPr>
  </w:style>
  <w:style w:type="paragraph" w:styleId="a5">
    <w:name w:val="footer"/>
    <w:basedOn w:val="a"/>
    <w:link w:val="a6"/>
    <w:uiPriority w:val="99"/>
    <w:rsid w:val="00FE6ADD"/>
    <w:pPr>
      <w:tabs>
        <w:tab w:val="center" w:pos="4677"/>
        <w:tab w:val="right" w:pos="9355"/>
      </w:tabs>
    </w:pPr>
  </w:style>
  <w:style w:type="character" w:customStyle="1" w:styleId="a6">
    <w:name w:val="Нижний колонтитул Знак"/>
    <w:basedOn w:val="a0"/>
    <w:link w:val="a5"/>
    <w:uiPriority w:val="99"/>
    <w:locked/>
    <w:rsid w:val="00B819E3"/>
    <w:rPr>
      <w:rFonts w:cs="Times New Roman"/>
      <w:sz w:val="24"/>
    </w:rPr>
  </w:style>
  <w:style w:type="character" w:styleId="a7">
    <w:name w:val="Hyperlink"/>
    <w:basedOn w:val="a0"/>
    <w:uiPriority w:val="99"/>
    <w:rsid w:val="00FE6ADD"/>
    <w:rPr>
      <w:rFonts w:cs="Times New Roman"/>
      <w:color w:val="0000FF"/>
      <w:u w:val="single"/>
    </w:rPr>
  </w:style>
  <w:style w:type="paragraph" w:styleId="a8">
    <w:name w:val="Body Text"/>
    <w:basedOn w:val="a"/>
    <w:link w:val="a9"/>
    <w:uiPriority w:val="99"/>
    <w:semiHidden/>
    <w:rsid w:val="00FE6ADD"/>
    <w:pPr>
      <w:jc w:val="both"/>
    </w:pPr>
  </w:style>
  <w:style w:type="character" w:customStyle="1" w:styleId="a9">
    <w:name w:val="Основной текст Знак"/>
    <w:basedOn w:val="a0"/>
    <w:link w:val="a8"/>
    <w:uiPriority w:val="99"/>
    <w:semiHidden/>
    <w:locked/>
    <w:rsid w:val="00FE6ADD"/>
    <w:rPr>
      <w:rFonts w:cs="Times New Roman"/>
      <w:sz w:val="24"/>
      <w:szCs w:val="24"/>
    </w:rPr>
  </w:style>
  <w:style w:type="paragraph" w:styleId="aa">
    <w:name w:val="Body Text Indent"/>
    <w:basedOn w:val="a"/>
    <w:link w:val="ab"/>
    <w:uiPriority w:val="99"/>
    <w:semiHidden/>
    <w:rsid w:val="00B819E3"/>
    <w:pPr>
      <w:autoSpaceDE w:val="0"/>
      <w:autoSpaceDN w:val="0"/>
      <w:adjustRightInd w:val="0"/>
      <w:ind w:firstLine="539"/>
      <w:jc w:val="both"/>
    </w:pPr>
    <w:rPr>
      <w:rFonts w:ascii="Arial" w:hAnsi="Arial" w:cs="Arial"/>
      <w:sz w:val="18"/>
      <w:szCs w:val="18"/>
    </w:rPr>
  </w:style>
  <w:style w:type="character" w:customStyle="1" w:styleId="ab">
    <w:name w:val="Основной текст с отступом Знак"/>
    <w:basedOn w:val="a0"/>
    <w:link w:val="aa"/>
    <w:uiPriority w:val="99"/>
    <w:semiHidden/>
    <w:locked/>
    <w:rsid w:val="00B819E3"/>
    <w:rPr>
      <w:rFonts w:ascii="Arial" w:hAnsi="Arial" w:cs="Arial"/>
      <w:sz w:val="18"/>
      <w:szCs w:val="18"/>
    </w:rPr>
  </w:style>
  <w:style w:type="paragraph" w:customStyle="1" w:styleId="fieldcomment">
    <w:name w:val="field_comment"/>
    <w:basedOn w:val="a"/>
    <w:rsid w:val="00B819E3"/>
    <w:pPr>
      <w:spacing w:before="45" w:after="45"/>
    </w:pPr>
    <w:rPr>
      <w:rFonts w:ascii="Arial" w:hAnsi="Arial" w:cs="Arial"/>
      <w:sz w:val="9"/>
      <w:szCs w:val="9"/>
      <w:lang w:val="en-US" w:eastAsia="en-US"/>
    </w:rPr>
  </w:style>
  <w:style w:type="character" w:customStyle="1" w:styleId="ac">
    <w:name w:val="Основной шрифт"/>
    <w:rsid w:val="00B819E3"/>
  </w:style>
  <w:style w:type="paragraph" w:customStyle="1" w:styleId="ConsNonformat">
    <w:name w:val="ConsNonformat"/>
    <w:rsid w:val="00B819E3"/>
    <w:pPr>
      <w:widowControl w:val="0"/>
    </w:pPr>
    <w:rPr>
      <w:rFonts w:ascii="Courier New" w:hAnsi="Courier New" w:cs="Courier New"/>
      <w:lang w:eastAsia="en-US"/>
    </w:rPr>
  </w:style>
  <w:style w:type="paragraph" w:customStyle="1" w:styleId="ConsNormal">
    <w:name w:val="ConsNormal"/>
    <w:uiPriority w:val="99"/>
    <w:rsid w:val="00B819E3"/>
    <w:pPr>
      <w:widowControl w:val="0"/>
      <w:ind w:firstLine="720"/>
    </w:pPr>
    <w:rPr>
      <w:rFonts w:ascii="Arial" w:hAnsi="Arial" w:cs="Arial"/>
      <w:lang w:eastAsia="en-US"/>
    </w:rPr>
  </w:style>
  <w:style w:type="paragraph" w:customStyle="1" w:styleId="stampfield">
    <w:name w:val="stamp_field"/>
    <w:basedOn w:val="a"/>
    <w:rsid w:val="00B819E3"/>
    <w:pPr>
      <w:spacing w:after="150"/>
      <w:ind w:left="6120"/>
      <w:jc w:val="center"/>
      <w:textAlignment w:val="top"/>
    </w:pPr>
    <w:rPr>
      <w:rFonts w:ascii="Arial" w:hAnsi="Arial" w:cs="Arial"/>
      <w:sz w:val="20"/>
      <w:szCs w:val="20"/>
      <w:lang w:val="en-US" w:eastAsia="en-US"/>
    </w:rPr>
  </w:style>
  <w:style w:type="paragraph" w:customStyle="1" w:styleId="Preformat">
    <w:name w:val="Preformat"/>
    <w:rsid w:val="00B819E3"/>
    <w:rPr>
      <w:rFonts w:ascii="Courier New" w:hAnsi="Courier New" w:cs="Courier New"/>
    </w:rPr>
  </w:style>
  <w:style w:type="paragraph" w:customStyle="1" w:styleId="RulesNo">
    <w:name w:val="Rules No"/>
    <w:autoRedefine/>
    <w:rsid w:val="00B819E3"/>
    <w:pPr>
      <w:ind w:firstLine="540"/>
      <w:jc w:val="both"/>
    </w:pPr>
    <w:rPr>
      <w:rFonts w:ascii="Arial" w:hAnsi="Arial" w:cs="Arial"/>
      <w:sz w:val="18"/>
      <w:szCs w:val="18"/>
    </w:rPr>
  </w:style>
  <w:style w:type="paragraph" w:styleId="ad">
    <w:name w:val="Balloon Text"/>
    <w:basedOn w:val="a"/>
    <w:link w:val="ae"/>
    <w:uiPriority w:val="99"/>
    <w:unhideWhenUsed/>
    <w:rsid w:val="00B819E3"/>
    <w:rPr>
      <w:rFonts w:ascii="Tahoma" w:hAnsi="Tahoma" w:cs="Tahoma"/>
      <w:sz w:val="16"/>
      <w:szCs w:val="16"/>
    </w:rPr>
  </w:style>
  <w:style w:type="character" w:customStyle="1" w:styleId="ae">
    <w:name w:val="Текст выноски Знак"/>
    <w:basedOn w:val="a0"/>
    <w:link w:val="ad"/>
    <w:uiPriority w:val="99"/>
    <w:locked/>
    <w:rsid w:val="00B819E3"/>
    <w:rPr>
      <w:rFonts w:ascii="Tahoma" w:hAnsi="Tahoma" w:cs="Tahoma"/>
      <w:sz w:val="16"/>
      <w:szCs w:val="16"/>
    </w:rPr>
  </w:style>
  <w:style w:type="paragraph" w:styleId="af">
    <w:name w:val="Normal (Web)"/>
    <w:basedOn w:val="a"/>
    <w:uiPriority w:val="99"/>
    <w:rsid w:val="00B819E3"/>
    <w:pPr>
      <w:spacing w:before="45" w:after="45"/>
    </w:pPr>
    <w:rPr>
      <w:rFonts w:ascii="Arial" w:hAnsi="Arial" w:cs="Arial"/>
      <w:sz w:val="16"/>
      <w:szCs w:val="16"/>
      <w:lang w:val="en-US" w:eastAsia="en-US"/>
    </w:rPr>
  </w:style>
  <w:style w:type="character" w:customStyle="1" w:styleId="fieldcomment1">
    <w:name w:val="field_comment1"/>
    <w:rsid w:val="00B819E3"/>
    <w:rPr>
      <w:sz w:val="9"/>
    </w:rPr>
  </w:style>
  <w:style w:type="paragraph" w:customStyle="1" w:styleId="ConsTitle">
    <w:name w:val="ConsTitle"/>
    <w:rsid w:val="00B819E3"/>
    <w:pPr>
      <w:widowControl w:val="0"/>
      <w:autoSpaceDE w:val="0"/>
      <w:autoSpaceDN w:val="0"/>
      <w:adjustRightInd w:val="0"/>
    </w:pPr>
    <w:rPr>
      <w:rFonts w:ascii="Arial" w:hAnsi="Arial" w:cs="Arial"/>
      <w:b/>
      <w:bCs/>
      <w:sz w:val="16"/>
      <w:szCs w:val="16"/>
    </w:rPr>
  </w:style>
  <w:style w:type="paragraph" w:styleId="22">
    <w:name w:val="Body Text Indent 2"/>
    <w:basedOn w:val="a"/>
    <w:link w:val="23"/>
    <w:uiPriority w:val="99"/>
    <w:semiHidden/>
    <w:unhideWhenUsed/>
    <w:rsid w:val="003E1D04"/>
    <w:pPr>
      <w:spacing w:after="120" w:line="480" w:lineRule="auto"/>
      <w:ind w:left="283"/>
    </w:pPr>
  </w:style>
  <w:style w:type="character" w:customStyle="1" w:styleId="23">
    <w:name w:val="Основной текст с отступом 2 Знак"/>
    <w:basedOn w:val="a0"/>
    <w:link w:val="22"/>
    <w:uiPriority w:val="99"/>
    <w:semiHidden/>
    <w:locked/>
    <w:rsid w:val="003E1D04"/>
    <w:rPr>
      <w:rFonts w:cs="Times New Roman"/>
      <w:sz w:val="24"/>
      <w:szCs w:val="24"/>
    </w:rPr>
  </w:style>
  <w:style w:type="paragraph" w:customStyle="1" w:styleId="fieldname">
    <w:name w:val="field_name"/>
    <w:basedOn w:val="a"/>
    <w:rsid w:val="006D11E9"/>
    <w:pPr>
      <w:spacing w:before="45" w:after="45"/>
      <w:jc w:val="right"/>
    </w:pPr>
    <w:rPr>
      <w:rFonts w:ascii="Arial" w:hAnsi="Arial" w:cs="Arial"/>
      <w:b/>
      <w:bCs/>
      <w:sz w:val="16"/>
      <w:szCs w:val="16"/>
      <w:lang w:val="en-US" w:eastAsia="en-US"/>
    </w:rPr>
  </w:style>
  <w:style w:type="paragraph" w:customStyle="1" w:styleId="signfield">
    <w:name w:val="sign_field"/>
    <w:basedOn w:val="a"/>
    <w:rsid w:val="006D11E9"/>
    <w:pPr>
      <w:pBdr>
        <w:bottom w:val="single" w:sz="8" w:space="0" w:color="000000"/>
      </w:pBdr>
      <w:spacing w:before="375" w:after="150"/>
      <w:textAlignment w:val="top"/>
    </w:pPr>
    <w:rPr>
      <w:rFonts w:ascii="Arial" w:hAnsi="Arial" w:cs="Arial"/>
      <w:sz w:val="16"/>
      <w:szCs w:val="16"/>
      <w:lang w:val="en-US" w:eastAsia="en-US"/>
    </w:rPr>
  </w:style>
  <w:style w:type="paragraph" w:customStyle="1" w:styleId="fielddata">
    <w:name w:val="field_data"/>
    <w:basedOn w:val="a"/>
    <w:rsid w:val="006D11E9"/>
    <w:pPr>
      <w:spacing w:before="45" w:after="45"/>
    </w:pPr>
    <w:rPr>
      <w:rFonts w:ascii="Arial" w:hAnsi="Arial" w:cs="Arial"/>
      <w:sz w:val="16"/>
      <w:szCs w:val="16"/>
      <w:lang w:val="en-US" w:eastAsia="en-US"/>
    </w:rPr>
  </w:style>
  <w:style w:type="paragraph" w:customStyle="1" w:styleId="footnote">
    <w:name w:val="footnote"/>
    <w:basedOn w:val="a"/>
    <w:rsid w:val="006D11E9"/>
    <w:pPr>
      <w:spacing w:after="105"/>
      <w:ind w:left="367"/>
    </w:pPr>
    <w:rPr>
      <w:rFonts w:ascii="Arial" w:hAnsi="Arial" w:cs="Arial"/>
      <w:sz w:val="9"/>
      <w:szCs w:val="9"/>
      <w:lang w:val="en-US" w:eastAsia="en-US"/>
    </w:rPr>
  </w:style>
  <w:style w:type="character" w:styleId="af0">
    <w:name w:val="annotation reference"/>
    <w:basedOn w:val="a0"/>
    <w:uiPriority w:val="99"/>
    <w:semiHidden/>
    <w:rsid w:val="006D11E9"/>
    <w:rPr>
      <w:rFonts w:cs="Times New Roman"/>
      <w:sz w:val="16"/>
    </w:rPr>
  </w:style>
  <w:style w:type="paragraph" w:styleId="af1">
    <w:name w:val="annotation text"/>
    <w:basedOn w:val="a"/>
    <w:link w:val="af2"/>
    <w:uiPriority w:val="99"/>
    <w:semiHidden/>
    <w:rsid w:val="006D11E9"/>
    <w:pPr>
      <w:spacing w:line="360" w:lineRule="atLeast"/>
      <w:jc w:val="both"/>
    </w:pPr>
    <w:rPr>
      <w:rFonts w:ascii="Times New Roman CYR" w:hAnsi="Times New Roman CYR" w:cs="Times New Roman CYR"/>
      <w:sz w:val="20"/>
      <w:szCs w:val="20"/>
    </w:rPr>
  </w:style>
  <w:style w:type="character" w:customStyle="1" w:styleId="af2">
    <w:name w:val="Текст примечания Знак"/>
    <w:basedOn w:val="a0"/>
    <w:link w:val="af1"/>
    <w:uiPriority w:val="99"/>
    <w:semiHidden/>
    <w:locked/>
    <w:rsid w:val="006D11E9"/>
    <w:rPr>
      <w:rFonts w:ascii="Times New Roman CYR" w:hAnsi="Times New Roman CYR" w:cs="Times New Roman CYR"/>
    </w:rPr>
  </w:style>
  <w:style w:type="paragraph" w:customStyle="1" w:styleId="af3">
    <w:name w:val="Стиль"/>
    <w:basedOn w:val="a"/>
    <w:rsid w:val="006D11E9"/>
    <w:pPr>
      <w:spacing w:after="160" w:line="240" w:lineRule="exact"/>
    </w:pPr>
    <w:rPr>
      <w:rFonts w:ascii="Verdana" w:hAnsi="Verdana"/>
      <w:sz w:val="20"/>
      <w:szCs w:val="20"/>
      <w:lang w:val="en-US" w:eastAsia="en-US"/>
    </w:rPr>
  </w:style>
  <w:style w:type="paragraph" w:styleId="af4">
    <w:name w:val="Body Text First Indent"/>
    <w:basedOn w:val="a8"/>
    <w:link w:val="af5"/>
    <w:uiPriority w:val="99"/>
    <w:semiHidden/>
    <w:rsid w:val="006D11E9"/>
    <w:pPr>
      <w:spacing w:after="120"/>
      <w:ind w:firstLine="210"/>
      <w:jc w:val="left"/>
    </w:pPr>
  </w:style>
  <w:style w:type="character" w:customStyle="1" w:styleId="af5">
    <w:name w:val="Красная строка Знак"/>
    <w:basedOn w:val="a9"/>
    <w:link w:val="af4"/>
    <w:uiPriority w:val="99"/>
    <w:semiHidden/>
    <w:locked/>
    <w:rsid w:val="006D11E9"/>
  </w:style>
  <w:style w:type="paragraph" w:styleId="2">
    <w:name w:val="List Bullet 2"/>
    <w:basedOn w:val="a"/>
    <w:autoRedefine/>
    <w:uiPriority w:val="99"/>
    <w:semiHidden/>
    <w:rsid w:val="006D11E9"/>
    <w:pPr>
      <w:numPr>
        <w:numId w:val="1"/>
      </w:numPr>
      <w:tabs>
        <w:tab w:val="clear" w:pos="643"/>
        <w:tab w:val="num" w:pos="1068"/>
      </w:tabs>
      <w:ind w:left="1068"/>
    </w:pPr>
  </w:style>
  <w:style w:type="paragraph" w:styleId="31">
    <w:name w:val="Body Text Indent 3"/>
    <w:basedOn w:val="a"/>
    <w:link w:val="32"/>
    <w:uiPriority w:val="99"/>
    <w:semiHidden/>
    <w:rsid w:val="006D11E9"/>
    <w:pPr>
      <w:spacing w:after="120" w:line="360" w:lineRule="atLeast"/>
      <w:ind w:left="283"/>
      <w:jc w:val="both"/>
    </w:pPr>
    <w:rPr>
      <w:rFonts w:ascii="Times New Roman CYR" w:hAnsi="Times New Roman CYR" w:cs="Times New Roman CYR"/>
      <w:sz w:val="16"/>
      <w:szCs w:val="16"/>
    </w:rPr>
  </w:style>
  <w:style w:type="character" w:customStyle="1" w:styleId="32">
    <w:name w:val="Основной текст с отступом 3 Знак"/>
    <w:basedOn w:val="a0"/>
    <w:link w:val="31"/>
    <w:uiPriority w:val="99"/>
    <w:semiHidden/>
    <w:locked/>
    <w:rsid w:val="006D11E9"/>
    <w:rPr>
      <w:rFonts w:ascii="Times New Roman CYR" w:hAnsi="Times New Roman CYR" w:cs="Times New Roman CYR"/>
      <w:sz w:val="16"/>
      <w:szCs w:val="16"/>
    </w:rPr>
  </w:style>
  <w:style w:type="paragraph" w:styleId="af6">
    <w:name w:val="annotation subject"/>
    <w:basedOn w:val="af1"/>
    <w:next w:val="af1"/>
    <w:link w:val="af7"/>
    <w:uiPriority w:val="99"/>
    <w:rsid w:val="006D11E9"/>
    <w:pPr>
      <w:spacing w:line="240" w:lineRule="auto"/>
      <w:jc w:val="left"/>
    </w:pPr>
    <w:rPr>
      <w:rFonts w:ascii="Times New Roman" w:hAnsi="Times New Roman" w:cs="Times New Roman"/>
      <w:b/>
      <w:bCs/>
      <w:lang w:eastAsia="en-US"/>
    </w:rPr>
  </w:style>
  <w:style w:type="character" w:customStyle="1" w:styleId="af7">
    <w:name w:val="Тема примечания Знак"/>
    <w:basedOn w:val="af2"/>
    <w:link w:val="af6"/>
    <w:uiPriority w:val="99"/>
    <w:locked/>
    <w:rsid w:val="006D11E9"/>
    <w:rPr>
      <w:b/>
      <w:bCs/>
      <w:lang w:eastAsia="en-US"/>
    </w:rPr>
  </w:style>
  <w:style w:type="paragraph" w:customStyle="1" w:styleId="ConsPlusNormal">
    <w:name w:val="ConsPlusNormal"/>
    <w:rsid w:val="006D11E9"/>
    <w:pPr>
      <w:widowControl w:val="0"/>
      <w:autoSpaceDE w:val="0"/>
      <w:autoSpaceDN w:val="0"/>
      <w:adjustRightInd w:val="0"/>
      <w:ind w:firstLine="720"/>
    </w:pPr>
    <w:rPr>
      <w:rFonts w:ascii="Arial" w:eastAsia="SimSun" w:hAnsi="Arial"/>
      <w:lang w:eastAsia="zh-CN"/>
    </w:rPr>
  </w:style>
  <w:style w:type="paragraph" w:customStyle="1" w:styleId="Body">
    <w:name w:val="Body"/>
    <w:basedOn w:val="a"/>
    <w:rsid w:val="006D11E9"/>
    <w:pPr>
      <w:spacing w:after="120"/>
      <w:ind w:left="357" w:firstLine="363"/>
      <w:jc w:val="both"/>
    </w:pPr>
  </w:style>
  <w:style w:type="paragraph" w:customStyle="1" w:styleId="Rulesbody">
    <w:name w:val="Rules body"/>
    <w:basedOn w:val="RulesNo"/>
    <w:autoRedefine/>
    <w:rsid w:val="006D11E9"/>
    <w:pPr>
      <w:ind w:left="426" w:firstLine="1"/>
    </w:pPr>
  </w:style>
  <w:style w:type="paragraph" w:customStyle="1" w:styleId="BodyNum">
    <w:name w:val="Body Num"/>
    <w:basedOn w:val="a"/>
    <w:rsid w:val="006D11E9"/>
    <w:pPr>
      <w:jc w:val="both"/>
    </w:pPr>
  </w:style>
  <w:style w:type="paragraph" w:customStyle="1" w:styleId="BodyBul">
    <w:name w:val="Body Bul"/>
    <w:basedOn w:val="a"/>
    <w:rsid w:val="006D11E9"/>
    <w:pPr>
      <w:tabs>
        <w:tab w:val="num" w:pos="643"/>
        <w:tab w:val="num" w:pos="720"/>
        <w:tab w:val="num" w:pos="927"/>
        <w:tab w:val="num" w:pos="1068"/>
        <w:tab w:val="num" w:pos="1755"/>
        <w:tab w:val="num" w:pos="1969"/>
      </w:tabs>
      <w:autoSpaceDE w:val="0"/>
      <w:autoSpaceDN w:val="0"/>
      <w:spacing w:after="120"/>
      <w:ind w:left="360" w:hanging="360"/>
      <w:jc w:val="both"/>
    </w:pPr>
  </w:style>
  <w:style w:type="character" w:styleId="af8">
    <w:name w:val="page number"/>
    <w:basedOn w:val="a0"/>
    <w:uiPriority w:val="99"/>
    <w:semiHidden/>
    <w:rsid w:val="006D11E9"/>
    <w:rPr>
      <w:rFonts w:cs="Times New Roman"/>
    </w:rPr>
  </w:style>
</w:styles>
</file>

<file path=word/webSettings.xml><?xml version="1.0" encoding="utf-8"?>
<w:webSettings xmlns:r="http://schemas.openxmlformats.org/officeDocument/2006/relationships" xmlns:w="http://schemas.openxmlformats.org/wordprocessingml/2006/main">
  <w:divs>
    <w:div w:id="1719621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017_вступают в силу с 14.10.2017</Статус_x0020_документа>
    <_EndDate xmlns="http://schemas.microsoft.com/sharepoint/v3/fields">01.09.2017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E0BE-19BB-478C-B030-86CAB65A9DC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32F432DE-5D15-4BCE-AE93-C4FED1DFAA8A}">
  <ds:schemaRefs>
    <ds:schemaRef ds:uri="http://schemas.microsoft.com/sharepoint/v3/contenttype/forms"/>
  </ds:schemaRefs>
</ds:datastoreItem>
</file>

<file path=customXml/itemProps3.xml><?xml version="1.0" encoding="utf-8"?>
<ds:datastoreItem xmlns:ds="http://schemas.openxmlformats.org/officeDocument/2006/customXml" ds:itemID="{97473929-A8D7-430B-A01B-B96350861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B2CAF0-D3A3-42CA-9B24-9173B20B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5531</Words>
  <Characters>31531</Characters>
  <Application>Microsoft Office Word</Application>
  <DocSecurity>0</DocSecurity>
  <Lines>262</Lines>
  <Paragraphs>73</Paragraphs>
  <ScaleCrop>false</ScaleCrop>
  <Company>bcs</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ФИЛИАЛ</dc:title>
  <dc:creator>ekorneenkova</dc:creator>
  <cp:lastModifiedBy>voronovskaya.v</cp:lastModifiedBy>
  <cp:revision>2</cp:revision>
  <cp:lastPrinted>2015-10-21T11:33:00Z</cp:lastPrinted>
  <dcterms:created xsi:type="dcterms:W3CDTF">2017-09-14T07:01:00Z</dcterms:created>
  <dcterms:modified xsi:type="dcterms:W3CDTF">2017-09-14T07:01:00Z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