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7178"/>
        <w:gridCol w:w="2465"/>
      </w:tblGrid>
      <w:tr w:rsidR="00EC695A" w:rsidRPr="00BA6A9E" w:rsidTr="00C9297B">
        <w:trPr>
          <w:trHeight w:val="360"/>
        </w:trPr>
        <w:tc>
          <w:tcPr>
            <w:tcW w:w="7178" w:type="dxa"/>
          </w:tcPr>
          <w:p w:rsidR="00EC695A" w:rsidRPr="00BA6A9E" w:rsidRDefault="00EC695A" w:rsidP="00C92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5" w:type="dxa"/>
          </w:tcPr>
          <w:p w:rsidR="00EC695A" w:rsidRPr="00BA6A9E" w:rsidRDefault="00EC695A" w:rsidP="00C9297B">
            <w:pPr>
              <w:rPr>
                <w:sz w:val="22"/>
                <w:szCs w:val="22"/>
              </w:rPr>
            </w:pPr>
          </w:p>
        </w:tc>
      </w:tr>
    </w:tbl>
    <w:p w:rsidR="006B373D" w:rsidRPr="006B373D" w:rsidRDefault="006B373D" w:rsidP="007D7A52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6B373D">
        <w:rPr>
          <w:rFonts w:ascii="Arial" w:hAnsi="Arial" w:cs="Arial"/>
          <w:sz w:val="18"/>
          <w:szCs w:val="20"/>
        </w:rPr>
        <w:t>Акционерное общество Управляющая компания «</w:t>
      </w:r>
      <w:proofErr w:type="spellStart"/>
      <w:r w:rsidRPr="006B373D">
        <w:rPr>
          <w:rFonts w:ascii="Arial" w:hAnsi="Arial" w:cs="Arial"/>
          <w:sz w:val="18"/>
          <w:szCs w:val="20"/>
        </w:rPr>
        <w:t>Брокеркредитсервис</w:t>
      </w:r>
      <w:proofErr w:type="spellEnd"/>
      <w:r w:rsidRPr="006B373D">
        <w:rPr>
          <w:rFonts w:ascii="Arial" w:hAnsi="Arial" w:cs="Arial"/>
          <w:sz w:val="18"/>
          <w:szCs w:val="20"/>
        </w:rPr>
        <w:t>»</w:t>
      </w:r>
      <w:r w:rsidRPr="006B373D">
        <w:rPr>
          <w:rFonts w:ascii="Arial" w:hAnsi="Arial" w:cs="Arial"/>
          <w:sz w:val="18"/>
          <w:szCs w:val="20"/>
        </w:rPr>
        <w:tab/>
      </w:r>
      <w:r w:rsidRPr="006B373D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</w:t>
      </w:r>
      <w:r w:rsidRPr="006B373D">
        <w:rPr>
          <w:rFonts w:ascii="Arial" w:hAnsi="Arial" w:cs="Arial"/>
          <w:sz w:val="18"/>
          <w:szCs w:val="20"/>
        </w:rPr>
        <w:t xml:space="preserve"> </w:t>
      </w:r>
      <w:r w:rsidRPr="006B373D">
        <w:rPr>
          <w:rFonts w:ascii="Arial" w:hAnsi="Arial" w:cs="Arial"/>
          <w:sz w:val="18"/>
          <w:szCs w:val="18"/>
        </w:rPr>
        <w:t xml:space="preserve">Тел:  (383) </w:t>
      </w:r>
      <w:r w:rsidRPr="006B373D">
        <w:rPr>
          <w:rFonts w:ascii="Arial" w:hAnsi="Arial" w:cs="Arial"/>
          <w:sz w:val="18"/>
          <w:szCs w:val="20"/>
        </w:rPr>
        <w:t>210 50 20</w:t>
      </w:r>
    </w:p>
    <w:p w:rsidR="006B373D" w:rsidRPr="006B373D" w:rsidRDefault="006B373D" w:rsidP="006B373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B373D">
        <w:rPr>
          <w:rFonts w:ascii="Arial" w:hAnsi="Arial" w:cs="Arial"/>
          <w:sz w:val="18"/>
          <w:szCs w:val="20"/>
        </w:rPr>
        <w:t>(АО УК «БКС»)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</w:r>
      <w:r w:rsidRPr="006B373D">
        <w:rPr>
          <w:rFonts w:ascii="Arial" w:hAnsi="Arial" w:cs="Arial"/>
          <w:sz w:val="18"/>
          <w:szCs w:val="18"/>
        </w:rPr>
        <w:t xml:space="preserve">    </w:t>
      </w:r>
      <w:r w:rsidRPr="006B373D">
        <w:rPr>
          <w:rFonts w:ascii="Arial" w:hAnsi="Arial" w:cs="Arial"/>
          <w:sz w:val="18"/>
          <w:szCs w:val="20"/>
        </w:rPr>
        <w:t>Факс:(383) 210 50 20</w:t>
      </w:r>
    </w:p>
    <w:p w:rsidR="006B373D" w:rsidRPr="006B373D" w:rsidRDefault="006B373D" w:rsidP="006B373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B373D">
        <w:rPr>
          <w:rFonts w:ascii="Arial" w:hAnsi="Arial" w:cs="Arial"/>
          <w:sz w:val="18"/>
          <w:szCs w:val="18"/>
        </w:rPr>
        <w:t>ул. Советская, д.37, Новосибирск,</w:t>
      </w:r>
      <w:r>
        <w:rPr>
          <w:rFonts w:ascii="Arial" w:hAnsi="Arial" w:cs="Arial"/>
          <w:sz w:val="18"/>
          <w:szCs w:val="18"/>
        </w:rPr>
        <w:t xml:space="preserve"> Россия, 630099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B373D">
        <w:rPr>
          <w:rFonts w:ascii="Arial" w:hAnsi="Arial" w:cs="Arial"/>
          <w:sz w:val="18"/>
          <w:szCs w:val="18"/>
        </w:rPr>
        <w:t xml:space="preserve">    </w:t>
      </w:r>
      <w:r w:rsidRPr="006B373D">
        <w:rPr>
          <w:rFonts w:ascii="Arial" w:hAnsi="Arial" w:cs="Arial"/>
          <w:sz w:val="18"/>
          <w:szCs w:val="20"/>
          <w:lang w:val="en-US"/>
        </w:rPr>
        <w:t>www</w:t>
      </w:r>
      <w:r w:rsidRPr="006B373D">
        <w:rPr>
          <w:rFonts w:ascii="Arial" w:hAnsi="Arial" w:cs="Arial"/>
          <w:sz w:val="18"/>
          <w:szCs w:val="20"/>
        </w:rPr>
        <w:t>.</w:t>
      </w:r>
      <w:proofErr w:type="spellStart"/>
      <w:r w:rsidRPr="006B373D">
        <w:rPr>
          <w:rFonts w:ascii="Arial" w:hAnsi="Arial" w:cs="Arial"/>
          <w:sz w:val="18"/>
          <w:szCs w:val="20"/>
          <w:lang w:val="en-US"/>
        </w:rPr>
        <w:t>bcs</w:t>
      </w:r>
      <w:proofErr w:type="spellEnd"/>
      <w:r w:rsidRPr="006B373D">
        <w:rPr>
          <w:rFonts w:ascii="Arial" w:hAnsi="Arial" w:cs="Arial"/>
          <w:sz w:val="18"/>
          <w:szCs w:val="20"/>
        </w:rPr>
        <w:t>.</w:t>
      </w:r>
      <w:proofErr w:type="spellStart"/>
      <w:r w:rsidRPr="006B373D">
        <w:rPr>
          <w:rFonts w:ascii="Arial" w:hAnsi="Arial" w:cs="Arial"/>
          <w:sz w:val="18"/>
          <w:szCs w:val="20"/>
          <w:lang w:val="en-US"/>
        </w:rPr>
        <w:t>ru</w:t>
      </w:r>
      <w:proofErr w:type="spellEnd"/>
      <w:r w:rsidRPr="006B373D">
        <w:rPr>
          <w:rFonts w:ascii="Arial" w:hAnsi="Arial" w:cs="Arial"/>
          <w:sz w:val="18"/>
          <w:szCs w:val="20"/>
        </w:rPr>
        <w:t>/</w:t>
      </w:r>
      <w:r w:rsidRPr="006B373D">
        <w:rPr>
          <w:rFonts w:ascii="Arial" w:hAnsi="Arial" w:cs="Arial"/>
          <w:sz w:val="18"/>
          <w:szCs w:val="20"/>
          <w:lang w:val="en-US"/>
        </w:rPr>
        <w:t>am</w:t>
      </w:r>
    </w:p>
    <w:p w:rsidR="006B373D" w:rsidRPr="006B373D" w:rsidRDefault="006B373D" w:rsidP="006B373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B373D">
        <w:rPr>
          <w:rFonts w:ascii="Arial" w:hAnsi="Arial" w:cs="Arial"/>
          <w:sz w:val="18"/>
          <w:szCs w:val="20"/>
        </w:rPr>
        <w:t xml:space="preserve">ОГРН 1025403200020 ИНН 5407191291 КПП </w:t>
      </w:r>
      <w:r>
        <w:rPr>
          <w:rFonts w:ascii="Arial" w:hAnsi="Arial" w:cs="Arial"/>
          <w:sz w:val="18"/>
          <w:szCs w:val="20"/>
        </w:rPr>
        <w:t>540701001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Pr="006B373D">
        <w:rPr>
          <w:rFonts w:ascii="Arial" w:hAnsi="Arial" w:cs="Arial"/>
          <w:sz w:val="18"/>
          <w:szCs w:val="20"/>
        </w:rPr>
        <w:t xml:space="preserve">    </w:t>
      </w:r>
      <w:proofErr w:type="spellStart"/>
      <w:r w:rsidRPr="006B373D">
        <w:rPr>
          <w:rFonts w:ascii="Arial" w:hAnsi="Arial" w:cs="Arial"/>
          <w:sz w:val="18"/>
          <w:szCs w:val="20"/>
          <w:lang w:val="en-US"/>
        </w:rPr>
        <w:t>uk</w:t>
      </w:r>
      <w:proofErr w:type="spellEnd"/>
      <w:r w:rsidRPr="006B373D">
        <w:rPr>
          <w:rFonts w:ascii="Arial" w:hAnsi="Arial" w:cs="Arial"/>
          <w:sz w:val="18"/>
          <w:szCs w:val="20"/>
        </w:rPr>
        <w:t>@</w:t>
      </w:r>
      <w:proofErr w:type="spellStart"/>
      <w:r w:rsidRPr="006B373D">
        <w:rPr>
          <w:rFonts w:ascii="Arial" w:hAnsi="Arial" w:cs="Arial"/>
          <w:sz w:val="18"/>
          <w:szCs w:val="20"/>
          <w:lang w:val="en-US"/>
        </w:rPr>
        <w:t>bcs</w:t>
      </w:r>
      <w:proofErr w:type="spellEnd"/>
      <w:r w:rsidRPr="006B373D">
        <w:rPr>
          <w:rFonts w:ascii="Arial" w:hAnsi="Arial" w:cs="Arial"/>
          <w:sz w:val="18"/>
          <w:szCs w:val="20"/>
        </w:rPr>
        <w:t>.</w:t>
      </w:r>
      <w:proofErr w:type="spellStart"/>
      <w:r w:rsidRPr="006B373D">
        <w:rPr>
          <w:rFonts w:ascii="Arial" w:hAnsi="Arial" w:cs="Arial"/>
          <w:sz w:val="18"/>
          <w:szCs w:val="20"/>
          <w:lang w:val="en-US"/>
        </w:rPr>
        <w:t>ru</w:t>
      </w:r>
      <w:proofErr w:type="spellEnd"/>
    </w:p>
    <w:p w:rsidR="006B373D" w:rsidRPr="006B373D" w:rsidRDefault="006B373D" w:rsidP="00EC695A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6B373D" w:rsidRPr="006B373D" w:rsidRDefault="006B373D" w:rsidP="00EC695A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E654DB" w:rsidRDefault="00E654DB" w:rsidP="00E654DB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Утверждены </w:t>
      </w:r>
    </w:p>
    <w:p w:rsidR="00AA6AF0" w:rsidRDefault="00E654DB" w:rsidP="00E654DB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Решением </w:t>
      </w:r>
      <w:r w:rsidR="00C4497F">
        <w:rPr>
          <w:sz w:val="22"/>
          <w:szCs w:val="22"/>
        </w:rPr>
        <w:t>И.О. Г</w:t>
      </w:r>
      <w:r w:rsidR="00AA6AF0">
        <w:rPr>
          <w:sz w:val="22"/>
          <w:szCs w:val="22"/>
        </w:rPr>
        <w:t>енерального директора</w:t>
      </w:r>
    </w:p>
    <w:p w:rsidR="007776A4" w:rsidRDefault="00AA6AF0" w:rsidP="00AA6AF0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АО УК «БКС»</w:t>
      </w:r>
    </w:p>
    <w:p w:rsidR="00E654DB" w:rsidRDefault="00E654DB" w:rsidP="00E654D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C4497F">
        <w:rPr>
          <w:sz w:val="22"/>
          <w:szCs w:val="22"/>
        </w:rPr>
        <w:t>6</w:t>
      </w:r>
      <w:r w:rsidR="00D7107E">
        <w:rPr>
          <w:sz w:val="22"/>
          <w:szCs w:val="22"/>
        </w:rPr>
        <w:t>/17 от «</w:t>
      </w:r>
      <w:r w:rsidR="00C4497F">
        <w:rPr>
          <w:sz w:val="22"/>
          <w:szCs w:val="22"/>
        </w:rPr>
        <w:t>23</w:t>
      </w:r>
      <w:r>
        <w:rPr>
          <w:sz w:val="22"/>
          <w:szCs w:val="22"/>
        </w:rPr>
        <w:t xml:space="preserve">» </w:t>
      </w:r>
      <w:r w:rsidR="00C4497F">
        <w:rPr>
          <w:sz w:val="22"/>
          <w:szCs w:val="22"/>
        </w:rPr>
        <w:t>октября</w:t>
      </w:r>
      <w:r>
        <w:rPr>
          <w:sz w:val="22"/>
          <w:szCs w:val="22"/>
        </w:rPr>
        <w:t xml:space="preserve"> 2017г.</w:t>
      </w:r>
    </w:p>
    <w:p w:rsidR="00E654DB" w:rsidRDefault="007776A4" w:rsidP="00E654DB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___________/</w:t>
      </w:r>
      <w:proofErr w:type="spellStart"/>
      <w:r>
        <w:rPr>
          <w:sz w:val="22"/>
          <w:szCs w:val="22"/>
        </w:rPr>
        <w:t>О.Ю.Ковлешенко</w:t>
      </w:r>
      <w:proofErr w:type="spellEnd"/>
    </w:p>
    <w:p w:rsidR="00E654DB" w:rsidRDefault="00E654DB" w:rsidP="00E654DB">
      <w:pPr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М.П.</w:t>
      </w:r>
    </w:p>
    <w:p w:rsidR="00092AF1" w:rsidRDefault="00092AF1" w:rsidP="00B819E3">
      <w:pPr>
        <w:jc w:val="center"/>
        <w:rPr>
          <w:b/>
          <w:bCs/>
          <w:sz w:val="22"/>
          <w:szCs w:val="22"/>
        </w:rPr>
      </w:pPr>
    </w:p>
    <w:p w:rsidR="00661DCF" w:rsidRPr="00BA6A9E" w:rsidRDefault="00661DCF" w:rsidP="00B819E3">
      <w:pPr>
        <w:jc w:val="center"/>
        <w:rPr>
          <w:b/>
          <w:bCs/>
          <w:sz w:val="22"/>
          <w:szCs w:val="22"/>
        </w:rPr>
      </w:pPr>
    </w:p>
    <w:p w:rsidR="00EF7737" w:rsidRPr="00246E38" w:rsidRDefault="00661DCF" w:rsidP="00EF7737">
      <w:pPr>
        <w:jc w:val="center"/>
        <w:rPr>
          <w:b/>
          <w:bCs/>
          <w:sz w:val="22"/>
          <w:szCs w:val="22"/>
        </w:rPr>
      </w:pPr>
      <w:r w:rsidRPr="00661DCF">
        <w:rPr>
          <w:b/>
          <w:bCs/>
          <w:sz w:val="22"/>
          <w:szCs w:val="22"/>
        </w:rPr>
        <w:t xml:space="preserve"> </w:t>
      </w:r>
      <w:r w:rsidRPr="00E654DB">
        <w:rPr>
          <w:b/>
          <w:bCs/>
          <w:sz w:val="22"/>
          <w:szCs w:val="22"/>
        </w:rPr>
        <w:t xml:space="preserve">  </w:t>
      </w:r>
      <w:r w:rsidR="00EF7737" w:rsidRPr="00BA6A9E">
        <w:rPr>
          <w:b/>
          <w:bCs/>
          <w:sz w:val="22"/>
          <w:szCs w:val="22"/>
        </w:rPr>
        <w:t xml:space="preserve">ИЗМЕНЕНИЯ И ДОПОЛНЕНИЯ № </w:t>
      </w:r>
      <w:r w:rsidR="00EF7737">
        <w:rPr>
          <w:b/>
          <w:bCs/>
          <w:sz w:val="22"/>
          <w:szCs w:val="22"/>
        </w:rPr>
        <w:t>1</w:t>
      </w:r>
      <w:r w:rsidR="007776A4">
        <w:rPr>
          <w:b/>
          <w:bCs/>
          <w:sz w:val="22"/>
          <w:szCs w:val="22"/>
        </w:rPr>
        <w:t>2</w:t>
      </w:r>
    </w:p>
    <w:p w:rsidR="00EF7737" w:rsidRPr="00BA6A9E" w:rsidRDefault="00EF7737" w:rsidP="00EF7737">
      <w:pPr>
        <w:pStyle w:val="af"/>
        <w:spacing w:before="0" w:after="60"/>
        <w:ind w:right="-162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A6A9E">
        <w:rPr>
          <w:rFonts w:ascii="Times New Roman" w:hAnsi="Times New Roman" w:cs="Times New Roman"/>
          <w:b/>
          <w:bCs/>
          <w:sz w:val="22"/>
          <w:szCs w:val="22"/>
          <w:lang w:val="ru-RU"/>
        </w:rPr>
        <w:t>в Правила доверительного управления</w:t>
      </w:r>
    </w:p>
    <w:p w:rsidR="00EF7737" w:rsidRPr="00BA6A9E" w:rsidRDefault="00EF7737" w:rsidP="00EF7737">
      <w:pPr>
        <w:pStyle w:val="af"/>
        <w:spacing w:before="0" w:after="60"/>
        <w:ind w:right="-162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BA6A9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Открытым паевым инвестиционным фондом </w:t>
      </w:r>
      <w:r w:rsidR="007776A4">
        <w:rPr>
          <w:rFonts w:ascii="Times New Roman" w:hAnsi="Times New Roman" w:cs="Times New Roman"/>
          <w:b/>
          <w:bCs/>
          <w:sz w:val="22"/>
          <w:szCs w:val="22"/>
          <w:lang w:val="ru-RU"/>
        </w:rPr>
        <w:t>рыночных финансовых инструментов</w:t>
      </w:r>
    </w:p>
    <w:p w:rsidR="00EF7737" w:rsidRPr="00C00C71" w:rsidRDefault="00EF7737" w:rsidP="00EF7737">
      <w:pPr>
        <w:pStyle w:val="af"/>
        <w:spacing w:before="0" w:after="60"/>
        <w:ind w:right="-162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BA6A9E">
        <w:rPr>
          <w:rFonts w:ascii="Times New Roman" w:hAnsi="Times New Roman" w:cs="Times New Roman"/>
          <w:b/>
          <w:bCs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БК</w:t>
      </w:r>
      <w:r w:rsidR="006B4D18">
        <w:rPr>
          <w:rFonts w:ascii="Times New Roman" w:hAnsi="Times New Roman" w:cs="Times New Roman"/>
          <w:b/>
          <w:bCs/>
          <w:sz w:val="22"/>
          <w:szCs w:val="22"/>
          <w:lang w:val="ru-RU"/>
        </w:rPr>
        <w:t>С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Драгоценные </w:t>
      </w:r>
      <w:r w:rsidR="0026434E">
        <w:rPr>
          <w:rFonts w:ascii="Times New Roman" w:hAnsi="Times New Roman" w:cs="Times New Roman"/>
          <w:b/>
          <w:bCs/>
          <w:sz w:val="22"/>
          <w:szCs w:val="22"/>
          <w:lang w:val="ru-RU"/>
        </w:rPr>
        <w:t>М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еталлы</w:t>
      </w:r>
      <w:r w:rsidRPr="00BA6A9E">
        <w:rPr>
          <w:rFonts w:ascii="Times New Roman" w:hAnsi="Times New Roman" w:cs="Times New Roman"/>
          <w:b/>
          <w:bCs/>
          <w:sz w:val="22"/>
          <w:szCs w:val="22"/>
          <w:lang w:val="ru-RU"/>
        </w:rPr>
        <w:t>»</w:t>
      </w:r>
    </w:p>
    <w:p w:rsidR="005307C2" w:rsidRPr="00BA6A9E" w:rsidRDefault="005307C2" w:rsidP="005307C2">
      <w:pPr>
        <w:jc w:val="both"/>
        <w:rPr>
          <w:b/>
          <w:bCs/>
          <w:sz w:val="22"/>
          <w:szCs w:val="22"/>
        </w:rPr>
      </w:pPr>
    </w:p>
    <w:tbl>
      <w:tblPr>
        <w:tblW w:w="10255" w:type="dxa"/>
        <w:tblInd w:w="-792" w:type="dxa"/>
        <w:tblLook w:val="0000"/>
      </w:tblPr>
      <w:tblGrid>
        <w:gridCol w:w="5153"/>
        <w:gridCol w:w="5102"/>
      </w:tblGrid>
      <w:tr w:rsidR="00EF7737" w:rsidRPr="00BA6A9E" w:rsidTr="00DE6E80">
        <w:trPr>
          <w:trHeight w:val="315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37" w:rsidRPr="00BA6A9E" w:rsidRDefault="00EF7737" w:rsidP="008B10F1">
            <w:pPr>
              <w:pStyle w:val="af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Старая</w:t>
            </w:r>
            <w:proofErr w:type="spellEnd"/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редакция</w:t>
            </w:r>
            <w:proofErr w:type="spellEnd"/>
          </w:p>
          <w:p w:rsidR="00EF7737" w:rsidRPr="00BA6A9E" w:rsidRDefault="00EF7737" w:rsidP="008B10F1">
            <w:pPr>
              <w:pStyle w:val="af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37" w:rsidRPr="00BA6A9E" w:rsidRDefault="00EF7737" w:rsidP="008B10F1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Новая</w:t>
            </w:r>
            <w:proofErr w:type="spellEnd"/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редакция</w:t>
            </w:r>
            <w:proofErr w:type="spellEnd"/>
          </w:p>
        </w:tc>
      </w:tr>
      <w:tr w:rsidR="00EF7737" w:rsidRPr="00BA6A9E" w:rsidTr="00DE6E80">
        <w:trPr>
          <w:trHeight w:val="126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37" w:rsidRPr="00E642D7" w:rsidRDefault="007776A4" w:rsidP="00E642D7">
            <w:pPr>
              <w:pStyle w:val="af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13.</w:t>
            </w:r>
            <w:r w:rsidRPr="007776A4">
              <w:rPr>
                <w:lang w:val="ru-RU"/>
              </w:rPr>
              <w:t xml:space="preserve"> </w:t>
            </w:r>
            <w:r w:rsidRPr="007776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Полное фирменное наименование аудиторской организации фонда (далее – Аудиторская организация): Общество с ограниченной ответственностью «Судебная  экспертиза и Аудит».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37" w:rsidRPr="00E642D7" w:rsidRDefault="00EF7737" w:rsidP="00E642D7">
            <w:pPr>
              <w:pStyle w:val="af"/>
              <w:spacing w:before="0"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642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="007776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gramEnd"/>
            <w:r w:rsidR="007776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13. </w:t>
            </w:r>
            <w:r w:rsidR="007776A4" w:rsidRPr="007776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Полное фирменное наименование аудиторской организации фонда (далее – Аудиторская организация): </w:t>
            </w:r>
            <w:r w:rsidR="00DD67EA" w:rsidRPr="00DD67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Закрытое акционерное общество Консультационная группа «Баланс»</w:t>
            </w:r>
            <w:r w:rsidR="007776A4" w:rsidRPr="007776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</w:tr>
      <w:tr w:rsidR="00EF7737" w:rsidRPr="00BA6A9E" w:rsidTr="00DE6E80">
        <w:trPr>
          <w:trHeight w:val="135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37" w:rsidRPr="00E642D7" w:rsidRDefault="007776A4" w:rsidP="00E642D7">
            <w:pPr>
              <w:pStyle w:val="af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п. 14. </w:t>
            </w:r>
            <w:r w:rsidR="00514705" w:rsidRPr="0051470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Место нахождения Аудиторской организации: Российская Федерация, 630051,                   г. Новосибирск, ул. Ползунова, д. 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37" w:rsidRPr="00E642D7" w:rsidRDefault="007776A4" w:rsidP="00E642D7">
            <w:pPr>
              <w:tabs>
                <w:tab w:val="right" w:pos="907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14.</w:t>
            </w:r>
            <w:r w:rsidR="00514705">
              <w:t xml:space="preserve"> </w:t>
            </w:r>
            <w:r w:rsidR="00514705" w:rsidRPr="00514705">
              <w:rPr>
                <w:sz w:val="22"/>
                <w:szCs w:val="22"/>
              </w:rPr>
              <w:t xml:space="preserve">Место нахождения Аудиторской организации: </w:t>
            </w:r>
            <w:r w:rsidR="00DD67EA" w:rsidRPr="00DD67EA">
              <w:rPr>
                <w:sz w:val="22"/>
                <w:szCs w:val="22"/>
              </w:rPr>
              <w:t>Российская Федерация,  630004, г. Новосибирск, ул. Ленина, д. 21/1, корп. 2</w:t>
            </w:r>
            <w:r w:rsidR="00514705" w:rsidRPr="00514705">
              <w:rPr>
                <w:sz w:val="22"/>
                <w:szCs w:val="22"/>
              </w:rPr>
              <w:t>.</w:t>
            </w:r>
          </w:p>
        </w:tc>
      </w:tr>
      <w:tr w:rsidR="00BB3758" w:rsidRPr="00BA6A9E" w:rsidTr="00DE6E80">
        <w:trPr>
          <w:trHeight w:val="135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58" w:rsidRPr="00BB3758" w:rsidRDefault="00BB3758" w:rsidP="00BB3758">
            <w:pPr>
              <w:pStyle w:val="af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п. 23.4. </w:t>
            </w:r>
            <w:proofErr w:type="gramStart"/>
            <w:r w:rsidRPr="00BB37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Стоимость лотов производных финансовых инструментов (если базовым (базисным) активом производного финансового инструмента является другой производный финансовый инструмент - стоимость лотов таких производных финансовых инструментов), размер принятых обязательств по поставке активов по иным сделкам, дата исполнения которых не ранее 3 рабочих дней с даты заключения сделки, и заемные средства, предусмотренные подпунктом 5 пункта 1 статьи 40 Федерального закона от 29 ноября 2001</w:t>
            </w:r>
            <w:proofErr w:type="gramEnd"/>
            <w:r w:rsidRPr="00BB37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года № 156-ФЗ «Об инвестиционных фондах», в совокупности не должны превышать 40 процентов стоимости чистых активов фонда.</w:t>
            </w:r>
          </w:p>
          <w:p w:rsidR="00BB3758" w:rsidRPr="00BB3758" w:rsidRDefault="00BB3758" w:rsidP="00BB3758">
            <w:pPr>
              <w:pStyle w:val="af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BB37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дату заключения сделок с производными финансовыми инструментами, договоров займа, кредитных договоров или сделок, дата исполнения которых не ранее 3 рабочих дней с даты заключения сделки, совокупная стоимость активов, указанных в абзаце первом настоящего пункта, с учетом заключенных ранее сделок, указанных в настоящем абзаце, и заемных средств, предусмотренных подпунктом 5 пункта 1 статьи 40 Федерального закона от 29 ноября 2001</w:t>
            </w:r>
            <w:proofErr w:type="gramEnd"/>
            <w:r w:rsidRPr="00BB37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г. № 156-ФЗ «Об инвестиционных фондах», не должна превышать 20 процентов стоимости чистых активов фонда.</w:t>
            </w:r>
          </w:p>
          <w:p w:rsidR="00BB3758" w:rsidRPr="00BB3758" w:rsidRDefault="00BB3758" w:rsidP="00BB3758">
            <w:pPr>
              <w:pStyle w:val="af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B37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Для целей настоящего пункта производные финансовые инструменты учитываются в объеме открытой позиции, скорректированной по результатам клиринга.</w:t>
            </w:r>
          </w:p>
          <w:p w:rsidR="00BB3758" w:rsidRPr="00BB3758" w:rsidRDefault="00BB3758" w:rsidP="00BB3758">
            <w:pPr>
              <w:pStyle w:val="af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B37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Для целей абзаца первого и второго настоящего пункта не учитываются опционные договоры, по которым управляющая компания имеет право требовать от контрагента покупки или продажи базового (базисного) актива. </w:t>
            </w:r>
          </w:p>
          <w:p w:rsidR="00BB3758" w:rsidRDefault="00BB3758" w:rsidP="00BB3758">
            <w:pPr>
              <w:pStyle w:val="af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B37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Требования п. 23.1-23.4 настоящих Правил применяются до даты возникновения основания прекращения фонда.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58" w:rsidRPr="00BB3758" w:rsidRDefault="00BB3758" w:rsidP="00BB3758">
            <w:pPr>
              <w:tabs>
                <w:tab w:val="right" w:pos="907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п. 23.4. </w:t>
            </w:r>
            <w:proofErr w:type="gramStart"/>
            <w:r w:rsidRPr="00BB3758">
              <w:rPr>
                <w:sz w:val="22"/>
                <w:szCs w:val="22"/>
              </w:rPr>
              <w:t xml:space="preserve">Стоимость лотов производных финансовых инструментов (если базовым (базисным) активом производного финансового инструмента является другой производный финансовый инструмент - стоимость лотов таких производных финансовых инструментов), стоимость ценных бумаг (сумма денежных средств), полученных управляющей компанией по первой части договора </w:t>
            </w:r>
            <w:proofErr w:type="spellStart"/>
            <w:r w:rsidRPr="00BB3758">
              <w:rPr>
                <w:sz w:val="22"/>
                <w:szCs w:val="22"/>
              </w:rPr>
              <w:t>репо</w:t>
            </w:r>
            <w:proofErr w:type="spellEnd"/>
            <w:r w:rsidRPr="00BB3758">
              <w:rPr>
                <w:sz w:val="22"/>
                <w:szCs w:val="22"/>
              </w:rPr>
              <w:t>, размер принятых обязательств по поставке активов по иным сделкам, дата исполнения которых не ранее 3 рабочих дней с даты заключения сделки, и заемные</w:t>
            </w:r>
            <w:proofErr w:type="gramEnd"/>
            <w:r w:rsidRPr="00BB3758">
              <w:rPr>
                <w:sz w:val="22"/>
                <w:szCs w:val="22"/>
              </w:rPr>
              <w:t xml:space="preserve"> средства, предусмотренные </w:t>
            </w:r>
            <w:hyperlink r:id="rId11" w:history="1">
              <w:r w:rsidRPr="00BB3758">
                <w:rPr>
                  <w:rStyle w:val="a7"/>
                  <w:color w:val="auto"/>
                  <w:sz w:val="22"/>
                  <w:szCs w:val="22"/>
                  <w:u w:val="none"/>
                </w:rPr>
                <w:t>подпунктом 5 пункта 1 статьи 40</w:t>
              </w:r>
            </w:hyperlink>
            <w:r w:rsidRPr="00BB3758">
              <w:rPr>
                <w:sz w:val="22"/>
                <w:szCs w:val="22"/>
              </w:rPr>
              <w:t xml:space="preserve"> Федерального закона от 29 ноября 2001 года № 156-ФЗ «Об инвестиционных фондах», в совокупности не должны превышать 40 процентов стоимости чистых активов фонда.</w:t>
            </w:r>
          </w:p>
          <w:p w:rsidR="00BB3758" w:rsidRPr="00BB3758" w:rsidRDefault="00BB3758" w:rsidP="00BB3758">
            <w:pPr>
              <w:tabs>
                <w:tab w:val="right" w:pos="9070"/>
              </w:tabs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BB3758">
              <w:rPr>
                <w:sz w:val="22"/>
                <w:szCs w:val="22"/>
              </w:rPr>
              <w:t xml:space="preserve">На дату заключения сделок с производными финансовыми инструментами, договоров </w:t>
            </w:r>
            <w:proofErr w:type="spellStart"/>
            <w:r w:rsidRPr="00BB3758">
              <w:rPr>
                <w:sz w:val="22"/>
                <w:szCs w:val="22"/>
              </w:rPr>
              <w:t>репо</w:t>
            </w:r>
            <w:proofErr w:type="spellEnd"/>
            <w:r w:rsidRPr="00BB3758">
              <w:rPr>
                <w:sz w:val="22"/>
                <w:szCs w:val="22"/>
              </w:rPr>
              <w:t xml:space="preserve">, договоров займа, кредитных договоров или сделок, дата исполнения которых не ранее 3 рабочих дней с даты заключения сделки, совокупная стоимость активов, указанных в </w:t>
            </w:r>
            <w:hyperlink r:id="rId12" w:history="1">
              <w:r w:rsidRPr="00BB3758">
                <w:rPr>
                  <w:rStyle w:val="a7"/>
                  <w:color w:val="auto"/>
                  <w:sz w:val="22"/>
                  <w:szCs w:val="22"/>
                  <w:u w:val="none"/>
                </w:rPr>
                <w:t xml:space="preserve">абзаце </w:t>
              </w:r>
            </w:hyperlink>
            <w:r w:rsidRPr="00BB3758">
              <w:rPr>
                <w:sz w:val="22"/>
                <w:szCs w:val="22"/>
              </w:rPr>
              <w:t xml:space="preserve">первом настоящего пункта, с учетом заключенных ранее договоров </w:t>
            </w:r>
            <w:proofErr w:type="spellStart"/>
            <w:r w:rsidRPr="00BB3758">
              <w:rPr>
                <w:sz w:val="22"/>
                <w:szCs w:val="22"/>
              </w:rPr>
              <w:t>репо</w:t>
            </w:r>
            <w:proofErr w:type="spellEnd"/>
            <w:r w:rsidRPr="00BB3758">
              <w:rPr>
                <w:sz w:val="22"/>
                <w:szCs w:val="22"/>
              </w:rPr>
              <w:t xml:space="preserve"> и сделок, указанных в настоящем абзаце, и заемных средств, предусмотренных </w:t>
            </w:r>
            <w:hyperlink r:id="rId13" w:history="1">
              <w:r w:rsidRPr="00BB3758">
                <w:rPr>
                  <w:rStyle w:val="a7"/>
                  <w:color w:val="auto"/>
                  <w:sz w:val="22"/>
                  <w:szCs w:val="22"/>
                  <w:u w:val="none"/>
                </w:rPr>
                <w:t>подпунктом 5 пункта 1 статьи 40</w:t>
              </w:r>
            </w:hyperlink>
            <w:r w:rsidRPr="00BB3758">
              <w:rPr>
                <w:sz w:val="22"/>
                <w:szCs w:val="22"/>
              </w:rPr>
              <w:t xml:space="preserve"> Федерального</w:t>
            </w:r>
            <w:proofErr w:type="gramEnd"/>
            <w:r w:rsidRPr="00BB3758">
              <w:rPr>
                <w:sz w:val="22"/>
                <w:szCs w:val="22"/>
              </w:rPr>
              <w:t xml:space="preserve"> закона от 29 ноября 2001 г. № 156-ФЗ «Об инвестиционных </w:t>
            </w:r>
            <w:r w:rsidRPr="00BB3758">
              <w:rPr>
                <w:sz w:val="22"/>
                <w:szCs w:val="22"/>
              </w:rPr>
              <w:lastRenderedPageBreak/>
              <w:t>фондах», не должна превышать 20 процентов стоимости чистых активов фонда.</w:t>
            </w:r>
          </w:p>
          <w:p w:rsidR="00BB3758" w:rsidRPr="00BB3758" w:rsidRDefault="00BB3758" w:rsidP="00BB3758">
            <w:pPr>
              <w:tabs>
                <w:tab w:val="right" w:pos="9070"/>
              </w:tabs>
              <w:contextualSpacing/>
              <w:jc w:val="both"/>
              <w:rPr>
                <w:sz w:val="22"/>
                <w:szCs w:val="22"/>
              </w:rPr>
            </w:pPr>
            <w:r w:rsidRPr="00BB3758">
              <w:rPr>
                <w:sz w:val="22"/>
                <w:szCs w:val="22"/>
              </w:rPr>
              <w:t>Для целей настоящего пункта производные финансовые инструменты учитываются в объеме открытой позиции, скорректированной по результатам клиринга.</w:t>
            </w:r>
          </w:p>
          <w:p w:rsidR="00BB3758" w:rsidRPr="00BB3758" w:rsidRDefault="00BB3758" w:rsidP="00BB3758">
            <w:pPr>
              <w:tabs>
                <w:tab w:val="right" w:pos="9070"/>
              </w:tabs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BB3758">
              <w:rPr>
                <w:sz w:val="22"/>
                <w:szCs w:val="22"/>
              </w:rPr>
              <w:t xml:space="preserve">Договоры </w:t>
            </w:r>
            <w:proofErr w:type="spellStart"/>
            <w:r w:rsidRPr="00BB3758">
              <w:rPr>
                <w:sz w:val="22"/>
                <w:szCs w:val="22"/>
              </w:rPr>
              <w:t>репо</w:t>
            </w:r>
            <w:proofErr w:type="spellEnd"/>
            <w:r w:rsidRPr="00BB3758">
              <w:rPr>
                <w:sz w:val="22"/>
                <w:szCs w:val="22"/>
              </w:rPr>
              <w:t xml:space="preserve"> заключаются на условиях поставки против платежа и предусмотренной договором </w:t>
            </w:r>
            <w:proofErr w:type="spellStart"/>
            <w:r w:rsidRPr="00BB3758">
              <w:rPr>
                <w:sz w:val="22"/>
                <w:szCs w:val="22"/>
              </w:rPr>
              <w:t>репо</w:t>
            </w:r>
            <w:proofErr w:type="spellEnd"/>
            <w:r w:rsidRPr="00BB3758">
              <w:rPr>
                <w:sz w:val="22"/>
                <w:szCs w:val="22"/>
              </w:rPr>
              <w:t xml:space="preserve"> обязанности каждой из сторон при изменении цены ценных бумаг, переданных по договору </w:t>
            </w:r>
            <w:proofErr w:type="spellStart"/>
            <w:r w:rsidRPr="00BB3758">
              <w:rPr>
                <w:sz w:val="22"/>
                <w:szCs w:val="22"/>
              </w:rPr>
              <w:t>репо</w:t>
            </w:r>
            <w:proofErr w:type="spellEnd"/>
            <w:r w:rsidRPr="00BB3758">
              <w:rPr>
                <w:sz w:val="22"/>
                <w:szCs w:val="22"/>
              </w:rPr>
              <w:t xml:space="preserve">, уплачивать другой стороне денежные суммы и (или) передавать ценные бумаги в соответствии с </w:t>
            </w:r>
            <w:hyperlink r:id="rId14" w:history="1">
              <w:r w:rsidRPr="00BB3758">
                <w:rPr>
                  <w:rStyle w:val="a7"/>
                  <w:color w:val="auto"/>
                  <w:sz w:val="22"/>
                  <w:szCs w:val="22"/>
                  <w:u w:val="none"/>
                </w:rPr>
                <w:t>пунктом 14 статьи 51.3</w:t>
              </w:r>
            </w:hyperlink>
            <w:r w:rsidRPr="00BB3758">
              <w:rPr>
                <w:sz w:val="22"/>
                <w:szCs w:val="22"/>
              </w:rPr>
              <w:t xml:space="preserve"> Федерального закона от 22 апреля 1996 года N 39-ФЗ «О рынке ценных бумаг», при условии, что предметом договора</w:t>
            </w:r>
            <w:proofErr w:type="gramEnd"/>
            <w:r w:rsidRPr="00BB3758">
              <w:rPr>
                <w:sz w:val="22"/>
                <w:szCs w:val="22"/>
              </w:rPr>
              <w:t xml:space="preserve"> </w:t>
            </w:r>
            <w:proofErr w:type="spellStart"/>
            <w:r w:rsidRPr="00BB3758">
              <w:rPr>
                <w:sz w:val="22"/>
                <w:szCs w:val="22"/>
              </w:rPr>
              <w:t>репо</w:t>
            </w:r>
            <w:proofErr w:type="spellEnd"/>
            <w:r w:rsidRPr="00BB3758">
              <w:rPr>
                <w:sz w:val="22"/>
                <w:szCs w:val="22"/>
              </w:rPr>
              <w:t xml:space="preserve"> могут быть только активы, включаемые в состав активов фонда в соответствии с п. 22 настоящих Правил. </w:t>
            </w:r>
          </w:p>
          <w:p w:rsidR="00BB3758" w:rsidRPr="00BB3758" w:rsidRDefault="00BB3758" w:rsidP="00BB3758">
            <w:pPr>
              <w:tabs>
                <w:tab w:val="right" w:pos="9070"/>
              </w:tabs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BB3758">
              <w:rPr>
                <w:sz w:val="22"/>
                <w:szCs w:val="22"/>
              </w:rPr>
              <w:t xml:space="preserve">Для целей абзаца </w:t>
            </w:r>
            <w:hyperlink r:id="rId15" w:history="1">
              <w:r w:rsidRPr="00BB3758">
                <w:rPr>
                  <w:rStyle w:val="a7"/>
                  <w:color w:val="auto"/>
                  <w:sz w:val="22"/>
                  <w:szCs w:val="22"/>
                  <w:u w:val="none"/>
                </w:rPr>
                <w:t>первого</w:t>
              </w:r>
            </w:hyperlink>
            <w:r w:rsidRPr="00BB3758">
              <w:rPr>
                <w:sz w:val="22"/>
                <w:szCs w:val="22"/>
              </w:rPr>
              <w:t xml:space="preserve"> и второго настоящего пункта не учитываются договоры </w:t>
            </w:r>
            <w:proofErr w:type="spellStart"/>
            <w:r w:rsidRPr="00BB3758">
              <w:rPr>
                <w:sz w:val="22"/>
                <w:szCs w:val="22"/>
              </w:rPr>
              <w:t>репо</w:t>
            </w:r>
            <w:proofErr w:type="spellEnd"/>
            <w:r w:rsidRPr="00BB3758">
              <w:rPr>
                <w:sz w:val="22"/>
                <w:szCs w:val="22"/>
              </w:rPr>
              <w:t xml:space="preserve">, по которым управляющая компания является покупателем по первой части договора </w:t>
            </w:r>
            <w:proofErr w:type="spellStart"/>
            <w:r w:rsidRPr="00BB3758">
              <w:rPr>
                <w:sz w:val="22"/>
                <w:szCs w:val="22"/>
              </w:rPr>
              <w:t>репо</w:t>
            </w:r>
            <w:proofErr w:type="spellEnd"/>
            <w:r w:rsidRPr="00BB3758">
              <w:rPr>
                <w:sz w:val="22"/>
                <w:szCs w:val="22"/>
              </w:rPr>
              <w:t xml:space="preserve">, и которые предусматривают невозможность распоряжения приобретенными ценными бумагами, за исключением их возврата по второй части такого договора </w:t>
            </w:r>
            <w:proofErr w:type="spellStart"/>
            <w:r w:rsidRPr="00BB3758">
              <w:rPr>
                <w:sz w:val="22"/>
                <w:szCs w:val="22"/>
              </w:rPr>
              <w:t>репо</w:t>
            </w:r>
            <w:proofErr w:type="spellEnd"/>
            <w:r w:rsidRPr="00BB3758">
              <w:rPr>
                <w:sz w:val="22"/>
                <w:szCs w:val="22"/>
              </w:rPr>
              <w:t xml:space="preserve">, а также опционные договоры, по которым управляющая компания имеет право требовать от контрагента покупки или продажи базового (базисного) актива.  </w:t>
            </w:r>
            <w:proofErr w:type="gramEnd"/>
          </w:p>
          <w:p w:rsidR="00BB3758" w:rsidRDefault="00BB3758" w:rsidP="00BB3758">
            <w:pPr>
              <w:tabs>
                <w:tab w:val="right" w:pos="9070"/>
              </w:tabs>
              <w:contextualSpacing/>
              <w:jc w:val="both"/>
              <w:rPr>
                <w:sz w:val="22"/>
                <w:szCs w:val="22"/>
              </w:rPr>
            </w:pPr>
            <w:r w:rsidRPr="00BB3758">
              <w:rPr>
                <w:sz w:val="22"/>
                <w:szCs w:val="22"/>
              </w:rPr>
              <w:t>Требования п. 23.1-23.4 настоящих Правил применяются до даты возникновения основания прекращения фонда.</w:t>
            </w:r>
          </w:p>
        </w:tc>
      </w:tr>
      <w:tr w:rsidR="00686995" w:rsidRPr="00BA6A9E" w:rsidTr="00DE6E80">
        <w:trPr>
          <w:trHeight w:val="135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95" w:rsidRDefault="00686995" w:rsidP="00BB3758">
            <w:pPr>
              <w:pStyle w:val="af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«е»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5 п. 28.</w:t>
            </w:r>
            <w:r w:rsidRPr="006869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8699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сделки </w:t>
            </w:r>
            <w:proofErr w:type="spellStart"/>
            <w:r w:rsidRPr="0068699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репо</w:t>
            </w:r>
            <w:proofErr w:type="spellEnd"/>
            <w:r w:rsidRPr="0068699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подлежащие исполнению за счет имущества фонда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95" w:rsidRDefault="00686995" w:rsidP="00BB3758">
            <w:pPr>
              <w:tabs>
                <w:tab w:val="right" w:pos="9070"/>
              </w:tabs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686995">
              <w:rPr>
                <w:sz w:val="22"/>
                <w:szCs w:val="22"/>
              </w:rPr>
              <w:t>пп</w:t>
            </w:r>
            <w:proofErr w:type="spellEnd"/>
            <w:r w:rsidRPr="00686995">
              <w:rPr>
                <w:sz w:val="22"/>
                <w:szCs w:val="22"/>
              </w:rPr>
              <w:t xml:space="preserve">. «е» </w:t>
            </w:r>
            <w:proofErr w:type="spellStart"/>
            <w:r w:rsidRPr="00686995">
              <w:rPr>
                <w:sz w:val="22"/>
                <w:szCs w:val="22"/>
              </w:rPr>
              <w:t>пп</w:t>
            </w:r>
            <w:proofErr w:type="spellEnd"/>
            <w:r w:rsidRPr="00686995">
              <w:rPr>
                <w:sz w:val="22"/>
                <w:szCs w:val="22"/>
              </w:rPr>
              <w:t>. 5 п. 28.</w:t>
            </w:r>
            <w:r w:rsidRPr="00686995">
              <w:t xml:space="preserve"> </w:t>
            </w:r>
            <w:r w:rsidRPr="00686995">
              <w:rPr>
                <w:sz w:val="22"/>
                <w:szCs w:val="22"/>
              </w:rPr>
              <w:t xml:space="preserve">сделки </w:t>
            </w:r>
            <w:proofErr w:type="spellStart"/>
            <w:r w:rsidRPr="00686995">
              <w:rPr>
                <w:sz w:val="22"/>
                <w:szCs w:val="22"/>
              </w:rPr>
              <w:t>репо</w:t>
            </w:r>
            <w:proofErr w:type="spellEnd"/>
            <w:r w:rsidRPr="00686995">
              <w:rPr>
                <w:sz w:val="22"/>
                <w:szCs w:val="22"/>
              </w:rPr>
              <w:t>, подлежащие исполнению за счет имущества фонда. Данное ограничение не применяется в случае соблюдения требований, предусмотренных п. 23.4 настоящих Правил;</w:t>
            </w:r>
          </w:p>
        </w:tc>
      </w:tr>
    </w:tbl>
    <w:p w:rsidR="005307C2" w:rsidRPr="00BA6A9E" w:rsidRDefault="005307C2" w:rsidP="005307C2">
      <w:pPr>
        <w:rPr>
          <w:b/>
          <w:bCs/>
          <w:sz w:val="22"/>
          <w:szCs w:val="22"/>
        </w:rPr>
      </w:pPr>
    </w:p>
    <w:p w:rsidR="005307C2" w:rsidRPr="00BA6A9E" w:rsidRDefault="005307C2" w:rsidP="005307C2">
      <w:pPr>
        <w:rPr>
          <w:b/>
          <w:bCs/>
          <w:sz w:val="22"/>
          <w:szCs w:val="22"/>
        </w:rPr>
      </w:pPr>
    </w:p>
    <w:p w:rsidR="00092AF1" w:rsidRPr="00BA6A9E" w:rsidRDefault="00092AF1" w:rsidP="005307C2">
      <w:pPr>
        <w:rPr>
          <w:b/>
          <w:sz w:val="22"/>
          <w:szCs w:val="22"/>
        </w:rPr>
      </w:pPr>
    </w:p>
    <w:p w:rsidR="00092AF1" w:rsidRPr="00BA6A9E" w:rsidRDefault="00092AF1" w:rsidP="00B819E3">
      <w:pPr>
        <w:rPr>
          <w:b/>
          <w:sz w:val="22"/>
          <w:szCs w:val="22"/>
        </w:rPr>
      </w:pPr>
    </w:p>
    <w:p w:rsidR="00B819E3" w:rsidRPr="00BA6A9E" w:rsidRDefault="00792236" w:rsidP="00B819E3">
      <w:pPr>
        <w:rPr>
          <w:b/>
          <w:sz w:val="22"/>
          <w:szCs w:val="22"/>
        </w:rPr>
      </w:pPr>
      <w:r>
        <w:rPr>
          <w:b/>
          <w:sz w:val="22"/>
          <w:szCs w:val="22"/>
        </w:rPr>
        <w:t>И.О. Г</w:t>
      </w:r>
      <w:r w:rsidR="00AA6AF0">
        <w:rPr>
          <w:b/>
          <w:sz w:val="22"/>
          <w:szCs w:val="22"/>
        </w:rPr>
        <w:t>енерального директора</w:t>
      </w:r>
    </w:p>
    <w:p w:rsidR="00B819E3" w:rsidRPr="00BA6A9E" w:rsidRDefault="00B819E3" w:rsidP="00B819E3">
      <w:pPr>
        <w:rPr>
          <w:b/>
          <w:sz w:val="22"/>
          <w:szCs w:val="22"/>
        </w:rPr>
      </w:pPr>
      <w:r w:rsidRPr="00BA6A9E">
        <w:rPr>
          <w:b/>
          <w:sz w:val="22"/>
          <w:szCs w:val="22"/>
        </w:rPr>
        <w:t xml:space="preserve">АО УК «БКС»                       </w:t>
      </w:r>
      <w:r w:rsidR="005307C2" w:rsidRPr="00BA6A9E">
        <w:rPr>
          <w:b/>
          <w:sz w:val="22"/>
          <w:szCs w:val="22"/>
        </w:rPr>
        <w:t xml:space="preserve">               </w:t>
      </w:r>
      <w:r w:rsidRPr="00BA6A9E">
        <w:rPr>
          <w:b/>
          <w:sz w:val="22"/>
          <w:szCs w:val="22"/>
        </w:rPr>
        <w:t xml:space="preserve"> ___________________ /</w:t>
      </w:r>
      <w:proofErr w:type="spellStart"/>
      <w:r w:rsidR="007776A4">
        <w:rPr>
          <w:b/>
          <w:sz w:val="22"/>
          <w:szCs w:val="22"/>
        </w:rPr>
        <w:t>О.Ю.Ковлешенко</w:t>
      </w:r>
      <w:proofErr w:type="spellEnd"/>
    </w:p>
    <w:sectPr w:rsidR="00B819E3" w:rsidRPr="00BA6A9E" w:rsidSect="0098764D">
      <w:headerReference w:type="default" r:id="rId16"/>
      <w:pgSz w:w="11906" w:h="16838" w:code="9"/>
      <w:pgMar w:top="878" w:right="850" w:bottom="1134" w:left="1701" w:header="426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8B0" w:rsidRDefault="009358B0">
      <w:r>
        <w:separator/>
      </w:r>
    </w:p>
  </w:endnote>
  <w:endnote w:type="continuationSeparator" w:id="0">
    <w:p w:rsidR="009358B0" w:rsidRDefault="00935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8B0" w:rsidRDefault="009358B0">
      <w:r>
        <w:separator/>
      </w:r>
    </w:p>
  </w:footnote>
  <w:footnote w:type="continuationSeparator" w:id="0">
    <w:p w:rsidR="009358B0" w:rsidRDefault="00935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73D" w:rsidRDefault="00A406DB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-95250</wp:posOffset>
          </wp:positionV>
          <wp:extent cx="1543050" cy="409575"/>
          <wp:effectExtent l="19050" t="0" r="0" b="0"/>
          <wp:wrapNone/>
          <wp:docPr id="1" name="Рисунок 1" descr="Описание: C:\Documents and Settings\kmitrofanov\Рабочий стол\bcs.F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C:\Documents and Settings\kmitrofanov\Рабочий стол\bcs.F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3EEB85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24CD60"/>
    <w:lvl w:ilvl="0">
      <w:numFmt w:val="bullet"/>
      <w:lvlText w:val="*"/>
      <w:lvlJc w:val="left"/>
    </w:lvl>
  </w:abstractNum>
  <w:abstractNum w:abstractNumId="2">
    <w:nsid w:val="092C09AA"/>
    <w:multiLevelType w:val="hybridMultilevel"/>
    <w:tmpl w:val="FB2ED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4A7612"/>
    <w:multiLevelType w:val="hybridMultilevel"/>
    <w:tmpl w:val="E250C3B4"/>
    <w:lvl w:ilvl="0" w:tplc="DFC29E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A04104"/>
    <w:multiLevelType w:val="hybridMultilevel"/>
    <w:tmpl w:val="0C9E89DA"/>
    <w:lvl w:ilvl="0" w:tplc="DFC29E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4"/>
  </w:num>
  <w:num w:numId="45">
    <w:abstractNumId w:val="3"/>
  </w:num>
  <w:num w:numId="46">
    <w:abstractNumId w:val="2"/>
  </w:num>
  <w:num w:numId="47">
    <w:abstractNumId w:val="4"/>
  </w:num>
  <w:num w:numId="48">
    <w:abstractNumId w:val="1"/>
    <w:lvlOverride w:ilvl="0">
      <w:lvl w:ilvl="0">
        <w:numFmt w:val="bullet"/>
        <w:lvlText w:val="-"/>
        <w:legacy w:legacy="1" w:legacySpace="0" w:legacyIndent="138"/>
        <w:lvlJc w:val="left"/>
        <w:rPr>
          <w:rFonts w:ascii="Times New Roman" w:hAnsi="Times New Roman" w:hint="default"/>
        </w:r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3D0F"/>
    <w:rsid w:val="00003A37"/>
    <w:rsid w:val="000040FD"/>
    <w:rsid w:val="00004CBF"/>
    <w:rsid w:val="0001071D"/>
    <w:rsid w:val="00010C4C"/>
    <w:rsid w:val="00011E88"/>
    <w:rsid w:val="00013CB6"/>
    <w:rsid w:val="0001553C"/>
    <w:rsid w:val="00022EE7"/>
    <w:rsid w:val="00023992"/>
    <w:rsid w:val="00026BC0"/>
    <w:rsid w:val="00031D8F"/>
    <w:rsid w:val="0003769E"/>
    <w:rsid w:val="000419CA"/>
    <w:rsid w:val="00064ED9"/>
    <w:rsid w:val="00070F4D"/>
    <w:rsid w:val="00076365"/>
    <w:rsid w:val="00092AF1"/>
    <w:rsid w:val="000958FC"/>
    <w:rsid w:val="000A0853"/>
    <w:rsid w:val="000A78EA"/>
    <w:rsid w:val="000C28D7"/>
    <w:rsid w:val="000C5113"/>
    <w:rsid w:val="000C7F2D"/>
    <w:rsid w:val="000D7022"/>
    <w:rsid w:val="000E1A01"/>
    <w:rsid w:val="000E5C38"/>
    <w:rsid w:val="000F27F1"/>
    <w:rsid w:val="000F4A1A"/>
    <w:rsid w:val="000F562C"/>
    <w:rsid w:val="000F7324"/>
    <w:rsid w:val="00123242"/>
    <w:rsid w:val="0013264D"/>
    <w:rsid w:val="001333AB"/>
    <w:rsid w:val="001501D9"/>
    <w:rsid w:val="00156EDD"/>
    <w:rsid w:val="00175C79"/>
    <w:rsid w:val="001A7D54"/>
    <w:rsid w:val="001C5F46"/>
    <w:rsid w:val="001C78B9"/>
    <w:rsid w:val="001E29AE"/>
    <w:rsid w:val="001E57E0"/>
    <w:rsid w:val="001F1170"/>
    <w:rsid w:val="001F4100"/>
    <w:rsid w:val="002020A1"/>
    <w:rsid w:val="00210415"/>
    <w:rsid w:val="00224406"/>
    <w:rsid w:val="00225798"/>
    <w:rsid w:val="00226583"/>
    <w:rsid w:val="0022683B"/>
    <w:rsid w:val="00233438"/>
    <w:rsid w:val="00240C8D"/>
    <w:rsid w:val="00246E38"/>
    <w:rsid w:val="00247D3B"/>
    <w:rsid w:val="00263C69"/>
    <w:rsid w:val="0026434E"/>
    <w:rsid w:val="00266E7B"/>
    <w:rsid w:val="00272A9C"/>
    <w:rsid w:val="00273A08"/>
    <w:rsid w:val="002911D5"/>
    <w:rsid w:val="002B7DCF"/>
    <w:rsid w:val="002F0109"/>
    <w:rsid w:val="002F705B"/>
    <w:rsid w:val="002F72F4"/>
    <w:rsid w:val="002F7F1B"/>
    <w:rsid w:val="00305755"/>
    <w:rsid w:val="0032334D"/>
    <w:rsid w:val="00330CFA"/>
    <w:rsid w:val="0033163E"/>
    <w:rsid w:val="00332ACC"/>
    <w:rsid w:val="00336F30"/>
    <w:rsid w:val="003408AF"/>
    <w:rsid w:val="003511E2"/>
    <w:rsid w:val="00354C26"/>
    <w:rsid w:val="00365F3D"/>
    <w:rsid w:val="00374878"/>
    <w:rsid w:val="00376447"/>
    <w:rsid w:val="00382D6B"/>
    <w:rsid w:val="00383A54"/>
    <w:rsid w:val="00386F1C"/>
    <w:rsid w:val="00387197"/>
    <w:rsid w:val="003935F3"/>
    <w:rsid w:val="003A7AEB"/>
    <w:rsid w:val="003B0AC5"/>
    <w:rsid w:val="003B6D1F"/>
    <w:rsid w:val="003C15B6"/>
    <w:rsid w:val="003D0198"/>
    <w:rsid w:val="003D1840"/>
    <w:rsid w:val="003D1DDC"/>
    <w:rsid w:val="003D7134"/>
    <w:rsid w:val="003E1D04"/>
    <w:rsid w:val="003E3AA1"/>
    <w:rsid w:val="003F6EA9"/>
    <w:rsid w:val="00401255"/>
    <w:rsid w:val="004041BB"/>
    <w:rsid w:val="00405778"/>
    <w:rsid w:val="00415B22"/>
    <w:rsid w:val="00417D14"/>
    <w:rsid w:val="00425B76"/>
    <w:rsid w:val="00430208"/>
    <w:rsid w:val="00433BE6"/>
    <w:rsid w:val="00435191"/>
    <w:rsid w:val="00444377"/>
    <w:rsid w:val="004452F0"/>
    <w:rsid w:val="0045061A"/>
    <w:rsid w:val="0045478C"/>
    <w:rsid w:val="00463099"/>
    <w:rsid w:val="00463C7F"/>
    <w:rsid w:val="00470A9B"/>
    <w:rsid w:val="0048455E"/>
    <w:rsid w:val="004846EA"/>
    <w:rsid w:val="004878B4"/>
    <w:rsid w:val="004A5AAE"/>
    <w:rsid w:val="004A64A5"/>
    <w:rsid w:val="004D2788"/>
    <w:rsid w:val="004E1ADC"/>
    <w:rsid w:val="004F17FA"/>
    <w:rsid w:val="004F4EAE"/>
    <w:rsid w:val="004F4F1F"/>
    <w:rsid w:val="00500454"/>
    <w:rsid w:val="0050777E"/>
    <w:rsid w:val="00513E16"/>
    <w:rsid w:val="0051449D"/>
    <w:rsid w:val="00514705"/>
    <w:rsid w:val="005160B7"/>
    <w:rsid w:val="005172D8"/>
    <w:rsid w:val="005307C2"/>
    <w:rsid w:val="005375D5"/>
    <w:rsid w:val="00553A10"/>
    <w:rsid w:val="00562FCF"/>
    <w:rsid w:val="00572656"/>
    <w:rsid w:val="00574E1F"/>
    <w:rsid w:val="00590864"/>
    <w:rsid w:val="00590F4B"/>
    <w:rsid w:val="005A7AF8"/>
    <w:rsid w:val="005B3FD9"/>
    <w:rsid w:val="005B79BE"/>
    <w:rsid w:val="005C628F"/>
    <w:rsid w:val="005C6318"/>
    <w:rsid w:val="005C73FD"/>
    <w:rsid w:val="005D2894"/>
    <w:rsid w:val="005E0798"/>
    <w:rsid w:val="005E2947"/>
    <w:rsid w:val="005E6E94"/>
    <w:rsid w:val="00604577"/>
    <w:rsid w:val="00612AF4"/>
    <w:rsid w:val="00615889"/>
    <w:rsid w:val="00616770"/>
    <w:rsid w:val="00646655"/>
    <w:rsid w:val="00647857"/>
    <w:rsid w:val="00661DCF"/>
    <w:rsid w:val="006751A4"/>
    <w:rsid w:val="00686995"/>
    <w:rsid w:val="00686FA1"/>
    <w:rsid w:val="006A1081"/>
    <w:rsid w:val="006A259A"/>
    <w:rsid w:val="006B373D"/>
    <w:rsid w:val="006B4D18"/>
    <w:rsid w:val="006B7655"/>
    <w:rsid w:val="006D11E9"/>
    <w:rsid w:val="006D3595"/>
    <w:rsid w:val="006D43BD"/>
    <w:rsid w:val="006E1AAD"/>
    <w:rsid w:val="006E45A7"/>
    <w:rsid w:val="006F03DA"/>
    <w:rsid w:val="006F38D6"/>
    <w:rsid w:val="00700D15"/>
    <w:rsid w:val="007071D6"/>
    <w:rsid w:val="007147ED"/>
    <w:rsid w:val="00734CB2"/>
    <w:rsid w:val="0073585D"/>
    <w:rsid w:val="00747163"/>
    <w:rsid w:val="007514C1"/>
    <w:rsid w:val="00753512"/>
    <w:rsid w:val="007566C9"/>
    <w:rsid w:val="00764645"/>
    <w:rsid w:val="007776A4"/>
    <w:rsid w:val="00780D37"/>
    <w:rsid w:val="00781348"/>
    <w:rsid w:val="00792236"/>
    <w:rsid w:val="007944BC"/>
    <w:rsid w:val="00797689"/>
    <w:rsid w:val="00797E5E"/>
    <w:rsid w:val="007A4276"/>
    <w:rsid w:val="007A7175"/>
    <w:rsid w:val="007B0A42"/>
    <w:rsid w:val="007B2918"/>
    <w:rsid w:val="007B3BBF"/>
    <w:rsid w:val="007B4A6F"/>
    <w:rsid w:val="007C713D"/>
    <w:rsid w:val="007D33A1"/>
    <w:rsid w:val="007D7A52"/>
    <w:rsid w:val="007F03E2"/>
    <w:rsid w:val="007F0D00"/>
    <w:rsid w:val="007F3131"/>
    <w:rsid w:val="007F7BB7"/>
    <w:rsid w:val="00807408"/>
    <w:rsid w:val="00807477"/>
    <w:rsid w:val="00815528"/>
    <w:rsid w:val="008174E0"/>
    <w:rsid w:val="00832C54"/>
    <w:rsid w:val="008346F3"/>
    <w:rsid w:val="00834D90"/>
    <w:rsid w:val="00834F5B"/>
    <w:rsid w:val="00860969"/>
    <w:rsid w:val="008644D8"/>
    <w:rsid w:val="00894761"/>
    <w:rsid w:val="008B090C"/>
    <w:rsid w:val="008B10F1"/>
    <w:rsid w:val="008D12E1"/>
    <w:rsid w:val="008D228F"/>
    <w:rsid w:val="008D47C9"/>
    <w:rsid w:val="008D6BBE"/>
    <w:rsid w:val="008E56D9"/>
    <w:rsid w:val="00906373"/>
    <w:rsid w:val="00911FA0"/>
    <w:rsid w:val="00913A74"/>
    <w:rsid w:val="00913E71"/>
    <w:rsid w:val="00921AF1"/>
    <w:rsid w:val="00924462"/>
    <w:rsid w:val="009343FF"/>
    <w:rsid w:val="00935298"/>
    <w:rsid w:val="009358B0"/>
    <w:rsid w:val="00956E4D"/>
    <w:rsid w:val="00965FDA"/>
    <w:rsid w:val="0097344A"/>
    <w:rsid w:val="009845C7"/>
    <w:rsid w:val="00984CBC"/>
    <w:rsid w:val="0098764D"/>
    <w:rsid w:val="009903DE"/>
    <w:rsid w:val="009A03DD"/>
    <w:rsid w:val="009B3B58"/>
    <w:rsid w:val="009B5865"/>
    <w:rsid w:val="009B7B21"/>
    <w:rsid w:val="009C3D55"/>
    <w:rsid w:val="009D201F"/>
    <w:rsid w:val="009D616E"/>
    <w:rsid w:val="009F58D0"/>
    <w:rsid w:val="00A02CE6"/>
    <w:rsid w:val="00A05155"/>
    <w:rsid w:val="00A10EC3"/>
    <w:rsid w:val="00A1576C"/>
    <w:rsid w:val="00A31397"/>
    <w:rsid w:val="00A406DB"/>
    <w:rsid w:val="00A508CC"/>
    <w:rsid w:val="00A50B58"/>
    <w:rsid w:val="00A50C6F"/>
    <w:rsid w:val="00A51F99"/>
    <w:rsid w:val="00A5268B"/>
    <w:rsid w:val="00A64015"/>
    <w:rsid w:val="00A76F57"/>
    <w:rsid w:val="00A83832"/>
    <w:rsid w:val="00A926C8"/>
    <w:rsid w:val="00A92FB3"/>
    <w:rsid w:val="00AA5353"/>
    <w:rsid w:val="00AA6AF0"/>
    <w:rsid w:val="00AB7AF7"/>
    <w:rsid w:val="00AC0978"/>
    <w:rsid w:val="00AC1292"/>
    <w:rsid w:val="00AD05E0"/>
    <w:rsid w:val="00AD2680"/>
    <w:rsid w:val="00AD7B5A"/>
    <w:rsid w:val="00B00E56"/>
    <w:rsid w:val="00B24018"/>
    <w:rsid w:val="00B4391E"/>
    <w:rsid w:val="00B51900"/>
    <w:rsid w:val="00B5714D"/>
    <w:rsid w:val="00B624BC"/>
    <w:rsid w:val="00B679EB"/>
    <w:rsid w:val="00B70657"/>
    <w:rsid w:val="00B735A7"/>
    <w:rsid w:val="00B75588"/>
    <w:rsid w:val="00B819E3"/>
    <w:rsid w:val="00B81EDE"/>
    <w:rsid w:val="00B845EC"/>
    <w:rsid w:val="00B84C39"/>
    <w:rsid w:val="00B86A3C"/>
    <w:rsid w:val="00B923A3"/>
    <w:rsid w:val="00B92CF9"/>
    <w:rsid w:val="00BA6A9E"/>
    <w:rsid w:val="00BB3758"/>
    <w:rsid w:val="00BB501E"/>
    <w:rsid w:val="00BC2C76"/>
    <w:rsid w:val="00BD408E"/>
    <w:rsid w:val="00BD646F"/>
    <w:rsid w:val="00BF3B8C"/>
    <w:rsid w:val="00BF49A3"/>
    <w:rsid w:val="00C00C71"/>
    <w:rsid w:val="00C02D63"/>
    <w:rsid w:val="00C12D9A"/>
    <w:rsid w:val="00C167E5"/>
    <w:rsid w:val="00C21FEF"/>
    <w:rsid w:val="00C2557B"/>
    <w:rsid w:val="00C25CF7"/>
    <w:rsid w:val="00C32B8E"/>
    <w:rsid w:val="00C37EEF"/>
    <w:rsid w:val="00C401A8"/>
    <w:rsid w:val="00C4497F"/>
    <w:rsid w:val="00C5480E"/>
    <w:rsid w:val="00C56D80"/>
    <w:rsid w:val="00C57B15"/>
    <w:rsid w:val="00C608E9"/>
    <w:rsid w:val="00C64F39"/>
    <w:rsid w:val="00C65592"/>
    <w:rsid w:val="00C7202C"/>
    <w:rsid w:val="00C740F5"/>
    <w:rsid w:val="00C80E67"/>
    <w:rsid w:val="00C8720D"/>
    <w:rsid w:val="00C911A5"/>
    <w:rsid w:val="00C9268F"/>
    <w:rsid w:val="00C9297B"/>
    <w:rsid w:val="00CB43D7"/>
    <w:rsid w:val="00CC1AEA"/>
    <w:rsid w:val="00CC504C"/>
    <w:rsid w:val="00CD09A4"/>
    <w:rsid w:val="00CD379D"/>
    <w:rsid w:val="00CD549B"/>
    <w:rsid w:val="00CE1E24"/>
    <w:rsid w:val="00CE2EA9"/>
    <w:rsid w:val="00CE5C59"/>
    <w:rsid w:val="00CF0752"/>
    <w:rsid w:val="00D02580"/>
    <w:rsid w:val="00D10ECE"/>
    <w:rsid w:val="00D110D7"/>
    <w:rsid w:val="00D12003"/>
    <w:rsid w:val="00D13252"/>
    <w:rsid w:val="00D154EF"/>
    <w:rsid w:val="00D205EA"/>
    <w:rsid w:val="00D20D60"/>
    <w:rsid w:val="00D20E49"/>
    <w:rsid w:val="00D21820"/>
    <w:rsid w:val="00D22588"/>
    <w:rsid w:val="00D233FC"/>
    <w:rsid w:val="00D23554"/>
    <w:rsid w:val="00D261D3"/>
    <w:rsid w:val="00D3316D"/>
    <w:rsid w:val="00D3456C"/>
    <w:rsid w:val="00D417A3"/>
    <w:rsid w:val="00D44E47"/>
    <w:rsid w:val="00D47FB0"/>
    <w:rsid w:val="00D51683"/>
    <w:rsid w:val="00D54931"/>
    <w:rsid w:val="00D7107E"/>
    <w:rsid w:val="00D74186"/>
    <w:rsid w:val="00D75F02"/>
    <w:rsid w:val="00D90A6D"/>
    <w:rsid w:val="00D95D0E"/>
    <w:rsid w:val="00DA0ADF"/>
    <w:rsid w:val="00DB03C0"/>
    <w:rsid w:val="00DC37FD"/>
    <w:rsid w:val="00DC5DCD"/>
    <w:rsid w:val="00DD6225"/>
    <w:rsid w:val="00DD67EA"/>
    <w:rsid w:val="00DD6CBC"/>
    <w:rsid w:val="00DD6DA7"/>
    <w:rsid w:val="00DE5438"/>
    <w:rsid w:val="00DE61D3"/>
    <w:rsid w:val="00DE6E80"/>
    <w:rsid w:val="00E0450B"/>
    <w:rsid w:val="00E12CB3"/>
    <w:rsid w:val="00E14AC9"/>
    <w:rsid w:val="00E21242"/>
    <w:rsid w:val="00E25A97"/>
    <w:rsid w:val="00E279CF"/>
    <w:rsid w:val="00E377A0"/>
    <w:rsid w:val="00E410C7"/>
    <w:rsid w:val="00E47489"/>
    <w:rsid w:val="00E47FFA"/>
    <w:rsid w:val="00E50554"/>
    <w:rsid w:val="00E55D63"/>
    <w:rsid w:val="00E55E0A"/>
    <w:rsid w:val="00E5640D"/>
    <w:rsid w:val="00E5663F"/>
    <w:rsid w:val="00E63C74"/>
    <w:rsid w:val="00E642D7"/>
    <w:rsid w:val="00E654DB"/>
    <w:rsid w:val="00E70E0C"/>
    <w:rsid w:val="00E722F7"/>
    <w:rsid w:val="00E73C48"/>
    <w:rsid w:val="00E83206"/>
    <w:rsid w:val="00E85FCD"/>
    <w:rsid w:val="00E97E0D"/>
    <w:rsid w:val="00EA0A96"/>
    <w:rsid w:val="00EA3799"/>
    <w:rsid w:val="00EA3D14"/>
    <w:rsid w:val="00EB06DB"/>
    <w:rsid w:val="00EB1A19"/>
    <w:rsid w:val="00EB3F2D"/>
    <w:rsid w:val="00EB7045"/>
    <w:rsid w:val="00EC0264"/>
    <w:rsid w:val="00EC041F"/>
    <w:rsid w:val="00EC146F"/>
    <w:rsid w:val="00EC695A"/>
    <w:rsid w:val="00ED3564"/>
    <w:rsid w:val="00ED5619"/>
    <w:rsid w:val="00EE1E1B"/>
    <w:rsid w:val="00EE2B1B"/>
    <w:rsid w:val="00EE57EB"/>
    <w:rsid w:val="00EF0FE5"/>
    <w:rsid w:val="00EF7737"/>
    <w:rsid w:val="00F117A6"/>
    <w:rsid w:val="00F1460E"/>
    <w:rsid w:val="00F33D0F"/>
    <w:rsid w:val="00F4071E"/>
    <w:rsid w:val="00F40769"/>
    <w:rsid w:val="00F454C1"/>
    <w:rsid w:val="00F551E8"/>
    <w:rsid w:val="00F5595B"/>
    <w:rsid w:val="00F663BF"/>
    <w:rsid w:val="00F73763"/>
    <w:rsid w:val="00F766B4"/>
    <w:rsid w:val="00F874DA"/>
    <w:rsid w:val="00F87DAD"/>
    <w:rsid w:val="00F90B54"/>
    <w:rsid w:val="00F97C2E"/>
    <w:rsid w:val="00FA0293"/>
    <w:rsid w:val="00FA038F"/>
    <w:rsid w:val="00FA2E63"/>
    <w:rsid w:val="00FD1380"/>
    <w:rsid w:val="00FD4C5D"/>
    <w:rsid w:val="00FF3F67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9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549B"/>
    <w:pPr>
      <w:keepNext/>
      <w:outlineLvl w:val="0"/>
    </w:pPr>
    <w:rPr>
      <w:rFonts w:ascii="Arial" w:hAnsi="Arial" w:cs="Arial"/>
      <w:b/>
      <w:bCs/>
      <w:sz w:val="18"/>
    </w:rPr>
  </w:style>
  <w:style w:type="paragraph" w:styleId="20">
    <w:name w:val="heading 2"/>
    <w:basedOn w:val="a"/>
    <w:next w:val="a"/>
    <w:link w:val="21"/>
    <w:uiPriority w:val="9"/>
    <w:qFormat/>
    <w:rsid w:val="00CD549B"/>
    <w:pPr>
      <w:keepNext/>
      <w:jc w:val="center"/>
      <w:outlineLvl w:val="1"/>
    </w:pPr>
    <w:rPr>
      <w:i/>
      <w:iCs/>
    </w:rPr>
  </w:style>
  <w:style w:type="paragraph" w:styleId="3">
    <w:name w:val="heading 3"/>
    <w:basedOn w:val="a"/>
    <w:link w:val="30"/>
    <w:uiPriority w:val="9"/>
    <w:qFormat/>
    <w:rsid w:val="006D11E9"/>
    <w:pPr>
      <w:pBdr>
        <w:bottom w:val="single" w:sz="6" w:space="0" w:color="808080"/>
      </w:pBdr>
      <w:shd w:val="clear" w:color="auto" w:fill="C0C0C0"/>
      <w:spacing w:after="45"/>
      <w:jc w:val="center"/>
      <w:outlineLvl w:val="2"/>
    </w:pPr>
    <w:rPr>
      <w:rFonts w:ascii="Arial" w:hAnsi="Arial" w:cs="Arial"/>
      <w:b/>
      <w:bCs/>
      <w:sz w:val="18"/>
      <w:szCs w:val="18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6D11E9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819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819E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D11E9"/>
    <w:pPr>
      <w:spacing w:before="240" w:after="60"/>
      <w:outlineLvl w:val="6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D549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locked/>
    <w:rsid w:val="00CD549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6D11E9"/>
    <w:rPr>
      <w:rFonts w:ascii="Arial" w:hAnsi="Arial" w:cs="Arial"/>
      <w:b/>
      <w:bCs/>
      <w:sz w:val="18"/>
      <w:szCs w:val="18"/>
      <w:shd w:val="clear" w:color="auto" w:fill="C0C0C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6D11E9"/>
    <w:rPr>
      <w:rFonts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B819E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B819E3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locked/>
    <w:rsid w:val="006D11E9"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CD54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19E3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CD54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19E3"/>
    <w:rPr>
      <w:rFonts w:cs="Times New Roman"/>
      <w:sz w:val="24"/>
    </w:rPr>
  </w:style>
  <w:style w:type="character" w:styleId="a7">
    <w:name w:val="Hyperlink"/>
    <w:basedOn w:val="a0"/>
    <w:uiPriority w:val="99"/>
    <w:rsid w:val="00CD549B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semiHidden/>
    <w:rsid w:val="00CD549B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D549B"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rsid w:val="00B819E3"/>
    <w:pPr>
      <w:autoSpaceDE w:val="0"/>
      <w:autoSpaceDN w:val="0"/>
      <w:adjustRightInd w:val="0"/>
      <w:ind w:firstLine="539"/>
      <w:jc w:val="both"/>
    </w:pPr>
    <w:rPr>
      <w:rFonts w:ascii="Arial" w:hAnsi="Arial" w:cs="Arial"/>
      <w:sz w:val="18"/>
      <w:szCs w:val="1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B819E3"/>
    <w:rPr>
      <w:rFonts w:ascii="Arial" w:hAnsi="Arial" w:cs="Arial"/>
      <w:sz w:val="18"/>
      <w:szCs w:val="18"/>
    </w:rPr>
  </w:style>
  <w:style w:type="paragraph" w:customStyle="1" w:styleId="fieldcomment">
    <w:name w:val="field_comment"/>
    <w:basedOn w:val="a"/>
    <w:rsid w:val="00B819E3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character" w:customStyle="1" w:styleId="ac">
    <w:name w:val="Основной шрифт"/>
    <w:rsid w:val="00B819E3"/>
  </w:style>
  <w:style w:type="paragraph" w:customStyle="1" w:styleId="ConsNonformat">
    <w:name w:val="ConsNonformat"/>
    <w:rsid w:val="00B819E3"/>
    <w:pPr>
      <w:widowControl w:val="0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uiPriority w:val="99"/>
    <w:rsid w:val="00B819E3"/>
    <w:pPr>
      <w:widowControl w:val="0"/>
      <w:ind w:firstLine="720"/>
    </w:pPr>
    <w:rPr>
      <w:rFonts w:ascii="Arial" w:hAnsi="Arial" w:cs="Arial"/>
      <w:lang w:eastAsia="en-US"/>
    </w:rPr>
  </w:style>
  <w:style w:type="paragraph" w:customStyle="1" w:styleId="stampfield">
    <w:name w:val="stamp_field"/>
    <w:basedOn w:val="a"/>
    <w:rsid w:val="00B819E3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eformat">
    <w:name w:val="Preformat"/>
    <w:rsid w:val="00B819E3"/>
    <w:rPr>
      <w:rFonts w:ascii="Courier New" w:hAnsi="Courier New" w:cs="Courier New"/>
    </w:rPr>
  </w:style>
  <w:style w:type="paragraph" w:customStyle="1" w:styleId="RulesNo">
    <w:name w:val="Rules No"/>
    <w:autoRedefine/>
    <w:rsid w:val="00B819E3"/>
    <w:pPr>
      <w:ind w:firstLine="540"/>
      <w:jc w:val="both"/>
    </w:pPr>
    <w:rPr>
      <w:rFonts w:ascii="Arial" w:hAnsi="Arial" w:cs="Arial"/>
      <w:sz w:val="18"/>
      <w:szCs w:val="18"/>
    </w:rPr>
  </w:style>
  <w:style w:type="paragraph" w:styleId="ad">
    <w:name w:val="Balloon Text"/>
    <w:basedOn w:val="a"/>
    <w:link w:val="ae"/>
    <w:uiPriority w:val="99"/>
    <w:unhideWhenUsed/>
    <w:rsid w:val="00B819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819E3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B819E3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B819E3"/>
    <w:rPr>
      <w:sz w:val="9"/>
    </w:rPr>
  </w:style>
  <w:style w:type="paragraph" w:customStyle="1" w:styleId="ConsTitle">
    <w:name w:val="ConsTitle"/>
    <w:rsid w:val="00B819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3E1D0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3E1D04"/>
    <w:rPr>
      <w:rFonts w:cs="Times New Roman"/>
      <w:sz w:val="24"/>
      <w:szCs w:val="24"/>
    </w:rPr>
  </w:style>
  <w:style w:type="paragraph" w:customStyle="1" w:styleId="fieldname">
    <w:name w:val="field_name"/>
    <w:basedOn w:val="a"/>
    <w:rsid w:val="006D11E9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6D11E9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data">
    <w:name w:val="field_data"/>
    <w:basedOn w:val="a"/>
    <w:rsid w:val="006D11E9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ootnote">
    <w:name w:val="footnote"/>
    <w:basedOn w:val="a"/>
    <w:rsid w:val="006D11E9"/>
    <w:pPr>
      <w:spacing w:after="105"/>
      <w:ind w:left="367"/>
    </w:pPr>
    <w:rPr>
      <w:rFonts w:ascii="Arial" w:hAnsi="Arial" w:cs="Arial"/>
      <w:sz w:val="9"/>
      <w:szCs w:val="9"/>
      <w:lang w:val="en-US" w:eastAsia="en-US"/>
    </w:rPr>
  </w:style>
  <w:style w:type="character" w:styleId="af0">
    <w:name w:val="annotation reference"/>
    <w:basedOn w:val="a0"/>
    <w:uiPriority w:val="99"/>
    <w:semiHidden/>
    <w:rsid w:val="006D11E9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6D11E9"/>
    <w:pPr>
      <w:spacing w:line="360" w:lineRule="atLeast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6D11E9"/>
    <w:rPr>
      <w:rFonts w:ascii="Times New Roman CYR" w:hAnsi="Times New Roman CYR" w:cs="Times New Roman CYR"/>
    </w:rPr>
  </w:style>
  <w:style w:type="paragraph" w:customStyle="1" w:styleId="af3">
    <w:name w:val="Стиль"/>
    <w:basedOn w:val="a"/>
    <w:rsid w:val="006D11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Body Text First Indent"/>
    <w:basedOn w:val="a8"/>
    <w:link w:val="af5"/>
    <w:uiPriority w:val="99"/>
    <w:semiHidden/>
    <w:rsid w:val="006D11E9"/>
    <w:pPr>
      <w:spacing w:after="120"/>
      <w:ind w:firstLine="210"/>
      <w:jc w:val="left"/>
    </w:pPr>
  </w:style>
  <w:style w:type="character" w:customStyle="1" w:styleId="af5">
    <w:name w:val="Красная строка Знак"/>
    <w:basedOn w:val="a9"/>
    <w:link w:val="af4"/>
    <w:uiPriority w:val="99"/>
    <w:semiHidden/>
    <w:locked/>
    <w:rsid w:val="006D11E9"/>
  </w:style>
  <w:style w:type="paragraph" w:styleId="2">
    <w:name w:val="List Bullet 2"/>
    <w:basedOn w:val="a"/>
    <w:autoRedefine/>
    <w:uiPriority w:val="99"/>
    <w:semiHidden/>
    <w:rsid w:val="006D11E9"/>
    <w:pPr>
      <w:numPr>
        <w:numId w:val="1"/>
      </w:numPr>
      <w:tabs>
        <w:tab w:val="clear" w:pos="643"/>
        <w:tab w:val="num" w:pos="1068"/>
      </w:tabs>
      <w:ind w:left="1068"/>
    </w:pPr>
  </w:style>
  <w:style w:type="paragraph" w:styleId="31">
    <w:name w:val="Body Text Indent 3"/>
    <w:basedOn w:val="a"/>
    <w:link w:val="32"/>
    <w:uiPriority w:val="99"/>
    <w:semiHidden/>
    <w:rsid w:val="006D11E9"/>
    <w:pPr>
      <w:spacing w:after="120" w:line="360" w:lineRule="atLeast"/>
      <w:ind w:left="283"/>
      <w:jc w:val="both"/>
    </w:pPr>
    <w:rPr>
      <w:rFonts w:ascii="Times New Roman CYR" w:hAnsi="Times New Roman CYR" w:cs="Times New Roman CYR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D11E9"/>
    <w:rPr>
      <w:rFonts w:ascii="Times New Roman CYR" w:hAnsi="Times New Roman CYR" w:cs="Times New Roman CYR"/>
      <w:sz w:val="16"/>
      <w:szCs w:val="16"/>
    </w:rPr>
  </w:style>
  <w:style w:type="paragraph" w:styleId="af6">
    <w:name w:val="annotation subject"/>
    <w:basedOn w:val="af1"/>
    <w:next w:val="af1"/>
    <w:link w:val="af7"/>
    <w:uiPriority w:val="99"/>
    <w:rsid w:val="006D11E9"/>
    <w:pPr>
      <w:spacing w:line="240" w:lineRule="auto"/>
      <w:jc w:val="left"/>
    </w:pPr>
    <w:rPr>
      <w:rFonts w:ascii="Times New Roman" w:hAnsi="Times New Roman" w:cs="Times New Roman"/>
      <w:b/>
      <w:bCs/>
      <w:lang w:eastAsia="en-US"/>
    </w:rPr>
  </w:style>
  <w:style w:type="character" w:customStyle="1" w:styleId="af7">
    <w:name w:val="Тема примечания Знак"/>
    <w:basedOn w:val="af2"/>
    <w:link w:val="af6"/>
    <w:uiPriority w:val="99"/>
    <w:locked/>
    <w:rsid w:val="006D11E9"/>
    <w:rPr>
      <w:b/>
      <w:bCs/>
      <w:lang w:eastAsia="en-US"/>
    </w:rPr>
  </w:style>
  <w:style w:type="paragraph" w:customStyle="1" w:styleId="ConsPlusNormal">
    <w:name w:val="ConsPlusNormal"/>
    <w:rsid w:val="006D11E9"/>
    <w:pPr>
      <w:widowControl w:val="0"/>
      <w:autoSpaceDE w:val="0"/>
      <w:autoSpaceDN w:val="0"/>
      <w:adjustRightInd w:val="0"/>
      <w:ind w:firstLine="720"/>
    </w:pPr>
    <w:rPr>
      <w:rFonts w:ascii="Arial" w:eastAsia="SimSun" w:hAnsi="Arial"/>
      <w:lang w:eastAsia="zh-CN"/>
    </w:rPr>
  </w:style>
  <w:style w:type="paragraph" w:customStyle="1" w:styleId="Body">
    <w:name w:val="Body"/>
    <w:basedOn w:val="a"/>
    <w:rsid w:val="006D11E9"/>
    <w:pPr>
      <w:spacing w:after="120"/>
      <w:ind w:left="357" w:firstLine="363"/>
      <w:jc w:val="both"/>
    </w:pPr>
  </w:style>
  <w:style w:type="paragraph" w:customStyle="1" w:styleId="Rulesbody">
    <w:name w:val="Rules body"/>
    <w:basedOn w:val="RulesNo"/>
    <w:autoRedefine/>
    <w:rsid w:val="006D11E9"/>
    <w:pPr>
      <w:ind w:left="426" w:firstLine="1"/>
    </w:pPr>
  </w:style>
  <w:style w:type="paragraph" w:customStyle="1" w:styleId="BodyNum">
    <w:name w:val="Body Num"/>
    <w:basedOn w:val="a"/>
    <w:rsid w:val="006D11E9"/>
    <w:pPr>
      <w:jc w:val="both"/>
    </w:pPr>
  </w:style>
  <w:style w:type="paragraph" w:customStyle="1" w:styleId="BodyBul">
    <w:name w:val="Body Bul"/>
    <w:basedOn w:val="a"/>
    <w:rsid w:val="006D11E9"/>
    <w:pPr>
      <w:tabs>
        <w:tab w:val="num" w:pos="643"/>
        <w:tab w:val="num" w:pos="720"/>
        <w:tab w:val="num" w:pos="927"/>
        <w:tab w:val="num" w:pos="1068"/>
        <w:tab w:val="num" w:pos="1755"/>
        <w:tab w:val="num" w:pos="1969"/>
      </w:tabs>
      <w:autoSpaceDE w:val="0"/>
      <w:autoSpaceDN w:val="0"/>
      <w:spacing w:after="120"/>
      <w:ind w:left="360" w:hanging="360"/>
      <w:jc w:val="both"/>
    </w:pPr>
  </w:style>
  <w:style w:type="character" w:styleId="af8">
    <w:name w:val="page number"/>
    <w:basedOn w:val="a0"/>
    <w:uiPriority w:val="99"/>
    <w:semiHidden/>
    <w:rsid w:val="006D11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EB8A2F24189CAC59C0D070D22B72FDE7277220A993AB6CB0E2616BE8EE762A964A5FB7F431c745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EB8A2F24189CAC59C0D070D22B72FDE7277220A19FAB6CB0E2616BE8EE762A964A5FB7cF45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72EC1C96C8E8184B9746CDE883AB9CC50E935C0E40B9007CD54ED37D51C8832CBBD266700DdCo8I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2CD96095B24B0EA2807D69112EBB1EF6735BC6ABA33E8AC7D6172D348E78736E832131dCF1J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F345EC7C431859877077E7EFAAF2E3067316AB22CBBF9B908B3A04ECA5D13CBCBB091CAABAWFE0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012_частично действующая редакция</Статус_x0020_документа>
    <_EndDate xmlns="http://schemas.microsoft.com/sharepoint/v3/fields">30.11.2017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2C649-635C-4E01-BE9A-DBA08D3340E9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F240DDE-5E33-4821-BE4E-A84A5D7001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226212-7FD3-4396-8EB6-AD67C0EA9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95EEF05-CE1C-4EAD-BB31-4E570095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5484</Characters>
  <Application>Microsoft Office Word</Application>
  <DocSecurity>0</DocSecurity>
  <Lines>45</Lines>
  <Paragraphs>12</Paragraphs>
  <ScaleCrop>false</ScaleCrop>
  <Company>bcs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ФИЛИАЛ</dc:title>
  <dc:creator>ekorneenkova</dc:creator>
  <cp:lastModifiedBy>voronovskaya.v</cp:lastModifiedBy>
  <cp:revision>2</cp:revision>
  <cp:lastPrinted>2015-10-21T11:33:00Z</cp:lastPrinted>
  <dcterms:created xsi:type="dcterms:W3CDTF">2017-12-18T06:59:00Z</dcterms:created>
  <dcterms:modified xsi:type="dcterms:W3CDTF">2017-12-18T06:59:00Z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