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6B373D" w:rsidRPr="006B373D" w:rsidRDefault="006B373D" w:rsidP="00EC695A">
      <w:pPr>
        <w:tabs>
          <w:tab w:val="center" w:pos="4677"/>
          <w:tab w:val="right" w:pos="9355"/>
        </w:tabs>
        <w:jc w:val="right"/>
        <w:rPr>
          <w:sz w:val="22"/>
          <w:szCs w:val="22"/>
        </w:rPr>
      </w:pPr>
    </w:p>
    <w:p w:rsidR="0093690C" w:rsidRDefault="0093690C" w:rsidP="0093690C">
      <w:pPr>
        <w:tabs>
          <w:tab w:val="center" w:pos="4677"/>
          <w:tab w:val="right" w:pos="9355"/>
        </w:tabs>
        <w:jc w:val="right"/>
        <w:rPr>
          <w:sz w:val="22"/>
          <w:szCs w:val="22"/>
        </w:rPr>
      </w:pPr>
      <w:r>
        <w:rPr>
          <w:sz w:val="22"/>
          <w:szCs w:val="22"/>
        </w:rPr>
        <w:t xml:space="preserve">Утверждены </w:t>
      </w:r>
    </w:p>
    <w:p w:rsidR="00725579" w:rsidRDefault="0093690C" w:rsidP="0093690C">
      <w:pPr>
        <w:tabs>
          <w:tab w:val="center" w:pos="4677"/>
          <w:tab w:val="right" w:pos="9355"/>
        </w:tabs>
        <w:jc w:val="right"/>
        <w:rPr>
          <w:sz w:val="22"/>
          <w:szCs w:val="22"/>
        </w:rPr>
      </w:pPr>
      <w:r>
        <w:rPr>
          <w:sz w:val="22"/>
          <w:szCs w:val="22"/>
        </w:rPr>
        <w:t xml:space="preserve">Решением </w:t>
      </w:r>
      <w:r w:rsidR="002056F6">
        <w:rPr>
          <w:sz w:val="22"/>
          <w:szCs w:val="22"/>
        </w:rPr>
        <w:t>И.О. Г</w:t>
      </w:r>
      <w:r w:rsidR="00725579">
        <w:rPr>
          <w:sz w:val="22"/>
          <w:szCs w:val="22"/>
        </w:rPr>
        <w:t>енерального директора</w:t>
      </w:r>
    </w:p>
    <w:p w:rsidR="00BB185A" w:rsidRDefault="00725579" w:rsidP="00725579">
      <w:pPr>
        <w:tabs>
          <w:tab w:val="center" w:pos="4677"/>
          <w:tab w:val="right" w:pos="9355"/>
        </w:tabs>
        <w:jc w:val="right"/>
        <w:rPr>
          <w:sz w:val="22"/>
          <w:szCs w:val="22"/>
        </w:rPr>
      </w:pPr>
      <w:r>
        <w:rPr>
          <w:sz w:val="22"/>
          <w:szCs w:val="22"/>
        </w:rPr>
        <w:t>АО УК «БКС»</w:t>
      </w:r>
    </w:p>
    <w:p w:rsidR="0093690C" w:rsidRDefault="0093690C" w:rsidP="0093690C">
      <w:pPr>
        <w:jc w:val="right"/>
        <w:rPr>
          <w:sz w:val="22"/>
          <w:szCs w:val="22"/>
        </w:rPr>
      </w:pPr>
      <w:r w:rsidRPr="002B3C7A">
        <w:rPr>
          <w:sz w:val="22"/>
          <w:szCs w:val="22"/>
        </w:rPr>
        <w:t xml:space="preserve">№ </w:t>
      </w:r>
      <w:r w:rsidR="002B3C7A" w:rsidRPr="00E11FCF">
        <w:rPr>
          <w:sz w:val="22"/>
          <w:szCs w:val="22"/>
        </w:rPr>
        <w:t>7</w:t>
      </w:r>
      <w:r w:rsidR="00682210" w:rsidRPr="002B3C7A">
        <w:rPr>
          <w:sz w:val="22"/>
          <w:szCs w:val="22"/>
        </w:rPr>
        <w:t>/17 от «</w:t>
      </w:r>
      <w:r w:rsidR="002B3C7A">
        <w:rPr>
          <w:sz w:val="22"/>
          <w:szCs w:val="22"/>
        </w:rPr>
        <w:t>2</w:t>
      </w:r>
      <w:r w:rsidR="002B3C7A" w:rsidRPr="00E11FCF">
        <w:rPr>
          <w:sz w:val="22"/>
          <w:szCs w:val="22"/>
        </w:rPr>
        <w:t>9</w:t>
      </w:r>
      <w:r w:rsidR="0039389B" w:rsidRPr="002B3C7A">
        <w:rPr>
          <w:sz w:val="22"/>
          <w:szCs w:val="22"/>
        </w:rPr>
        <w:t>»</w:t>
      </w:r>
      <w:r w:rsidR="00682210" w:rsidRPr="002B3C7A">
        <w:rPr>
          <w:sz w:val="22"/>
          <w:szCs w:val="22"/>
        </w:rPr>
        <w:t xml:space="preserve"> </w:t>
      </w:r>
      <w:r w:rsidR="002B3C7A">
        <w:rPr>
          <w:sz w:val="22"/>
          <w:szCs w:val="22"/>
        </w:rPr>
        <w:t>нояб</w:t>
      </w:r>
      <w:r w:rsidR="00807714" w:rsidRPr="002B3C7A">
        <w:rPr>
          <w:sz w:val="22"/>
          <w:szCs w:val="22"/>
        </w:rPr>
        <w:t>ря</w:t>
      </w:r>
      <w:r w:rsidR="00682210" w:rsidRPr="002B3C7A">
        <w:rPr>
          <w:sz w:val="22"/>
          <w:szCs w:val="22"/>
        </w:rPr>
        <w:t xml:space="preserve"> </w:t>
      </w:r>
      <w:r w:rsidRPr="002B3C7A">
        <w:rPr>
          <w:sz w:val="22"/>
          <w:szCs w:val="22"/>
        </w:rPr>
        <w:t xml:space="preserve"> 2017г.</w:t>
      </w:r>
    </w:p>
    <w:p w:rsidR="0093690C" w:rsidRDefault="00BB185A" w:rsidP="0093690C">
      <w:pPr>
        <w:jc w:val="right"/>
        <w:rPr>
          <w:sz w:val="22"/>
          <w:szCs w:val="22"/>
        </w:rPr>
      </w:pPr>
      <w:r>
        <w:rPr>
          <w:sz w:val="22"/>
          <w:szCs w:val="22"/>
        </w:rPr>
        <w:t>___________/О.Ю</w:t>
      </w:r>
      <w:r w:rsidR="0093690C">
        <w:rPr>
          <w:sz w:val="22"/>
          <w:szCs w:val="22"/>
        </w:rPr>
        <w:t xml:space="preserve">. </w:t>
      </w:r>
      <w:r>
        <w:rPr>
          <w:sz w:val="22"/>
          <w:szCs w:val="22"/>
        </w:rPr>
        <w:t>Ковлешенко</w:t>
      </w:r>
    </w:p>
    <w:p w:rsidR="0093690C" w:rsidRDefault="0093690C" w:rsidP="0093690C">
      <w:pPr>
        <w:jc w:val="center"/>
        <w:rPr>
          <w:b/>
          <w:bCs/>
          <w:sz w:val="22"/>
          <w:szCs w:val="22"/>
        </w:rPr>
      </w:pPr>
      <w:r>
        <w:rPr>
          <w:bCs/>
          <w:sz w:val="22"/>
          <w:szCs w:val="22"/>
        </w:rPr>
        <w:t xml:space="preserve">                                                                                                      М.П.</w:t>
      </w:r>
    </w:p>
    <w:p w:rsidR="00315D78" w:rsidRDefault="00315D78" w:rsidP="00315D78">
      <w:pPr>
        <w:jc w:val="center"/>
        <w:rPr>
          <w:b/>
          <w:bCs/>
          <w:sz w:val="22"/>
          <w:szCs w:val="22"/>
        </w:rPr>
      </w:pPr>
    </w:p>
    <w:p w:rsidR="00092AF1" w:rsidRPr="00BA6A9E" w:rsidRDefault="00092AF1" w:rsidP="00B819E3">
      <w:pPr>
        <w:jc w:val="center"/>
        <w:rPr>
          <w:b/>
          <w:bCs/>
          <w:sz w:val="22"/>
          <w:szCs w:val="22"/>
        </w:rPr>
      </w:pPr>
    </w:p>
    <w:p w:rsidR="00AC0AFC" w:rsidRPr="005307C2" w:rsidRDefault="00AC0AFC" w:rsidP="00AC0AFC">
      <w:pPr>
        <w:jc w:val="center"/>
        <w:rPr>
          <w:b/>
          <w:bCs/>
        </w:rPr>
      </w:pPr>
      <w:r w:rsidRPr="005307C2">
        <w:rPr>
          <w:b/>
          <w:bCs/>
        </w:rPr>
        <w:t>ИЗМЕНЕНИЯ И ДОПОЛНЕНИЯ № 1</w:t>
      </w:r>
      <w:r w:rsidR="00BB185A">
        <w:rPr>
          <w:b/>
          <w:bCs/>
        </w:rPr>
        <w:t>7</w:t>
      </w:r>
    </w:p>
    <w:p w:rsidR="00AC0AFC" w:rsidRDefault="00AC0AFC" w:rsidP="00AC0AFC">
      <w:pPr>
        <w:pStyle w:val="a8"/>
        <w:jc w:val="center"/>
        <w:rPr>
          <w:b/>
        </w:rPr>
      </w:pPr>
      <w:r w:rsidRPr="005307C2">
        <w:rPr>
          <w:b/>
          <w:bCs/>
        </w:rPr>
        <w:t xml:space="preserve">в Правила доверительного управления </w:t>
      </w:r>
      <w:r w:rsidRPr="005307C2">
        <w:rPr>
          <w:b/>
        </w:rPr>
        <w:t xml:space="preserve">Открытым паевым инвестиционным Фондом </w:t>
      </w:r>
      <w:r w:rsidR="00BB185A">
        <w:rPr>
          <w:b/>
        </w:rPr>
        <w:t xml:space="preserve">рыночных финансовых инструментов </w:t>
      </w:r>
      <w:r w:rsidRPr="005307C2">
        <w:rPr>
          <w:b/>
        </w:rPr>
        <w:t>«БКС</w:t>
      </w:r>
      <w:r w:rsidR="00B41439">
        <w:rPr>
          <w:b/>
        </w:rPr>
        <w:t xml:space="preserve"> </w:t>
      </w:r>
      <w:r w:rsidRPr="005307C2">
        <w:rPr>
          <w:b/>
        </w:rPr>
        <w:t>Индекс ММВБ»</w:t>
      </w:r>
    </w:p>
    <w:p w:rsidR="00AC0AFC" w:rsidRPr="005307C2" w:rsidRDefault="00AC0AFC" w:rsidP="00AC0AFC">
      <w:pPr>
        <w:pStyle w:val="a8"/>
        <w:jc w:val="center"/>
        <w:rPr>
          <w:b/>
        </w:rPr>
      </w:pPr>
    </w:p>
    <w:p w:rsidR="00AC0AFC" w:rsidRPr="00EA522E" w:rsidRDefault="00AC0AFC" w:rsidP="00AC0AFC">
      <w:pPr>
        <w:jc w:val="center"/>
        <w:rPr>
          <w:bCs/>
        </w:rPr>
      </w:pPr>
      <w:r w:rsidRPr="00EA522E">
        <w:rPr>
          <w:bCs/>
        </w:rPr>
        <w:t xml:space="preserve">(Правила доверительного управления </w:t>
      </w:r>
      <w:r w:rsidRPr="00EA522E">
        <w:t>Открытым индексным паевым инвестиционным Фондом «БКС - Индекс ММВБ»</w:t>
      </w:r>
      <w:r w:rsidRPr="00EA522E">
        <w:rPr>
          <w:bCs/>
        </w:rPr>
        <w:t xml:space="preserve"> зарегистрированы ФСФР России </w:t>
      </w:r>
    </w:p>
    <w:p w:rsidR="00AC0AFC" w:rsidRPr="00EA522E" w:rsidRDefault="00AC0AFC" w:rsidP="00AC0AFC">
      <w:pPr>
        <w:jc w:val="center"/>
        <w:rPr>
          <w:bCs/>
        </w:rPr>
      </w:pPr>
      <w:r w:rsidRPr="00EA522E">
        <w:rPr>
          <w:bCs/>
        </w:rPr>
        <w:t>за № 0278-58233720 от 17 ноября 2004</w:t>
      </w:r>
      <w:r>
        <w:rPr>
          <w:bCs/>
        </w:rPr>
        <w:t xml:space="preserve"> </w:t>
      </w:r>
      <w:r w:rsidRPr="00EA522E">
        <w:rPr>
          <w:bCs/>
        </w:rPr>
        <w:t>г.)</w:t>
      </w:r>
    </w:p>
    <w:p w:rsidR="00EF7737" w:rsidRDefault="00EF7737" w:rsidP="00EF7737">
      <w:pPr>
        <w:pStyle w:val="af"/>
        <w:spacing w:before="0" w:after="60"/>
        <w:ind w:right="-162"/>
        <w:jc w:val="center"/>
        <w:rPr>
          <w:rFonts w:ascii="Times New Roman" w:hAnsi="Times New Roman" w:cs="Times New Roman"/>
          <w:b/>
          <w:bCs/>
          <w:sz w:val="22"/>
          <w:szCs w:val="22"/>
        </w:rPr>
      </w:pPr>
    </w:p>
    <w:p w:rsidR="005307C2" w:rsidRPr="00AC0AFC" w:rsidRDefault="005307C2" w:rsidP="005307C2">
      <w:pPr>
        <w:jc w:val="both"/>
        <w:rPr>
          <w:b/>
          <w:bCs/>
          <w:sz w:val="22"/>
          <w:szCs w:val="22"/>
          <w:lang w:val="en-US"/>
        </w:rPr>
      </w:pPr>
    </w:p>
    <w:tbl>
      <w:tblPr>
        <w:tblW w:w="10255" w:type="dxa"/>
        <w:tblInd w:w="-792" w:type="dxa"/>
        <w:tblLook w:val="0000"/>
      </w:tblPr>
      <w:tblGrid>
        <w:gridCol w:w="4869"/>
        <w:gridCol w:w="5386"/>
      </w:tblGrid>
      <w:tr w:rsidR="00AC0AFC"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AC0AFC" w:rsidRPr="00BA6A9E" w:rsidRDefault="00AC0AFC" w:rsidP="008B10F1">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AC0AFC" w:rsidRPr="00BA6A9E" w:rsidRDefault="00AC0AFC"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AC0AFC" w:rsidRPr="00C86223" w:rsidRDefault="00AC0AFC" w:rsidP="008B10F1">
            <w:pPr>
              <w:pStyle w:val="af"/>
              <w:jc w:val="center"/>
              <w:rPr>
                <w:rFonts w:ascii="Times New Roman" w:hAnsi="Times New Roman" w:cs="Times New Roman"/>
                <w:b/>
                <w:bCs/>
                <w:sz w:val="22"/>
                <w:szCs w:val="22"/>
              </w:rPr>
            </w:pPr>
            <w:r w:rsidRPr="00C86223">
              <w:rPr>
                <w:rFonts w:ascii="Times New Roman" w:hAnsi="Times New Roman" w:cs="Times New Roman"/>
                <w:b/>
                <w:bCs/>
                <w:sz w:val="22"/>
                <w:szCs w:val="22"/>
              </w:rPr>
              <w:t>Новая редакция</w:t>
            </w:r>
          </w:p>
        </w:tc>
      </w:tr>
      <w:tr w:rsidR="004C5218"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C5218" w:rsidRPr="007371A8" w:rsidRDefault="004C5218" w:rsidP="00C1743E">
            <w:pPr>
              <w:pStyle w:val="af"/>
              <w:spacing w:before="0" w:after="0"/>
              <w:ind w:firstLine="508"/>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п. </w:t>
            </w:r>
            <w:r w:rsidRPr="00BB185A">
              <w:rPr>
                <w:rFonts w:ascii="Times New Roman" w:hAnsi="Times New Roman" w:cs="Times New Roman"/>
                <w:sz w:val="22"/>
                <w:szCs w:val="22"/>
                <w:lang w:val="ru-RU"/>
              </w:rPr>
              <w:t>14. Полное фирменное наименование аудиторской организации фонда (далее – аудиторская организация): Общество с ограниченной ответственностью «Судебная экспертиза и Аудит».</w:t>
            </w:r>
          </w:p>
        </w:tc>
        <w:tc>
          <w:tcPr>
            <w:tcW w:w="5386" w:type="dxa"/>
            <w:tcBorders>
              <w:top w:val="single" w:sz="4" w:space="0" w:color="auto"/>
              <w:left w:val="single" w:sz="4" w:space="0" w:color="auto"/>
              <w:bottom w:val="single" w:sz="4" w:space="0" w:color="auto"/>
              <w:right w:val="single" w:sz="4" w:space="0" w:color="auto"/>
            </w:tcBorders>
          </w:tcPr>
          <w:p w:rsidR="004C5218" w:rsidRPr="007371A8" w:rsidRDefault="004C5218" w:rsidP="00C1743E">
            <w:pPr>
              <w:pStyle w:val="af"/>
              <w:spacing w:before="0" w:after="0"/>
              <w:ind w:firstLine="601"/>
              <w:jc w:val="both"/>
              <w:rPr>
                <w:rFonts w:ascii="Times New Roman" w:hAnsi="Times New Roman" w:cs="Times New Roman"/>
                <w:sz w:val="22"/>
                <w:szCs w:val="22"/>
                <w:lang w:val="ru-RU"/>
              </w:rPr>
            </w:pPr>
            <w:r w:rsidRPr="007371A8">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п. </w:t>
            </w:r>
            <w:r w:rsidRPr="00BB185A">
              <w:rPr>
                <w:rFonts w:ascii="Times New Roman" w:hAnsi="Times New Roman" w:cs="Times New Roman"/>
                <w:sz w:val="22"/>
                <w:szCs w:val="22"/>
                <w:lang w:val="ru-RU"/>
              </w:rPr>
              <w:t xml:space="preserve">14. Полное фирменное наименование аудиторской организации фонда (далее – аудиторская организация): </w:t>
            </w:r>
            <w:r w:rsidRPr="004C5218">
              <w:rPr>
                <w:rFonts w:ascii="Times New Roman" w:hAnsi="Times New Roman" w:cs="Times New Roman"/>
                <w:sz w:val="22"/>
                <w:szCs w:val="22"/>
                <w:lang w:val="ru-RU"/>
              </w:rPr>
              <w:t>Закрытое акционерное общество Консультационная группа «Баланс»</w:t>
            </w:r>
            <w:r w:rsidRPr="00BB185A">
              <w:rPr>
                <w:rFonts w:ascii="Times New Roman" w:hAnsi="Times New Roman" w:cs="Times New Roman"/>
                <w:sz w:val="22"/>
                <w:szCs w:val="22"/>
                <w:lang w:val="ru-RU"/>
              </w:rPr>
              <w:t>.</w:t>
            </w:r>
          </w:p>
        </w:tc>
      </w:tr>
      <w:tr w:rsidR="004C5218"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C5218" w:rsidRPr="007371A8" w:rsidRDefault="004C5218" w:rsidP="00C1743E">
            <w:pPr>
              <w:pStyle w:val="af"/>
              <w:spacing w:before="0" w:after="0"/>
              <w:ind w:firstLine="508"/>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 </w:t>
            </w:r>
            <w:r w:rsidRPr="00BB185A">
              <w:rPr>
                <w:rFonts w:ascii="Times New Roman" w:hAnsi="Times New Roman" w:cs="Times New Roman"/>
                <w:sz w:val="22"/>
                <w:szCs w:val="22"/>
                <w:lang w:val="ru-RU"/>
              </w:rPr>
              <w:t>15. Место нахождения аудиторской организации: Российская Федерация, 630051, г. Новосибирск, ул. Ползунова, д. 1.</w:t>
            </w:r>
          </w:p>
        </w:tc>
        <w:tc>
          <w:tcPr>
            <w:tcW w:w="5386" w:type="dxa"/>
            <w:tcBorders>
              <w:top w:val="single" w:sz="4" w:space="0" w:color="auto"/>
              <w:left w:val="single" w:sz="4" w:space="0" w:color="auto"/>
              <w:bottom w:val="single" w:sz="4" w:space="0" w:color="auto"/>
              <w:right w:val="single" w:sz="4" w:space="0" w:color="auto"/>
            </w:tcBorders>
          </w:tcPr>
          <w:p w:rsidR="004C5218" w:rsidRPr="007371A8" w:rsidRDefault="004C5218" w:rsidP="00C1743E">
            <w:pPr>
              <w:pStyle w:val="af"/>
              <w:spacing w:before="0" w:after="0"/>
              <w:ind w:firstLine="601"/>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п. </w:t>
            </w:r>
            <w:r w:rsidRPr="00BB185A">
              <w:rPr>
                <w:rFonts w:ascii="Times New Roman" w:hAnsi="Times New Roman" w:cs="Times New Roman"/>
                <w:sz w:val="22"/>
                <w:szCs w:val="22"/>
                <w:lang w:val="ru-RU"/>
              </w:rPr>
              <w:t xml:space="preserve">15. Место нахождения аудиторской организации: </w:t>
            </w:r>
            <w:r w:rsidRPr="004C5218">
              <w:rPr>
                <w:rFonts w:ascii="Times New Roman" w:hAnsi="Times New Roman" w:cs="Times New Roman"/>
                <w:sz w:val="22"/>
                <w:szCs w:val="22"/>
                <w:lang w:val="ru-RU"/>
              </w:rPr>
              <w:t>Российская Федерация,  630004, г. Новосибирск, ул. Ленина, д. 21/1, корп. 2</w:t>
            </w:r>
            <w:r w:rsidRPr="00BB185A">
              <w:rPr>
                <w:rFonts w:ascii="Times New Roman" w:hAnsi="Times New Roman" w:cs="Times New Roman"/>
                <w:sz w:val="22"/>
                <w:szCs w:val="22"/>
                <w:lang w:val="ru-RU"/>
              </w:rPr>
              <w:t>.</w:t>
            </w:r>
          </w:p>
        </w:tc>
      </w:tr>
      <w:tr w:rsidR="00AC0AFC"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BB185A" w:rsidRPr="00BB185A" w:rsidRDefault="004C5218" w:rsidP="00C1743E">
            <w:pPr>
              <w:pStyle w:val="af"/>
              <w:ind w:firstLine="508"/>
              <w:jc w:val="both"/>
              <w:rPr>
                <w:rFonts w:ascii="Times New Roman" w:hAnsi="Times New Roman" w:cs="Times New Roman"/>
                <w:sz w:val="22"/>
                <w:szCs w:val="22"/>
                <w:lang w:val="ru-RU"/>
              </w:rPr>
            </w:pPr>
            <w:r>
              <w:rPr>
                <w:rFonts w:ascii="Times New Roman" w:hAnsi="Times New Roman" w:cs="Times New Roman"/>
                <w:sz w:val="22"/>
                <w:szCs w:val="22"/>
                <w:lang w:val="ru-RU"/>
              </w:rPr>
              <w:t>пп. «е»</w:t>
            </w:r>
            <w:r w:rsidR="00BB185A" w:rsidRPr="00BB185A">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пп. 5 п. 29. </w:t>
            </w:r>
            <w:r w:rsidR="00BB185A" w:rsidRPr="00BB185A">
              <w:rPr>
                <w:rFonts w:ascii="Times New Roman" w:hAnsi="Times New Roman" w:cs="Times New Roman"/>
                <w:sz w:val="22"/>
                <w:szCs w:val="22"/>
                <w:lang w:val="ru-RU"/>
              </w:rPr>
              <w:t>сделки репо, подлежащие исполнению за счет имущества фонда. Если иное не предусмотрено нормативными правовыми актами федерального органа исполнительной власти по рынку ценных бумаг, данное ограничение не применяется, в случае одновременного соблюдения следующих требований:</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сделка репо заключается на торгах организатора торговли на рынке ценных бумаг;</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 xml:space="preserve">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w:t>
            </w:r>
            <w:r w:rsidRPr="00BB185A">
              <w:rPr>
                <w:rFonts w:ascii="Times New Roman" w:hAnsi="Times New Roman" w:cs="Times New Roman"/>
                <w:sz w:val="22"/>
                <w:szCs w:val="22"/>
                <w:lang w:val="ru-RU"/>
              </w:rPr>
              <w:lastRenderedPageBreak/>
              <w:t>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сумма первой части репо, предусматривающей продажу ценных бумаг из имущества фонда, превышает сумму второй части репо;</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срок исполнения второй части репо не превышает 30 дней с даты заключения сделки репо;</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BB185A" w:rsidRPr="00BB185A" w:rsidRDefault="00BB185A" w:rsidP="00C1743E">
            <w:pPr>
              <w:pStyle w:val="af"/>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AC0AFC" w:rsidRPr="007371A8" w:rsidRDefault="00BB185A" w:rsidP="00C1743E">
            <w:pPr>
              <w:pStyle w:val="af"/>
              <w:spacing w:before="0" w:after="0"/>
              <w:ind w:firstLine="508"/>
              <w:jc w:val="both"/>
              <w:rPr>
                <w:rFonts w:ascii="Times New Roman" w:hAnsi="Times New Roman" w:cs="Times New Roman"/>
                <w:sz w:val="22"/>
                <w:szCs w:val="22"/>
                <w:lang w:val="ru-RU"/>
              </w:rPr>
            </w:pPr>
            <w:r w:rsidRPr="00BB185A">
              <w:rPr>
                <w:rFonts w:ascii="Times New Roman" w:hAnsi="Times New Roman" w:cs="Times New Roman"/>
                <w:sz w:val="22"/>
                <w:szCs w:val="22"/>
                <w:lang w:val="ru-RU"/>
              </w:rPr>
              <w:t>•</w:t>
            </w:r>
            <w:r w:rsidRPr="00BB185A">
              <w:rPr>
                <w:rFonts w:ascii="Times New Roman" w:hAnsi="Times New Roman" w:cs="Times New Roman"/>
                <w:sz w:val="22"/>
                <w:szCs w:val="22"/>
                <w:lang w:val="ru-RU"/>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tc>
        <w:tc>
          <w:tcPr>
            <w:tcW w:w="5386" w:type="dxa"/>
            <w:tcBorders>
              <w:top w:val="single" w:sz="4" w:space="0" w:color="auto"/>
              <w:left w:val="single" w:sz="4" w:space="0" w:color="auto"/>
              <w:bottom w:val="single" w:sz="4" w:space="0" w:color="auto"/>
              <w:right w:val="single" w:sz="4" w:space="0" w:color="auto"/>
            </w:tcBorders>
          </w:tcPr>
          <w:p w:rsidR="00AC0AFC" w:rsidRPr="007371A8" w:rsidRDefault="001A6BB0" w:rsidP="00C1743E">
            <w:pPr>
              <w:ind w:firstLine="601"/>
              <w:jc w:val="both"/>
              <w:rPr>
                <w:sz w:val="22"/>
                <w:szCs w:val="22"/>
              </w:rPr>
            </w:pPr>
            <w:r w:rsidRPr="001A6BB0">
              <w:rPr>
                <w:sz w:val="22"/>
                <w:szCs w:val="22"/>
              </w:rPr>
              <w:lastRenderedPageBreak/>
              <w:t>пп. «е» пп. 5 п. 29. сделки репо, подлежащие исполнению за счет имущества фонда.</w:t>
            </w:r>
            <w:r>
              <w:rPr>
                <w:sz w:val="22"/>
                <w:szCs w:val="22"/>
              </w:rPr>
              <w:t xml:space="preserve"> </w:t>
            </w:r>
            <w:r w:rsidRPr="001A6BB0">
              <w:rPr>
                <w:sz w:val="22"/>
                <w:szCs w:val="22"/>
              </w:rPr>
              <w:t>Данное ограничение не применяется в случае соблюдения требований, предусмотренных п. 24.4 настоящих Правил</w:t>
            </w:r>
          </w:p>
        </w:tc>
      </w:tr>
      <w:tr w:rsidR="00AC0AFC" w:rsidRPr="00BF357F"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C2195B" w:rsidRPr="00C2195B" w:rsidRDefault="004C5218" w:rsidP="00C1743E">
            <w:pPr>
              <w:pStyle w:val="af"/>
              <w:ind w:firstLine="508"/>
              <w:jc w:val="both"/>
              <w:rPr>
                <w:rFonts w:ascii="Times New Roman" w:hAnsi="Times New Roman" w:cs="Times New Roman"/>
                <w:sz w:val="22"/>
                <w:szCs w:val="22"/>
                <w:lang w:val="ru-RU"/>
              </w:rPr>
            </w:pPr>
            <w:r>
              <w:rPr>
                <w:rFonts w:ascii="Times New Roman" w:hAnsi="Times New Roman" w:cs="Times New Roman"/>
                <w:sz w:val="22"/>
                <w:szCs w:val="22"/>
                <w:lang w:val="ru-RU"/>
              </w:rPr>
              <w:lastRenderedPageBreak/>
              <w:t xml:space="preserve">п. 77. </w:t>
            </w:r>
            <w:r w:rsidR="00C2195B" w:rsidRPr="00C2195B">
              <w:rPr>
                <w:rFonts w:ascii="Times New Roman" w:hAnsi="Times New Roman" w:cs="Times New Roman"/>
                <w:sz w:val="22"/>
                <w:szCs w:val="22"/>
                <w:lang w:val="ru-RU"/>
              </w:rPr>
              <w:t>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1) 2,00 (Два) процента от расчётной стоимости инвестиционного пая в случае, если: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 xml:space="preserve">1.1) погашение инвестиционных паёв </w:t>
            </w:r>
            <w:r w:rsidRPr="00C2195B">
              <w:rPr>
                <w:rFonts w:ascii="Times New Roman" w:hAnsi="Times New Roman" w:cs="Times New Roman"/>
                <w:sz w:val="22"/>
                <w:szCs w:val="22"/>
                <w:lang w:val="ru-RU"/>
              </w:rPr>
              <w:lastRenderedPageBreak/>
              <w:t>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2) 1,00 (Один) процент от расчётной стоимости инвестиционного пая в случае, если: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Размер скидки при погашении инвестиционных паев по лицевому счету  владельца по заявке на погашение, принятой агентом фонда - Публичным акционерным обществом Росбанк,  составляет 1 (Один) процент от стоимости инвестиционного пая независимо от срока владения инвестиционными паями.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 xml:space="preserve">1) 2,00 (Два) процента от расчётной стоимости инвестиционного пая в случае, если: </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2) 1,00 (Один) процент от расчётной стоимости инвестиционного пая в случае, если: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2.1) погашение инвестиционных паёв производится в срок от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C2195B" w:rsidRPr="00C2195B" w:rsidRDefault="00C2195B" w:rsidP="00C1743E">
            <w:pPr>
              <w:pStyle w:val="af"/>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При погашении инвестиционных паев по лицевому счету доверительного управляющего по заявке на погашение скидка не взимается.</w:t>
            </w:r>
          </w:p>
          <w:p w:rsidR="00AC0AFC" w:rsidRPr="007371A8" w:rsidRDefault="00C2195B" w:rsidP="00C1743E">
            <w:pPr>
              <w:pStyle w:val="af"/>
              <w:spacing w:before="0" w:after="0"/>
              <w:ind w:firstLine="508"/>
              <w:jc w:val="both"/>
              <w:rPr>
                <w:rFonts w:ascii="Times New Roman" w:hAnsi="Times New Roman" w:cs="Times New Roman"/>
                <w:sz w:val="22"/>
                <w:szCs w:val="22"/>
                <w:lang w:val="ru-RU"/>
              </w:rPr>
            </w:pPr>
            <w:r w:rsidRPr="00C2195B">
              <w:rPr>
                <w:rFonts w:ascii="Times New Roman" w:hAnsi="Times New Roman" w:cs="Times New Roman"/>
                <w:sz w:val="22"/>
                <w:szCs w:val="22"/>
                <w:lang w:val="ru-RU"/>
              </w:rPr>
              <w:t>При погашении инвестиционных паев по лицевому счету номинального держателя по заявке на погашение, принятой Управляющей компанией или агентом фонда, скидка не взимается.</w:t>
            </w:r>
          </w:p>
        </w:tc>
        <w:tc>
          <w:tcPr>
            <w:tcW w:w="5386" w:type="dxa"/>
            <w:tcBorders>
              <w:top w:val="single" w:sz="4" w:space="0" w:color="auto"/>
              <w:left w:val="single" w:sz="4" w:space="0" w:color="auto"/>
              <w:bottom w:val="single" w:sz="4" w:space="0" w:color="auto"/>
              <w:right w:val="single" w:sz="4" w:space="0" w:color="auto"/>
            </w:tcBorders>
          </w:tcPr>
          <w:p w:rsidR="001A6BB0" w:rsidRPr="001A6BB0" w:rsidRDefault="001A6BB0" w:rsidP="00C1743E">
            <w:pPr>
              <w:ind w:firstLine="601"/>
              <w:jc w:val="both"/>
              <w:rPr>
                <w:sz w:val="22"/>
                <w:szCs w:val="22"/>
              </w:rPr>
            </w:pPr>
            <w:r w:rsidRPr="001A6BB0">
              <w:rPr>
                <w:sz w:val="22"/>
                <w:szCs w:val="22"/>
              </w:rPr>
              <w:lastRenderedPageBreak/>
              <w:t>п. 77. При подаче заявки на погашение инвестиционных паёв в филиале Управляющей компании, расположенном по адресу: Российская Федерация, 129110, г. Москва, проспект Мира, д. 69, строение 1, или агентам, размер скидки, на которую уменьшается расчётная стоимость инвестиционного пая, составляет:</w:t>
            </w:r>
          </w:p>
          <w:p w:rsidR="001A6BB0" w:rsidRPr="001A6BB0" w:rsidRDefault="001A6BB0" w:rsidP="00C1743E">
            <w:pPr>
              <w:ind w:firstLine="601"/>
              <w:jc w:val="both"/>
              <w:rPr>
                <w:sz w:val="22"/>
                <w:szCs w:val="22"/>
              </w:rPr>
            </w:pPr>
            <w:r w:rsidRPr="001A6BB0">
              <w:rPr>
                <w:sz w:val="22"/>
                <w:szCs w:val="22"/>
              </w:rPr>
              <w:t>1) 2,00 (Два) процента от расчётной стоимости инвестиционного пая в случае, если:</w:t>
            </w:r>
          </w:p>
          <w:p w:rsidR="001A6BB0" w:rsidRPr="001A6BB0" w:rsidRDefault="001A6BB0" w:rsidP="00C1743E">
            <w:pPr>
              <w:ind w:firstLine="601"/>
              <w:jc w:val="both"/>
              <w:rPr>
                <w:sz w:val="22"/>
                <w:szCs w:val="22"/>
              </w:rPr>
            </w:pPr>
            <w:r w:rsidRPr="001A6BB0">
              <w:rPr>
                <w:sz w:val="22"/>
                <w:szCs w:val="22"/>
              </w:rPr>
              <w:t xml:space="preserve">1.1) погашение инвестиционных паёв производится в срок менее 12 (Двенадцати) месяцев со дня внесения приходной записи по зачислению </w:t>
            </w:r>
            <w:r w:rsidRPr="001A6BB0">
              <w:rPr>
                <w:sz w:val="22"/>
                <w:szCs w:val="22"/>
              </w:rPr>
              <w:lastRenderedPageBreak/>
              <w:t>данных инвестиционных паев на лицевой счет, с которого производится погашение данных инвестиционных паев,</w:t>
            </w:r>
          </w:p>
          <w:p w:rsidR="001A6BB0" w:rsidRPr="001A6BB0" w:rsidRDefault="001A6BB0" w:rsidP="00C1743E">
            <w:pPr>
              <w:ind w:firstLine="601"/>
              <w:jc w:val="both"/>
              <w:rPr>
                <w:sz w:val="22"/>
                <w:szCs w:val="22"/>
              </w:rPr>
            </w:pPr>
            <w:r w:rsidRPr="001A6BB0">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1A6BB0" w:rsidRPr="001A6BB0" w:rsidRDefault="001A6BB0" w:rsidP="00C1743E">
            <w:pPr>
              <w:ind w:firstLine="601"/>
              <w:jc w:val="both"/>
              <w:rPr>
                <w:sz w:val="22"/>
                <w:szCs w:val="22"/>
              </w:rPr>
            </w:pPr>
            <w:r w:rsidRPr="001A6BB0">
              <w:rPr>
                <w:sz w:val="22"/>
                <w:szCs w:val="22"/>
              </w:rPr>
              <w:t>2) 1,00 (Один) процент от расчётной стоимости инвестиционного пая в случае, если:</w:t>
            </w:r>
          </w:p>
          <w:p w:rsidR="001A6BB0" w:rsidRPr="001A6BB0" w:rsidRDefault="001A6BB0" w:rsidP="00C1743E">
            <w:pPr>
              <w:ind w:firstLine="601"/>
              <w:jc w:val="both"/>
              <w:rPr>
                <w:sz w:val="22"/>
                <w:szCs w:val="22"/>
              </w:rPr>
            </w:pPr>
            <w:r w:rsidRPr="001A6BB0">
              <w:rPr>
                <w:sz w:val="22"/>
                <w:szCs w:val="22"/>
              </w:rPr>
              <w:t>2.1)  погашение инвестиционных паёв производится в срок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A6BB0" w:rsidRPr="001A6BB0" w:rsidRDefault="001A6BB0" w:rsidP="00C1743E">
            <w:pPr>
              <w:ind w:firstLine="601"/>
              <w:jc w:val="both"/>
              <w:rPr>
                <w:sz w:val="22"/>
                <w:szCs w:val="22"/>
              </w:rPr>
            </w:pPr>
            <w:r w:rsidRPr="001A6BB0">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1A6BB0" w:rsidRPr="001A6BB0" w:rsidRDefault="001A6BB0" w:rsidP="00C1743E">
            <w:pPr>
              <w:ind w:firstLine="601"/>
              <w:jc w:val="both"/>
              <w:rPr>
                <w:sz w:val="22"/>
                <w:szCs w:val="22"/>
              </w:rPr>
            </w:pPr>
            <w:r w:rsidRPr="001A6BB0">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A6BB0" w:rsidRPr="001A6BB0" w:rsidRDefault="001A6BB0" w:rsidP="00C1743E">
            <w:pPr>
              <w:ind w:firstLine="601"/>
              <w:jc w:val="both"/>
              <w:rPr>
                <w:sz w:val="22"/>
                <w:szCs w:val="22"/>
              </w:rPr>
            </w:pPr>
            <w:r w:rsidRPr="001A6BB0">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1A6BB0" w:rsidRPr="001A6BB0" w:rsidRDefault="001A6BB0" w:rsidP="00C1743E">
            <w:pPr>
              <w:ind w:firstLine="601"/>
              <w:jc w:val="both"/>
              <w:rPr>
                <w:sz w:val="22"/>
                <w:szCs w:val="22"/>
              </w:rPr>
            </w:pPr>
            <w:r w:rsidRPr="001A6BB0">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скидка не взимается при условии погашения по одной заявке не менее 100 (Ста) инвестиционных паев независимо от срока владения инвестиционными паями.</w:t>
            </w:r>
          </w:p>
          <w:p w:rsidR="001A6BB0" w:rsidRPr="001A6BB0" w:rsidRDefault="001A6BB0" w:rsidP="00C1743E">
            <w:pPr>
              <w:ind w:firstLine="601"/>
              <w:jc w:val="both"/>
              <w:rPr>
                <w:sz w:val="22"/>
                <w:szCs w:val="22"/>
              </w:rPr>
            </w:pPr>
            <w:r w:rsidRPr="001A6BB0">
              <w:rPr>
                <w:sz w:val="22"/>
                <w:szCs w:val="22"/>
              </w:rPr>
              <w:t>При погашении инвестиционных паев по лицевому счету владельца по заявке на погашение, принятой  Управляющей компанией, за исключением заявок, принятых в филиале Управляющей компании, расположенном по адресу: Российская Федерация, 129110, г. Москва, проспект Мира, д. 69, строение 1, при условии погашения по одной заявке менее 100 (Ста) инвестиционных паев размер скидки, на которую уменьшается расчётная стоимость инвестиционного пая, составляет:</w:t>
            </w:r>
          </w:p>
          <w:p w:rsidR="001A6BB0" w:rsidRPr="001A6BB0" w:rsidRDefault="001A6BB0" w:rsidP="00C1743E">
            <w:pPr>
              <w:ind w:firstLine="601"/>
              <w:jc w:val="both"/>
              <w:rPr>
                <w:sz w:val="22"/>
                <w:szCs w:val="22"/>
              </w:rPr>
            </w:pPr>
            <w:r w:rsidRPr="001A6BB0">
              <w:rPr>
                <w:sz w:val="22"/>
                <w:szCs w:val="22"/>
              </w:rPr>
              <w:t xml:space="preserve">1) 2,00 (Два) процента от расчётной стоимости инвестиционного пая в случае, если: </w:t>
            </w:r>
          </w:p>
          <w:p w:rsidR="001A6BB0" w:rsidRPr="001A6BB0" w:rsidRDefault="001A6BB0" w:rsidP="00C1743E">
            <w:pPr>
              <w:ind w:firstLine="601"/>
              <w:jc w:val="both"/>
              <w:rPr>
                <w:sz w:val="22"/>
                <w:szCs w:val="22"/>
              </w:rPr>
            </w:pPr>
            <w:r w:rsidRPr="001A6BB0">
              <w:rPr>
                <w:sz w:val="22"/>
                <w:szCs w:val="22"/>
              </w:rPr>
              <w:t>1.1) погашение инвестиционных паёв производится в срок менее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A6BB0" w:rsidRPr="001A6BB0" w:rsidRDefault="001A6BB0" w:rsidP="00C1743E">
            <w:pPr>
              <w:ind w:firstLine="601"/>
              <w:jc w:val="both"/>
              <w:rPr>
                <w:sz w:val="22"/>
                <w:szCs w:val="22"/>
              </w:rPr>
            </w:pPr>
            <w:r w:rsidRPr="001A6BB0">
              <w:rPr>
                <w:sz w:val="22"/>
                <w:szCs w:val="22"/>
              </w:rPr>
              <w:t>1.2)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менее 12 (Двенадцати)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1A6BB0" w:rsidRPr="001A6BB0" w:rsidRDefault="001A6BB0" w:rsidP="00C1743E">
            <w:pPr>
              <w:ind w:firstLine="601"/>
              <w:jc w:val="both"/>
              <w:rPr>
                <w:sz w:val="22"/>
                <w:szCs w:val="22"/>
              </w:rPr>
            </w:pPr>
            <w:r w:rsidRPr="001A6BB0">
              <w:rPr>
                <w:sz w:val="22"/>
                <w:szCs w:val="22"/>
              </w:rPr>
              <w:t>2) 1,00 (Один) процент от расчётной стоимости инвестиционного пая в случае, если:</w:t>
            </w:r>
          </w:p>
          <w:p w:rsidR="001A6BB0" w:rsidRPr="001A6BB0" w:rsidRDefault="001A6BB0" w:rsidP="00C1743E">
            <w:pPr>
              <w:ind w:firstLine="601"/>
              <w:jc w:val="both"/>
              <w:rPr>
                <w:sz w:val="22"/>
                <w:szCs w:val="22"/>
              </w:rPr>
            </w:pPr>
            <w:r w:rsidRPr="001A6BB0">
              <w:rPr>
                <w:sz w:val="22"/>
                <w:szCs w:val="22"/>
              </w:rPr>
              <w:t>2.1) погашение инвестиционных паёв производится в срок от равный или более 12 (Двенадцати) месяцев, но менее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A6BB0" w:rsidRPr="001A6BB0" w:rsidRDefault="001A6BB0" w:rsidP="00C1743E">
            <w:pPr>
              <w:ind w:firstLine="601"/>
              <w:jc w:val="both"/>
              <w:rPr>
                <w:sz w:val="22"/>
                <w:szCs w:val="22"/>
              </w:rPr>
            </w:pPr>
            <w:r w:rsidRPr="001A6BB0">
              <w:rPr>
                <w:sz w:val="22"/>
                <w:szCs w:val="22"/>
              </w:rPr>
              <w:t>2.2) производится погашение инвестиционных паев фонда, зачисленных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12 (Двенадцати) месяцев, но менее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1A6BB0" w:rsidRPr="001A6BB0" w:rsidRDefault="001A6BB0" w:rsidP="00C1743E">
            <w:pPr>
              <w:ind w:firstLine="601"/>
              <w:jc w:val="both"/>
              <w:rPr>
                <w:sz w:val="22"/>
                <w:szCs w:val="22"/>
              </w:rPr>
            </w:pPr>
            <w:r w:rsidRPr="001A6BB0">
              <w:rPr>
                <w:sz w:val="22"/>
                <w:szCs w:val="22"/>
              </w:rPr>
              <w:t>3) не взимается в случае, если погашение инвестиционных паёв производится в срок равный или более 18 (Восемнадцати)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A6BB0" w:rsidRPr="001A6BB0" w:rsidRDefault="001A6BB0" w:rsidP="00C1743E">
            <w:pPr>
              <w:ind w:firstLine="601"/>
              <w:jc w:val="both"/>
              <w:rPr>
                <w:sz w:val="22"/>
                <w:szCs w:val="22"/>
              </w:rPr>
            </w:pPr>
            <w:r w:rsidRPr="001A6BB0">
              <w:rPr>
                <w:sz w:val="22"/>
                <w:szCs w:val="22"/>
              </w:rPr>
              <w:t>4)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по решению Управляющей компании, и погашение этих инвестиционных паев осуществляется в срок равный или более 18 (Восемнадцати) месяцев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по решению Управляющей компании).</w:t>
            </w:r>
          </w:p>
          <w:p w:rsidR="001A6BB0" w:rsidRPr="001A6BB0" w:rsidRDefault="001A6BB0" w:rsidP="00C1743E">
            <w:pPr>
              <w:ind w:firstLine="601"/>
              <w:jc w:val="both"/>
              <w:rPr>
                <w:sz w:val="22"/>
                <w:szCs w:val="22"/>
              </w:rPr>
            </w:pPr>
            <w:r w:rsidRPr="001A6BB0">
              <w:rPr>
                <w:sz w:val="22"/>
                <w:szCs w:val="22"/>
              </w:rPr>
              <w:t>При погашении инвестиционных паев по лицевому счету доверительного управляющего по заявке на погашение скидка не взимается.</w:t>
            </w:r>
          </w:p>
          <w:p w:rsidR="00AC0AFC" w:rsidRPr="007371A8" w:rsidRDefault="001A6BB0" w:rsidP="00C1743E">
            <w:pPr>
              <w:ind w:firstLine="601"/>
              <w:jc w:val="both"/>
              <w:rPr>
                <w:sz w:val="22"/>
                <w:szCs w:val="22"/>
              </w:rPr>
            </w:pPr>
            <w:r w:rsidRPr="001A6BB0">
              <w:rPr>
                <w:sz w:val="22"/>
                <w:szCs w:val="22"/>
              </w:rPr>
              <w:t>При погашении инвестиционных паев по лицевому счету номинального держателя по заявке на погашение, принятой Управляющей компанией или агентом фонда, скидка не взимается.</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122F66" w:rsidP="00B819E3">
      <w:pPr>
        <w:rPr>
          <w:b/>
          <w:sz w:val="22"/>
          <w:szCs w:val="22"/>
        </w:rPr>
      </w:pPr>
      <w:r>
        <w:rPr>
          <w:b/>
          <w:sz w:val="22"/>
          <w:szCs w:val="22"/>
        </w:rPr>
        <w:t>И.О. Г</w:t>
      </w:r>
      <w:r w:rsidR="00725579">
        <w:rPr>
          <w:b/>
          <w:sz w:val="22"/>
          <w:szCs w:val="22"/>
        </w:rPr>
        <w:t>енерального директора</w:t>
      </w:r>
    </w:p>
    <w:p w:rsidR="00B819E3" w:rsidRPr="00BA6A9E" w:rsidRDefault="00B819E3" w:rsidP="00B819E3">
      <w:pPr>
        <w:rPr>
          <w:b/>
          <w:sz w:val="22"/>
          <w:szCs w:val="22"/>
        </w:rPr>
      </w:pPr>
      <w:r w:rsidRPr="00BA6A9E">
        <w:rPr>
          <w:b/>
          <w:sz w:val="22"/>
          <w:szCs w:val="22"/>
        </w:rPr>
        <w:t xml:space="preserve">АО УК «БКС» </w:t>
      </w:r>
      <w:r w:rsidR="00725579">
        <w:rPr>
          <w:b/>
          <w:sz w:val="22"/>
          <w:szCs w:val="22"/>
        </w:rPr>
        <w:t xml:space="preserve">                   </w:t>
      </w:r>
      <w:r w:rsidRPr="00BA6A9E">
        <w:rPr>
          <w:b/>
          <w:sz w:val="22"/>
          <w:szCs w:val="22"/>
        </w:rPr>
        <w:t xml:space="preserve">                       </w:t>
      </w:r>
      <w:r w:rsidR="005307C2" w:rsidRPr="00BA6A9E">
        <w:rPr>
          <w:b/>
          <w:sz w:val="22"/>
          <w:szCs w:val="22"/>
        </w:rPr>
        <w:t xml:space="preserve">               </w:t>
      </w:r>
      <w:r w:rsidRPr="00BA6A9E">
        <w:rPr>
          <w:b/>
          <w:sz w:val="22"/>
          <w:szCs w:val="22"/>
        </w:rPr>
        <w:t xml:space="preserve"> ___________________ /</w:t>
      </w:r>
      <w:r w:rsidR="00BB185A">
        <w:rPr>
          <w:b/>
          <w:sz w:val="22"/>
          <w:szCs w:val="22"/>
        </w:rPr>
        <w:t>О.Ю.Ковлешенко</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2C" w:rsidRDefault="0074782C">
      <w:r>
        <w:separator/>
      </w:r>
    </w:p>
  </w:endnote>
  <w:endnote w:type="continuationSeparator" w:id="0">
    <w:p w:rsidR="0074782C" w:rsidRDefault="00747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2C" w:rsidRDefault="0074782C">
      <w:r>
        <w:separator/>
      </w:r>
    </w:p>
  </w:footnote>
  <w:footnote w:type="continuationSeparator" w:id="0">
    <w:p w:rsidR="0074782C" w:rsidRDefault="00747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D95E03">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3"/>
  </w:num>
  <w:num w:numId="36">
    <w:abstractNumId w:val="2"/>
  </w:num>
  <w:num w:numId="3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2EE7"/>
    <w:rsid w:val="00023992"/>
    <w:rsid w:val="00026BC0"/>
    <w:rsid w:val="00031D8F"/>
    <w:rsid w:val="0003769E"/>
    <w:rsid w:val="000419CA"/>
    <w:rsid w:val="00047DE2"/>
    <w:rsid w:val="00064ED9"/>
    <w:rsid w:val="00070F4D"/>
    <w:rsid w:val="00076365"/>
    <w:rsid w:val="0008346F"/>
    <w:rsid w:val="00092AF1"/>
    <w:rsid w:val="000958FC"/>
    <w:rsid w:val="000A78EA"/>
    <w:rsid w:val="000C28D7"/>
    <w:rsid w:val="000C5113"/>
    <w:rsid w:val="000C7F2D"/>
    <w:rsid w:val="000D7022"/>
    <w:rsid w:val="000E1A01"/>
    <w:rsid w:val="000E23C4"/>
    <w:rsid w:val="000F27F1"/>
    <w:rsid w:val="000F4A1A"/>
    <w:rsid w:val="000F562C"/>
    <w:rsid w:val="00122F66"/>
    <w:rsid w:val="00123242"/>
    <w:rsid w:val="0013264D"/>
    <w:rsid w:val="001333AB"/>
    <w:rsid w:val="001501D9"/>
    <w:rsid w:val="00170BED"/>
    <w:rsid w:val="00175C79"/>
    <w:rsid w:val="001A6BB0"/>
    <w:rsid w:val="001C5F46"/>
    <w:rsid w:val="001C78B9"/>
    <w:rsid w:val="001E29AE"/>
    <w:rsid w:val="001E57E0"/>
    <w:rsid w:val="001F1170"/>
    <w:rsid w:val="001F4100"/>
    <w:rsid w:val="001F7A76"/>
    <w:rsid w:val="002020A1"/>
    <w:rsid w:val="002056F6"/>
    <w:rsid w:val="00210415"/>
    <w:rsid w:val="00225798"/>
    <w:rsid w:val="00226583"/>
    <w:rsid w:val="00233438"/>
    <w:rsid w:val="00246E38"/>
    <w:rsid w:val="00247D3B"/>
    <w:rsid w:val="00253097"/>
    <w:rsid w:val="00263C69"/>
    <w:rsid w:val="00272A9C"/>
    <w:rsid w:val="00273A08"/>
    <w:rsid w:val="002B3C7A"/>
    <w:rsid w:val="002B7DCF"/>
    <w:rsid w:val="002F0109"/>
    <w:rsid w:val="002F705B"/>
    <w:rsid w:val="002F72F4"/>
    <w:rsid w:val="002F7F1B"/>
    <w:rsid w:val="00315D78"/>
    <w:rsid w:val="0032334D"/>
    <w:rsid w:val="00330CFA"/>
    <w:rsid w:val="0033163E"/>
    <w:rsid w:val="00332ACC"/>
    <w:rsid w:val="003408AF"/>
    <w:rsid w:val="00354C26"/>
    <w:rsid w:val="00374878"/>
    <w:rsid w:val="00376447"/>
    <w:rsid w:val="00382D6B"/>
    <w:rsid w:val="00383A54"/>
    <w:rsid w:val="0039389B"/>
    <w:rsid w:val="003A7AEB"/>
    <w:rsid w:val="003B0AC5"/>
    <w:rsid w:val="003B6D1F"/>
    <w:rsid w:val="003C15B6"/>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455E"/>
    <w:rsid w:val="004846EA"/>
    <w:rsid w:val="004878B4"/>
    <w:rsid w:val="004A5AAE"/>
    <w:rsid w:val="004A64A5"/>
    <w:rsid w:val="004C5218"/>
    <w:rsid w:val="004D2788"/>
    <w:rsid w:val="004E1ADC"/>
    <w:rsid w:val="004F17FA"/>
    <w:rsid w:val="004F4EAE"/>
    <w:rsid w:val="004F4F1F"/>
    <w:rsid w:val="0050777E"/>
    <w:rsid w:val="00513E16"/>
    <w:rsid w:val="005160B7"/>
    <w:rsid w:val="00517A6E"/>
    <w:rsid w:val="005307C2"/>
    <w:rsid w:val="005375D5"/>
    <w:rsid w:val="00553A10"/>
    <w:rsid w:val="00562FCF"/>
    <w:rsid w:val="00572656"/>
    <w:rsid w:val="00574E1F"/>
    <w:rsid w:val="00590864"/>
    <w:rsid w:val="00590F4B"/>
    <w:rsid w:val="005A14F0"/>
    <w:rsid w:val="005A7AF8"/>
    <w:rsid w:val="005B3FD9"/>
    <w:rsid w:val="005C2C91"/>
    <w:rsid w:val="005C628F"/>
    <w:rsid w:val="005C6318"/>
    <w:rsid w:val="005C73FD"/>
    <w:rsid w:val="005E2947"/>
    <w:rsid w:val="00604577"/>
    <w:rsid w:val="00612AF4"/>
    <w:rsid w:val="00615889"/>
    <w:rsid w:val="00642F59"/>
    <w:rsid w:val="00647857"/>
    <w:rsid w:val="00657585"/>
    <w:rsid w:val="006751A4"/>
    <w:rsid w:val="00682210"/>
    <w:rsid w:val="00686FA1"/>
    <w:rsid w:val="00691837"/>
    <w:rsid w:val="006A1081"/>
    <w:rsid w:val="006A259A"/>
    <w:rsid w:val="006B373D"/>
    <w:rsid w:val="006B7655"/>
    <w:rsid w:val="006D11E9"/>
    <w:rsid w:val="006D3595"/>
    <w:rsid w:val="006D43BD"/>
    <w:rsid w:val="006E1AAD"/>
    <w:rsid w:val="006F03DA"/>
    <w:rsid w:val="006F38D6"/>
    <w:rsid w:val="00700D15"/>
    <w:rsid w:val="007071D6"/>
    <w:rsid w:val="007147ED"/>
    <w:rsid w:val="00723970"/>
    <w:rsid w:val="00725579"/>
    <w:rsid w:val="00734CB2"/>
    <w:rsid w:val="0073585D"/>
    <w:rsid w:val="007371A8"/>
    <w:rsid w:val="0074782C"/>
    <w:rsid w:val="007514C1"/>
    <w:rsid w:val="00780D37"/>
    <w:rsid w:val="00781348"/>
    <w:rsid w:val="00781727"/>
    <w:rsid w:val="007944BC"/>
    <w:rsid w:val="00797689"/>
    <w:rsid w:val="00797E5E"/>
    <w:rsid w:val="007A4276"/>
    <w:rsid w:val="007A7175"/>
    <w:rsid w:val="007B0A42"/>
    <w:rsid w:val="007B2918"/>
    <w:rsid w:val="007B4A6F"/>
    <w:rsid w:val="007C713D"/>
    <w:rsid w:val="007D7A52"/>
    <w:rsid w:val="007E3B45"/>
    <w:rsid w:val="007F3131"/>
    <w:rsid w:val="007F7BB7"/>
    <w:rsid w:val="00807408"/>
    <w:rsid w:val="00807477"/>
    <w:rsid w:val="00807714"/>
    <w:rsid w:val="00815528"/>
    <w:rsid w:val="008174E0"/>
    <w:rsid w:val="00832C54"/>
    <w:rsid w:val="008346F3"/>
    <w:rsid w:val="00834D90"/>
    <w:rsid w:val="008644D8"/>
    <w:rsid w:val="00876297"/>
    <w:rsid w:val="00894761"/>
    <w:rsid w:val="008A7E8A"/>
    <w:rsid w:val="008B090C"/>
    <w:rsid w:val="008B10F1"/>
    <w:rsid w:val="008D12E1"/>
    <w:rsid w:val="008D228F"/>
    <w:rsid w:val="008D6BBE"/>
    <w:rsid w:val="00906373"/>
    <w:rsid w:val="00911FA0"/>
    <w:rsid w:val="00913A74"/>
    <w:rsid w:val="00913E71"/>
    <w:rsid w:val="00921AF1"/>
    <w:rsid w:val="00924462"/>
    <w:rsid w:val="00935298"/>
    <w:rsid w:val="0093690C"/>
    <w:rsid w:val="00965FDA"/>
    <w:rsid w:val="0097344A"/>
    <w:rsid w:val="009759F0"/>
    <w:rsid w:val="00984CBC"/>
    <w:rsid w:val="0098764D"/>
    <w:rsid w:val="009903DE"/>
    <w:rsid w:val="009A03DD"/>
    <w:rsid w:val="009A5F4E"/>
    <w:rsid w:val="009B5865"/>
    <w:rsid w:val="009B7B21"/>
    <w:rsid w:val="009C3D55"/>
    <w:rsid w:val="009D201F"/>
    <w:rsid w:val="009D616E"/>
    <w:rsid w:val="009F58D0"/>
    <w:rsid w:val="009F7FDD"/>
    <w:rsid w:val="00A026D4"/>
    <w:rsid w:val="00A02CE6"/>
    <w:rsid w:val="00A05155"/>
    <w:rsid w:val="00A13D73"/>
    <w:rsid w:val="00A1576C"/>
    <w:rsid w:val="00A508CC"/>
    <w:rsid w:val="00A50C6F"/>
    <w:rsid w:val="00A5268B"/>
    <w:rsid w:val="00A64015"/>
    <w:rsid w:val="00A76F57"/>
    <w:rsid w:val="00AA5353"/>
    <w:rsid w:val="00AB7AF7"/>
    <w:rsid w:val="00AC0978"/>
    <w:rsid w:val="00AC0AFC"/>
    <w:rsid w:val="00AC1292"/>
    <w:rsid w:val="00AD0A02"/>
    <w:rsid w:val="00AD2680"/>
    <w:rsid w:val="00AD7B5A"/>
    <w:rsid w:val="00B00E56"/>
    <w:rsid w:val="00B07F0C"/>
    <w:rsid w:val="00B24018"/>
    <w:rsid w:val="00B41439"/>
    <w:rsid w:val="00B4391E"/>
    <w:rsid w:val="00B51900"/>
    <w:rsid w:val="00B5714D"/>
    <w:rsid w:val="00B6074B"/>
    <w:rsid w:val="00B70657"/>
    <w:rsid w:val="00B735A7"/>
    <w:rsid w:val="00B75588"/>
    <w:rsid w:val="00B819E3"/>
    <w:rsid w:val="00B845EC"/>
    <w:rsid w:val="00B84C39"/>
    <w:rsid w:val="00B86A3C"/>
    <w:rsid w:val="00B92CF9"/>
    <w:rsid w:val="00BA6A9E"/>
    <w:rsid w:val="00BB185A"/>
    <w:rsid w:val="00BC2C76"/>
    <w:rsid w:val="00BD408E"/>
    <w:rsid w:val="00BD646F"/>
    <w:rsid w:val="00BF357F"/>
    <w:rsid w:val="00BF3B8C"/>
    <w:rsid w:val="00BF49A3"/>
    <w:rsid w:val="00C167E5"/>
    <w:rsid w:val="00C1743E"/>
    <w:rsid w:val="00C2195B"/>
    <w:rsid w:val="00C21FEF"/>
    <w:rsid w:val="00C2557B"/>
    <w:rsid w:val="00C25CF7"/>
    <w:rsid w:val="00C32B8E"/>
    <w:rsid w:val="00C37EEF"/>
    <w:rsid w:val="00C56D80"/>
    <w:rsid w:val="00C57B15"/>
    <w:rsid w:val="00C608E9"/>
    <w:rsid w:val="00C64F39"/>
    <w:rsid w:val="00C65592"/>
    <w:rsid w:val="00C7202C"/>
    <w:rsid w:val="00C86223"/>
    <w:rsid w:val="00C8720D"/>
    <w:rsid w:val="00C9268F"/>
    <w:rsid w:val="00C9297B"/>
    <w:rsid w:val="00C973D6"/>
    <w:rsid w:val="00CA4888"/>
    <w:rsid w:val="00CB364E"/>
    <w:rsid w:val="00CB43D7"/>
    <w:rsid w:val="00CC03E5"/>
    <w:rsid w:val="00CC1AEA"/>
    <w:rsid w:val="00CD09A4"/>
    <w:rsid w:val="00CD379D"/>
    <w:rsid w:val="00CD5207"/>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53895"/>
    <w:rsid w:val="00D65515"/>
    <w:rsid w:val="00D75F02"/>
    <w:rsid w:val="00D90A6D"/>
    <w:rsid w:val="00D95D0E"/>
    <w:rsid w:val="00D95E03"/>
    <w:rsid w:val="00DA0ADF"/>
    <w:rsid w:val="00DB03C0"/>
    <w:rsid w:val="00DC5DCD"/>
    <w:rsid w:val="00DD6225"/>
    <w:rsid w:val="00DD6CBC"/>
    <w:rsid w:val="00DE5438"/>
    <w:rsid w:val="00DE6069"/>
    <w:rsid w:val="00DE61D3"/>
    <w:rsid w:val="00E0450B"/>
    <w:rsid w:val="00E11FCF"/>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85FCD"/>
    <w:rsid w:val="00E97E0D"/>
    <w:rsid w:val="00EA0A96"/>
    <w:rsid w:val="00EA1E9B"/>
    <w:rsid w:val="00EA3799"/>
    <w:rsid w:val="00EA522E"/>
    <w:rsid w:val="00EA7AA4"/>
    <w:rsid w:val="00EB06DB"/>
    <w:rsid w:val="00EB1A19"/>
    <w:rsid w:val="00EB3F2D"/>
    <w:rsid w:val="00EB408C"/>
    <w:rsid w:val="00EC0264"/>
    <w:rsid w:val="00EC041F"/>
    <w:rsid w:val="00EC146F"/>
    <w:rsid w:val="00EC695A"/>
    <w:rsid w:val="00ED3564"/>
    <w:rsid w:val="00ED5619"/>
    <w:rsid w:val="00EE1E1B"/>
    <w:rsid w:val="00EE2B1B"/>
    <w:rsid w:val="00EE57EB"/>
    <w:rsid w:val="00EF0FE5"/>
    <w:rsid w:val="00EF7737"/>
    <w:rsid w:val="00F26BC4"/>
    <w:rsid w:val="00F33D0F"/>
    <w:rsid w:val="00F4071E"/>
    <w:rsid w:val="00F454C1"/>
    <w:rsid w:val="00F46160"/>
    <w:rsid w:val="00F551E8"/>
    <w:rsid w:val="00F5595B"/>
    <w:rsid w:val="00F663BF"/>
    <w:rsid w:val="00F73763"/>
    <w:rsid w:val="00F766B4"/>
    <w:rsid w:val="00F8657B"/>
    <w:rsid w:val="00F874DA"/>
    <w:rsid w:val="00F87DAD"/>
    <w:rsid w:val="00F90B54"/>
    <w:rsid w:val="00F97C2E"/>
    <w:rsid w:val="00FA0293"/>
    <w:rsid w:val="00FA038F"/>
    <w:rsid w:val="00FA2E63"/>
    <w:rsid w:val="00FC40C1"/>
    <w:rsid w:val="00FD1380"/>
    <w:rsid w:val="00FD4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15"/>
    <w:rPr>
      <w:sz w:val="24"/>
      <w:szCs w:val="24"/>
    </w:rPr>
  </w:style>
  <w:style w:type="paragraph" w:styleId="1">
    <w:name w:val="heading 1"/>
    <w:basedOn w:val="a"/>
    <w:next w:val="a"/>
    <w:link w:val="10"/>
    <w:uiPriority w:val="9"/>
    <w:qFormat/>
    <w:rsid w:val="00D65515"/>
    <w:pPr>
      <w:keepNext/>
      <w:outlineLvl w:val="0"/>
    </w:pPr>
    <w:rPr>
      <w:rFonts w:ascii="Arial" w:hAnsi="Arial" w:cs="Arial"/>
      <w:b/>
      <w:bCs/>
      <w:sz w:val="18"/>
    </w:rPr>
  </w:style>
  <w:style w:type="paragraph" w:styleId="20">
    <w:name w:val="heading 2"/>
    <w:basedOn w:val="a"/>
    <w:next w:val="a"/>
    <w:link w:val="21"/>
    <w:uiPriority w:val="9"/>
    <w:qFormat/>
    <w:rsid w:val="00D65515"/>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5515"/>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D6551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D65515"/>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D65515"/>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D65515"/>
    <w:rPr>
      <w:rFonts w:cs="Times New Roman"/>
      <w:color w:val="0000FF"/>
      <w:u w:val="single"/>
    </w:rPr>
  </w:style>
  <w:style w:type="paragraph" w:styleId="a8">
    <w:name w:val="Body Text"/>
    <w:basedOn w:val="a"/>
    <w:link w:val="a9"/>
    <w:uiPriority w:val="99"/>
    <w:semiHidden/>
    <w:rsid w:val="00D65515"/>
    <w:pPr>
      <w:jc w:val="both"/>
    </w:pPr>
  </w:style>
  <w:style w:type="character" w:customStyle="1" w:styleId="a9">
    <w:name w:val="Основной текст Знак"/>
    <w:basedOn w:val="a0"/>
    <w:link w:val="a8"/>
    <w:uiPriority w:val="99"/>
    <w:semiHidden/>
    <w:locked/>
    <w:rsid w:val="00D65515"/>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822426089">
      <w:marLeft w:val="0"/>
      <w:marRight w:val="0"/>
      <w:marTop w:val="0"/>
      <w:marBottom w:val="0"/>
      <w:divBdr>
        <w:top w:val="none" w:sz="0" w:space="0" w:color="auto"/>
        <w:left w:val="none" w:sz="0" w:space="0" w:color="auto"/>
        <w:bottom w:val="none" w:sz="0" w:space="0" w:color="auto"/>
        <w:right w:val="none" w:sz="0" w:space="0" w:color="auto"/>
      </w:divBdr>
    </w:div>
    <w:div w:id="822426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017_действующая редакция</Статус_x0020_документа>
    <_EndDate xmlns="http://schemas.microsoft.com/sharepoint/v3/fields">01.12.2017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8BF4-CCD4-4A0E-AC70-B6F62A829A0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14F1798-2C78-494E-BE55-2D1649F20AE1}">
  <ds:schemaRefs>
    <ds:schemaRef ds:uri="http://schemas.microsoft.com/sharepoint/v3/contenttype/forms"/>
  </ds:schemaRefs>
</ds:datastoreItem>
</file>

<file path=customXml/itemProps3.xml><?xml version="1.0" encoding="utf-8"?>
<ds:datastoreItem xmlns:ds="http://schemas.openxmlformats.org/officeDocument/2006/customXml" ds:itemID="{03C3F5CB-960B-465B-91C5-29840EE9A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AB20A8F-28DE-42B9-A584-7D8D3C12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2855</Words>
  <Characters>16278</Characters>
  <Application>Microsoft Office Word</Application>
  <DocSecurity>0</DocSecurity>
  <Lines>135</Lines>
  <Paragraphs>38</Paragraphs>
  <ScaleCrop>false</ScaleCrop>
  <Company>bcs</Company>
  <LinksUpToDate>false</LinksUpToDate>
  <CharactersWithSpaces>19095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2017-12-18T07:01:00Z</dcterms:created>
  <dcterms:modified xsi:type="dcterms:W3CDTF">2017-12-18T07:01:00Z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