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E654DB" w:rsidRDefault="00E654DB" w:rsidP="00E654DB">
      <w:pPr>
        <w:tabs>
          <w:tab w:val="center" w:pos="4677"/>
          <w:tab w:val="right" w:pos="9355"/>
        </w:tabs>
        <w:jc w:val="right"/>
        <w:rPr>
          <w:sz w:val="22"/>
          <w:szCs w:val="22"/>
        </w:rPr>
      </w:pPr>
      <w:r>
        <w:rPr>
          <w:sz w:val="22"/>
          <w:szCs w:val="22"/>
        </w:rPr>
        <w:t xml:space="preserve">Утверждены </w:t>
      </w:r>
    </w:p>
    <w:p w:rsidR="00E654DB" w:rsidRDefault="00E654DB" w:rsidP="00E654DB">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E654DB" w:rsidRDefault="00E654DB" w:rsidP="00E654DB">
      <w:pPr>
        <w:jc w:val="right"/>
        <w:rPr>
          <w:sz w:val="22"/>
          <w:szCs w:val="22"/>
        </w:rPr>
      </w:pPr>
      <w:r>
        <w:rPr>
          <w:sz w:val="22"/>
          <w:szCs w:val="22"/>
        </w:rPr>
        <w:t>№ 3/17 от «7» марта 2017г.</w:t>
      </w:r>
    </w:p>
    <w:p w:rsidR="00E654DB" w:rsidRDefault="00E654DB" w:rsidP="00E654DB">
      <w:pPr>
        <w:jc w:val="right"/>
        <w:rPr>
          <w:sz w:val="22"/>
          <w:szCs w:val="22"/>
        </w:rPr>
      </w:pPr>
      <w:r>
        <w:rPr>
          <w:sz w:val="22"/>
          <w:szCs w:val="22"/>
        </w:rPr>
        <w:t>___________/А.Ф. Рахманов</w:t>
      </w:r>
    </w:p>
    <w:p w:rsidR="00E654DB" w:rsidRDefault="00E654DB" w:rsidP="00E654DB">
      <w:pPr>
        <w:jc w:val="center"/>
        <w:rPr>
          <w:b/>
          <w:bCs/>
          <w:sz w:val="22"/>
          <w:szCs w:val="22"/>
        </w:rPr>
      </w:pPr>
      <w:r>
        <w:rPr>
          <w:bCs/>
          <w:sz w:val="22"/>
          <w:szCs w:val="22"/>
        </w:rPr>
        <w:t xml:space="preserve">                                                                                                      М.П.</w:t>
      </w:r>
    </w:p>
    <w:p w:rsidR="00092AF1" w:rsidRDefault="00092AF1" w:rsidP="00B819E3">
      <w:pPr>
        <w:jc w:val="center"/>
        <w:rPr>
          <w:b/>
          <w:bCs/>
          <w:sz w:val="22"/>
          <w:szCs w:val="22"/>
        </w:rPr>
      </w:pPr>
    </w:p>
    <w:p w:rsidR="00661DCF" w:rsidRPr="00BA6A9E" w:rsidRDefault="00661DCF" w:rsidP="00B819E3">
      <w:pPr>
        <w:jc w:val="center"/>
        <w:rPr>
          <w:b/>
          <w:bCs/>
          <w:sz w:val="22"/>
          <w:szCs w:val="22"/>
        </w:rPr>
      </w:pPr>
    </w:p>
    <w:p w:rsidR="00EF7737" w:rsidRPr="00246E38" w:rsidRDefault="00661DCF" w:rsidP="00EF7737">
      <w:pPr>
        <w:jc w:val="center"/>
        <w:rPr>
          <w:b/>
          <w:bCs/>
          <w:sz w:val="22"/>
          <w:szCs w:val="22"/>
        </w:rPr>
      </w:pPr>
      <w:r w:rsidRPr="00661DCF">
        <w:rPr>
          <w:b/>
          <w:bCs/>
          <w:sz w:val="22"/>
          <w:szCs w:val="22"/>
        </w:rPr>
        <w:t xml:space="preserve"> </w:t>
      </w:r>
      <w:r w:rsidRPr="00E654DB">
        <w:rPr>
          <w:b/>
          <w:bCs/>
          <w:sz w:val="22"/>
          <w:szCs w:val="22"/>
        </w:rPr>
        <w:t xml:space="preserve">  </w:t>
      </w:r>
      <w:r w:rsidR="00EF7737" w:rsidRPr="00BA6A9E">
        <w:rPr>
          <w:b/>
          <w:bCs/>
          <w:sz w:val="22"/>
          <w:szCs w:val="22"/>
        </w:rPr>
        <w:t xml:space="preserve">ИЗМЕНЕНИЯ И ДОПОЛНЕНИЯ № </w:t>
      </w:r>
      <w:r w:rsidR="00EF7737">
        <w:rPr>
          <w:b/>
          <w:bCs/>
          <w:sz w:val="22"/>
          <w:szCs w:val="22"/>
        </w:rPr>
        <w:t>10</w:t>
      </w:r>
    </w:p>
    <w:p w:rsidR="00EF7737" w:rsidRPr="00BA6A9E" w:rsidRDefault="00EF7737" w:rsidP="00EF7737">
      <w:pPr>
        <w:pStyle w:val="af"/>
        <w:spacing w:before="0" w:after="60"/>
        <w:ind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EF7737" w:rsidRPr="00BA6A9E" w:rsidRDefault="00EF7737" w:rsidP="00EF7737">
      <w:pPr>
        <w:pStyle w:val="af"/>
        <w:spacing w:before="0" w:after="60"/>
        <w:ind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Pr>
          <w:rFonts w:ascii="Times New Roman" w:hAnsi="Times New Roman" w:cs="Times New Roman"/>
          <w:b/>
          <w:bCs/>
          <w:sz w:val="22"/>
          <w:szCs w:val="22"/>
          <w:lang w:val="ru-RU"/>
        </w:rPr>
        <w:t>фондов</w:t>
      </w:r>
    </w:p>
    <w:p w:rsidR="00EF7737" w:rsidRPr="00C00C71" w:rsidRDefault="00EF7737" w:rsidP="00EF7737">
      <w:pPr>
        <w:pStyle w:val="af"/>
        <w:spacing w:before="0" w:after="60"/>
        <w:ind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w:t>
      </w:r>
      <w:r>
        <w:rPr>
          <w:rFonts w:ascii="Times New Roman" w:hAnsi="Times New Roman" w:cs="Times New Roman"/>
          <w:b/>
          <w:bCs/>
          <w:sz w:val="22"/>
          <w:szCs w:val="22"/>
          <w:lang w:val="ru-RU"/>
        </w:rPr>
        <w:t>БК-Сбережения Драгоценные металлы</w:t>
      </w:r>
      <w:r w:rsidRPr="00BA6A9E">
        <w:rPr>
          <w:rFonts w:ascii="Times New Roman" w:hAnsi="Times New Roman" w:cs="Times New Roman"/>
          <w:b/>
          <w:bCs/>
          <w:sz w:val="22"/>
          <w:szCs w:val="22"/>
          <w:lang w:val="ru-RU"/>
        </w:rPr>
        <w:t>»</w:t>
      </w:r>
    </w:p>
    <w:p w:rsidR="00EF7737" w:rsidRPr="00C00C71" w:rsidRDefault="00EF7737" w:rsidP="00EF7737">
      <w:pPr>
        <w:pStyle w:val="af"/>
        <w:spacing w:before="0" w:after="60"/>
        <w:ind w:right="-162"/>
        <w:jc w:val="center"/>
        <w:rPr>
          <w:rFonts w:ascii="Times New Roman" w:hAnsi="Times New Roman" w:cs="Times New Roman"/>
          <w:b/>
          <w:bCs/>
          <w:sz w:val="22"/>
          <w:szCs w:val="22"/>
          <w:lang w:val="ru-RU"/>
        </w:rPr>
      </w:pPr>
    </w:p>
    <w:p w:rsidR="00EF7737" w:rsidRPr="00C00C71" w:rsidRDefault="00EF7737" w:rsidP="00EF7737">
      <w:pPr>
        <w:pStyle w:val="af"/>
        <w:spacing w:before="0" w:after="60"/>
        <w:ind w:right="-162"/>
        <w:jc w:val="center"/>
        <w:rPr>
          <w:rFonts w:ascii="Times New Roman" w:hAnsi="Times New Roman" w:cs="Times New Roman"/>
          <w:b/>
          <w:bCs/>
          <w:sz w:val="22"/>
          <w:szCs w:val="22"/>
          <w:lang w:val="ru-RU"/>
        </w:rPr>
      </w:pP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EF7737"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EF7737" w:rsidRPr="00BA6A9E" w:rsidRDefault="00EF7737"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Новая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tc>
      </w:tr>
      <w:tr w:rsidR="00EF7737" w:rsidRPr="00BA6A9E" w:rsidTr="008B10F1">
        <w:trPr>
          <w:trHeight w:val="126"/>
        </w:trPr>
        <w:tc>
          <w:tcPr>
            <w:tcW w:w="4869"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Наименование: </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ПРАВИЛА</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доверительного управления  </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Открытым паевым инвестиционным фондом </w:t>
            </w:r>
            <w:r>
              <w:rPr>
                <w:rFonts w:ascii="Times New Roman" w:hAnsi="Times New Roman" w:cs="Times New Roman"/>
                <w:sz w:val="22"/>
                <w:szCs w:val="22"/>
                <w:lang w:val="ru-RU"/>
              </w:rPr>
              <w:t>фондов</w:t>
            </w:r>
            <w:r w:rsidRPr="004F4F1F">
              <w:rPr>
                <w:rFonts w:ascii="Times New Roman" w:hAnsi="Times New Roman" w:cs="Times New Roman"/>
                <w:sz w:val="22"/>
                <w:szCs w:val="22"/>
                <w:lang w:val="ru-RU"/>
              </w:rPr>
              <w:t xml:space="preserve">  </w:t>
            </w:r>
            <w:r w:rsidRPr="00BA6A9E">
              <w:rPr>
                <w:rFonts w:ascii="Times New Roman" w:hAnsi="Times New Roman" w:cs="Times New Roman"/>
                <w:sz w:val="22"/>
                <w:szCs w:val="22"/>
                <w:lang w:val="ru-RU"/>
              </w:rPr>
              <w:t>«</w:t>
            </w:r>
            <w:r>
              <w:rPr>
                <w:rFonts w:ascii="Times New Roman" w:hAnsi="Times New Roman" w:cs="Times New Roman"/>
                <w:sz w:val="22"/>
                <w:szCs w:val="22"/>
                <w:lang w:val="ru-RU"/>
              </w:rPr>
              <w:t>БК-Сбережения Драгоценные металлы</w:t>
            </w:r>
            <w:r w:rsidRPr="00BA6A9E">
              <w:rPr>
                <w:rFonts w:ascii="Times New Roman" w:hAnsi="Times New Roman" w:cs="Times New Roman"/>
                <w:sz w:val="22"/>
                <w:szCs w:val="22"/>
                <w:lang w:val="ru-RU"/>
              </w:rPr>
              <w:t>» под управлением  Акционерного общества Управляющая компания «</w:t>
            </w:r>
            <w:proofErr w:type="spellStart"/>
            <w:r w:rsidRPr="00BA6A9E">
              <w:rPr>
                <w:rFonts w:ascii="Times New Roman" w:hAnsi="Times New Roman" w:cs="Times New Roman"/>
                <w:sz w:val="22"/>
                <w:szCs w:val="22"/>
                <w:lang w:val="ru-RU"/>
              </w:rPr>
              <w:t>Брокеркредитсервис</w:t>
            </w:r>
            <w:proofErr w:type="spellEnd"/>
            <w:r w:rsidRPr="00BA6A9E">
              <w:rPr>
                <w:rFonts w:ascii="Times New Roman" w:hAnsi="Times New Roman" w:cs="Times New Roman"/>
                <w:sz w:val="22"/>
                <w:szCs w:val="22"/>
                <w:lang w:val="ru-RU"/>
              </w:rPr>
              <w:t>»</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(с внесенными изменениями и дополнениями) </w:t>
            </w:r>
          </w:p>
        </w:tc>
        <w:tc>
          <w:tcPr>
            <w:tcW w:w="5386"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Наименование: </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ПРАВИЛА</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доверительного управления  </w:t>
            </w:r>
          </w:p>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Открытым паевым инвестиционным фондом </w:t>
            </w:r>
            <w:r>
              <w:rPr>
                <w:rFonts w:ascii="Times New Roman" w:hAnsi="Times New Roman" w:cs="Times New Roman"/>
                <w:sz w:val="22"/>
                <w:szCs w:val="22"/>
                <w:lang w:val="ru-RU"/>
              </w:rPr>
              <w:t>фондов</w:t>
            </w:r>
            <w:r w:rsidRPr="004F4F1F">
              <w:rPr>
                <w:rFonts w:ascii="Times New Roman" w:hAnsi="Times New Roman" w:cs="Times New Roman"/>
                <w:sz w:val="22"/>
                <w:szCs w:val="22"/>
                <w:lang w:val="ru-RU"/>
              </w:rPr>
              <w:t xml:space="preserve">  </w:t>
            </w:r>
            <w:r w:rsidRPr="00BA6A9E">
              <w:rPr>
                <w:rFonts w:ascii="Times New Roman" w:hAnsi="Times New Roman" w:cs="Times New Roman"/>
                <w:sz w:val="22"/>
                <w:szCs w:val="22"/>
                <w:lang w:val="ru-RU"/>
              </w:rPr>
              <w:t xml:space="preserve">«БКС </w:t>
            </w:r>
            <w:r>
              <w:rPr>
                <w:rFonts w:ascii="Times New Roman" w:hAnsi="Times New Roman" w:cs="Times New Roman"/>
                <w:sz w:val="22"/>
                <w:szCs w:val="22"/>
                <w:lang w:val="ru-RU"/>
              </w:rPr>
              <w:t>Драгоценные Металлы</w:t>
            </w:r>
            <w:r w:rsidRPr="00BA6A9E">
              <w:rPr>
                <w:rFonts w:ascii="Times New Roman" w:hAnsi="Times New Roman" w:cs="Times New Roman"/>
                <w:sz w:val="22"/>
                <w:szCs w:val="22"/>
                <w:lang w:val="ru-RU"/>
              </w:rPr>
              <w:t>» под управлением  Акционерного общества Управляющая компания «</w:t>
            </w:r>
            <w:proofErr w:type="spellStart"/>
            <w:r w:rsidRPr="00BA6A9E">
              <w:rPr>
                <w:rFonts w:ascii="Times New Roman" w:hAnsi="Times New Roman" w:cs="Times New Roman"/>
                <w:sz w:val="22"/>
                <w:szCs w:val="22"/>
                <w:lang w:val="ru-RU"/>
              </w:rPr>
              <w:t>Брокеркредитсервис</w:t>
            </w:r>
            <w:proofErr w:type="spellEnd"/>
            <w:r w:rsidRPr="00BA6A9E">
              <w:rPr>
                <w:rFonts w:ascii="Times New Roman" w:hAnsi="Times New Roman" w:cs="Times New Roman"/>
                <w:sz w:val="22"/>
                <w:szCs w:val="22"/>
                <w:lang w:val="ru-RU"/>
              </w:rPr>
              <w:t>»</w:t>
            </w:r>
          </w:p>
          <w:p w:rsidR="00EF7737" w:rsidRPr="00BA6A9E" w:rsidRDefault="00EF7737" w:rsidP="008B10F1">
            <w:pPr>
              <w:pStyle w:val="af"/>
              <w:jc w:val="both"/>
              <w:rPr>
                <w:rFonts w:ascii="Times New Roman" w:hAnsi="Times New Roman" w:cs="Times New Roman"/>
                <w:b/>
                <w:bCs/>
                <w:sz w:val="22"/>
                <w:szCs w:val="22"/>
                <w:lang w:val="ru-RU"/>
              </w:rPr>
            </w:pPr>
            <w:r w:rsidRPr="00BA6A9E">
              <w:rPr>
                <w:rFonts w:ascii="Times New Roman" w:hAnsi="Times New Roman" w:cs="Times New Roman"/>
                <w:sz w:val="22"/>
                <w:szCs w:val="22"/>
                <w:lang w:val="ru-RU"/>
              </w:rPr>
              <w:t xml:space="preserve">(с внесенными изменениями и дополнениями) </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1. Полное название паевого инвестиционного фонда  Открытый паевой инвестиционный фонд </w:t>
            </w:r>
            <w:r>
              <w:rPr>
                <w:rFonts w:ascii="Times New Roman" w:hAnsi="Times New Roman" w:cs="Times New Roman"/>
                <w:sz w:val="22"/>
                <w:szCs w:val="22"/>
                <w:lang w:val="ru-RU"/>
              </w:rPr>
              <w:t>фондов</w:t>
            </w:r>
            <w:r w:rsidRPr="004F4F1F">
              <w:rPr>
                <w:rFonts w:ascii="Times New Roman" w:hAnsi="Times New Roman" w:cs="Times New Roman"/>
                <w:sz w:val="22"/>
                <w:szCs w:val="22"/>
                <w:lang w:val="ru-RU"/>
              </w:rPr>
              <w:t xml:space="preserve">  «</w:t>
            </w:r>
            <w:r>
              <w:rPr>
                <w:rFonts w:ascii="Times New Roman" w:hAnsi="Times New Roman" w:cs="Times New Roman"/>
                <w:sz w:val="22"/>
                <w:szCs w:val="22"/>
                <w:lang w:val="ru-RU"/>
              </w:rPr>
              <w:t>БК-Сбережения Драгоценные металлы</w:t>
            </w:r>
            <w:r w:rsidRPr="004F4F1F">
              <w:rPr>
                <w:rFonts w:ascii="Times New Roman" w:hAnsi="Times New Roman" w:cs="Times New Roman"/>
                <w:sz w:val="22"/>
                <w:szCs w:val="22"/>
                <w:lang w:val="ru-RU"/>
              </w:rPr>
              <w:t xml:space="preserve">» </w:t>
            </w:r>
            <w:r w:rsidRPr="00BA6A9E">
              <w:rPr>
                <w:rFonts w:ascii="Times New Roman" w:hAnsi="Times New Roman" w:cs="Times New Roman"/>
                <w:sz w:val="22"/>
                <w:szCs w:val="22"/>
                <w:lang w:val="ru-RU"/>
              </w:rPr>
              <w:t xml:space="preserve"> (далее - фонд).</w:t>
            </w:r>
          </w:p>
        </w:tc>
        <w:tc>
          <w:tcPr>
            <w:tcW w:w="5386"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tabs>
                <w:tab w:val="right" w:pos="9070"/>
              </w:tabs>
              <w:jc w:val="both"/>
              <w:rPr>
                <w:sz w:val="22"/>
                <w:szCs w:val="22"/>
              </w:rPr>
            </w:pPr>
            <w:r w:rsidRPr="00BA6A9E">
              <w:rPr>
                <w:sz w:val="22"/>
                <w:szCs w:val="22"/>
              </w:rPr>
              <w:t xml:space="preserve">1. Полное название паевого инвестиционного фонда  Открытый паевой инвестиционный фонд </w:t>
            </w:r>
            <w:r>
              <w:rPr>
                <w:sz w:val="22"/>
                <w:szCs w:val="22"/>
              </w:rPr>
              <w:t>фондов</w:t>
            </w:r>
            <w:r w:rsidRPr="00BA6A9E">
              <w:rPr>
                <w:sz w:val="22"/>
                <w:szCs w:val="22"/>
              </w:rPr>
              <w:t xml:space="preserve"> «БКС </w:t>
            </w:r>
            <w:r>
              <w:rPr>
                <w:sz w:val="22"/>
                <w:szCs w:val="22"/>
              </w:rPr>
              <w:t>Драгоценные Металлы</w:t>
            </w:r>
            <w:r w:rsidRPr="00BA6A9E">
              <w:rPr>
                <w:sz w:val="22"/>
                <w:szCs w:val="22"/>
              </w:rPr>
              <w:t>» (далее - фонд).</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2. Краткое название фонда: ОПИФ </w:t>
            </w:r>
            <w:r>
              <w:rPr>
                <w:rFonts w:ascii="Times New Roman" w:hAnsi="Times New Roman" w:cs="Times New Roman"/>
                <w:sz w:val="22"/>
                <w:szCs w:val="22"/>
                <w:lang w:val="ru-RU"/>
              </w:rPr>
              <w:t>фондов</w:t>
            </w:r>
            <w:r w:rsidRPr="004F4F1F">
              <w:rPr>
                <w:rFonts w:ascii="Times New Roman" w:hAnsi="Times New Roman" w:cs="Times New Roman"/>
                <w:sz w:val="22"/>
                <w:szCs w:val="22"/>
                <w:lang w:val="ru-RU"/>
              </w:rPr>
              <w:t xml:space="preserve">  «</w:t>
            </w:r>
            <w:r>
              <w:rPr>
                <w:rFonts w:ascii="Times New Roman" w:hAnsi="Times New Roman" w:cs="Times New Roman"/>
                <w:sz w:val="22"/>
                <w:szCs w:val="22"/>
                <w:lang w:val="ru-RU"/>
              </w:rPr>
              <w:t>БК-Сбережения Драгоценные металлы</w:t>
            </w:r>
            <w:r w:rsidRPr="004F4F1F">
              <w:rPr>
                <w:rFonts w:ascii="Times New Roman" w:hAnsi="Times New Roman" w:cs="Times New Roman"/>
                <w:sz w:val="22"/>
                <w:szCs w:val="22"/>
                <w:lang w:val="ru-RU"/>
              </w:rPr>
              <w:t>»</w:t>
            </w:r>
            <w:r w:rsidRPr="00BA6A9E">
              <w:rPr>
                <w:rFonts w:ascii="Times New Roman" w:hAnsi="Times New Roman" w:cs="Times New Roman"/>
                <w:sz w:val="22"/>
                <w:szCs w:val="22"/>
                <w:lang w:val="ru-RU"/>
              </w:rPr>
              <w:t>.</w:t>
            </w:r>
          </w:p>
        </w:tc>
        <w:tc>
          <w:tcPr>
            <w:tcW w:w="5386"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jc w:val="both"/>
              <w:rPr>
                <w:b/>
                <w:sz w:val="22"/>
                <w:szCs w:val="22"/>
                <w:highlight w:val="yellow"/>
              </w:rPr>
            </w:pPr>
            <w:r w:rsidRPr="00BA6A9E">
              <w:rPr>
                <w:sz w:val="22"/>
                <w:szCs w:val="22"/>
              </w:rPr>
              <w:t xml:space="preserve">2. Краткое название фонда: ОПИФ </w:t>
            </w:r>
            <w:r>
              <w:rPr>
                <w:sz w:val="22"/>
                <w:szCs w:val="22"/>
              </w:rPr>
              <w:t>фондов</w:t>
            </w:r>
            <w:r w:rsidRPr="00BA6A9E">
              <w:rPr>
                <w:sz w:val="22"/>
                <w:szCs w:val="22"/>
              </w:rPr>
              <w:t xml:space="preserve"> «БКС </w:t>
            </w:r>
            <w:r>
              <w:rPr>
                <w:sz w:val="22"/>
                <w:szCs w:val="22"/>
              </w:rPr>
              <w:t>Драгоценные Металлы</w:t>
            </w:r>
            <w:r w:rsidRPr="00BA6A9E">
              <w:rPr>
                <w:sz w:val="22"/>
                <w:szCs w:val="22"/>
              </w:rPr>
              <w:t>».</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C401A8" w:rsidRDefault="00EF7737"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56.</w:t>
            </w:r>
            <w:r w:rsidRPr="00C5480E">
              <w:rPr>
                <w:lang w:val="ru-RU"/>
              </w:rPr>
              <w:t xml:space="preserve"> </w:t>
            </w:r>
            <w:r w:rsidRPr="00C401A8">
              <w:rPr>
                <w:rFonts w:ascii="Times New Roman" w:hAnsi="Times New Roman" w:cs="Times New Roman"/>
                <w:sz w:val="22"/>
                <w:szCs w:val="22"/>
                <w:lang w:val="ru-RU"/>
              </w:rPr>
              <w:t>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C401A8">
              <w:rPr>
                <w:rFonts w:ascii="Times New Roman" w:hAnsi="Times New Roman" w:cs="Times New Roman"/>
                <w:sz w:val="22"/>
                <w:szCs w:val="22"/>
                <w:lang w:val="ru-RU"/>
              </w:rPr>
              <w:t>дств в с</w:t>
            </w:r>
            <w:proofErr w:type="gramEnd"/>
            <w:r w:rsidRPr="00C401A8">
              <w:rPr>
                <w:rFonts w:ascii="Times New Roman" w:hAnsi="Times New Roman" w:cs="Times New Roman"/>
                <w:sz w:val="22"/>
                <w:szCs w:val="22"/>
                <w:lang w:val="ru-RU"/>
              </w:rPr>
              <w:t xml:space="preserve">умме не менее: </w:t>
            </w:r>
          </w:p>
          <w:p w:rsidR="00EF7737" w:rsidRPr="00C401A8" w:rsidRDefault="00EF7737" w:rsidP="008B10F1">
            <w:pPr>
              <w:pStyle w:val="af"/>
              <w:jc w:val="both"/>
              <w:rPr>
                <w:rFonts w:ascii="Times New Roman" w:hAnsi="Times New Roman" w:cs="Times New Roman"/>
                <w:sz w:val="22"/>
                <w:szCs w:val="22"/>
                <w:lang w:val="ru-RU"/>
              </w:rPr>
            </w:pPr>
            <w:r w:rsidRPr="00C401A8">
              <w:rPr>
                <w:rFonts w:ascii="Times New Roman" w:hAnsi="Times New Roman" w:cs="Times New Roman"/>
                <w:sz w:val="22"/>
                <w:szCs w:val="22"/>
                <w:lang w:val="ru-RU"/>
              </w:rPr>
              <w:t>•</w:t>
            </w:r>
            <w:r w:rsidRPr="00C401A8">
              <w:rPr>
                <w:rFonts w:ascii="Times New Roman" w:hAnsi="Times New Roman" w:cs="Times New Roman"/>
                <w:sz w:val="22"/>
                <w:szCs w:val="22"/>
                <w:lang w:val="ru-RU"/>
              </w:rPr>
              <w:tab/>
              <w:t xml:space="preserve">1 000 (одной тысячи) рублей - для лиц, ранее не имевших на лицевом счете в реестре владельцев инвестиционных паев инвестиционные паи фонда;  </w:t>
            </w:r>
          </w:p>
          <w:p w:rsidR="00EF7737" w:rsidRPr="00BA6A9E" w:rsidRDefault="00EF7737" w:rsidP="008B10F1">
            <w:pPr>
              <w:pStyle w:val="af"/>
              <w:jc w:val="both"/>
              <w:rPr>
                <w:rFonts w:ascii="Times New Roman" w:hAnsi="Times New Roman" w:cs="Times New Roman"/>
                <w:sz w:val="22"/>
                <w:szCs w:val="22"/>
                <w:lang w:val="ru-RU"/>
              </w:rPr>
            </w:pPr>
            <w:r w:rsidRPr="00C401A8">
              <w:rPr>
                <w:rFonts w:ascii="Times New Roman" w:hAnsi="Times New Roman" w:cs="Times New Roman"/>
                <w:sz w:val="22"/>
                <w:szCs w:val="22"/>
                <w:lang w:val="ru-RU"/>
              </w:rPr>
              <w:t>•</w:t>
            </w:r>
            <w:r w:rsidRPr="00C401A8">
              <w:rPr>
                <w:rFonts w:ascii="Times New Roman" w:hAnsi="Times New Roman" w:cs="Times New Roman"/>
                <w:sz w:val="22"/>
                <w:szCs w:val="22"/>
                <w:lang w:val="ru-RU"/>
              </w:rPr>
              <w:tab/>
              <w:t xml:space="preserve">не </w:t>
            </w:r>
            <w:proofErr w:type="gramStart"/>
            <w:r w:rsidRPr="00C401A8">
              <w:rPr>
                <w:rFonts w:ascii="Times New Roman" w:hAnsi="Times New Roman" w:cs="Times New Roman"/>
                <w:sz w:val="22"/>
                <w:szCs w:val="22"/>
                <w:lang w:val="ru-RU"/>
              </w:rPr>
              <w:t>установлена</w:t>
            </w:r>
            <w:proofErr w:type="gramEnd"/>
            <w:r w:rsidRPr="00C401A8">
              <w:rPr>
                <w:rFonts w:ascii="Times New Roman" w:hAnsi="Times New Roman" w:cs="Times New Roman"/>
                <w:sz w:val="22"/>
                <w:szCs w:val="22"/>
                <w:lang w:val="ru-RU"/>
              </w:rPr>
              <w:t xml:space="preserve"> - для лиц, имеющих или ранее имевших инвестиционные паи на лицевом счете в реестре владельцев инвестиционных паев фонда.</w:t>
            </w:r>
          </w:p>
        </w:tc>
        <w:tc>
          <w:tcPr>
            <w:tcW w:w="5386" w:type="dxa"/>
            <w:tcBorders>
              <w:top w:val="single" w:sz="4" w:space="0" w:color="auto"/>
              <w:left w:val="single" w:sz="4" w:space="0" w:color="auto"/>
              <w:bottom w:val="single" w:sz="4" w:space="0" w:color="auto"/>
              <w:right w:val="single" w:sz="4" w:space="0" w:color="auto"/>
            </w:tcBorders>
          </w:tcPr>
          <w:p w:rsidR="00747163" w:rsidRPr="00747163" w:rsidRDefault="00EF7737" w:rsidP="00747163">
            <w:pPr>
              <w:jc w:val="both"/>
              <w:rPr>
                <w:sz w:val="22"/>
                <w:szCs w:val="22"/>
              </w:rPr>
            </w:pPr>
            <w:r>
              <w:rPr>
                <w:sz w:val="22"/>
                <w:szCs w:val="22"/>
              </w:rPr>
              <w:t>56.</w:t>
            </w:r>
            <w:r w:rsidRPr="003511E2">
              <w:rPr>
                <w:rFonts w:ascii="Arial" w:hAnsi="Arial" w:cs="Arial"/>
                <w:sz w:val="18"/>
                <w:szCs w:val="18"/>
                <w:lang w:eastAsia="en-US"/>
              </w:rPr>
              <w:t xml:space="preserve"> </w:t>
            </w:r>
            <w:r w:rsidR="00747163" w:rsidRPr="00747163">
              <w:rPr>
                <w:sz w:val="22"/>
                <w:szCs w:val="22"/>
              </w:rPr>
              <w:t xml:space="preserve">При выдаче инвестиционных паев после даты завершения (окончания) формирования фонда по заявке на приобретение, принятой </w:t>
            </w:r>
            <w:r w:rsidR="00C00C71">
              <w:rPr>
                <w:sz w:val="22"/>
                <w:szCs w:val="22"/>
              </w:rPr>
              <w:t>а</w:t>
            </w:r>
            <w:r w:rsidR="00747163" w:rsidRPr="00747163">
              <w:rPr>
                <w:sz w:val="22"/>
                <w:szCs w:val="22"/>
              </w:rPr>
              <w:t xml:space="preserve">гентом </w:t>
            </w:r>
            <w:r w:rsidR="00C00C71">
              <w:rPr>
                <w:sz w:val="22"/>
                <w:szCs w:val="22"/>
              </w:rPr>
              <w:t>ф</w:t>
            </w:r>
            <w:r w:rsidR="00747163" w:rsidRPr="00747163">
              <w:rPr>
                <w:sz w:val="22"/>
                <w:szCs w:val="22"/>
              </w:rPr>
              <w:t>онда, выдача инвестиционных паев осуществляется при условии передачи в их оплату  денежных сре</w:t>
            </w:r>
            <w:proofErr w:type="gramStart"/>
            <w:r w:rsidR="00747163" w:rsidRPr="00747163">
              <w:rPr>
                <w:sz w:val="22"/>
                <w:szCs w:val="22"/>
              </w:rPr>
              <w:t>дств в с</w:t>
            </w:r>
            <w:proofErr w:type="gramEnd"/>
            <w:r w:rsidR="00747163" w:rsidRPr="00747163">
              <w:rPr>
                <w:sz w:val="22"/>
                <w:szCs w:val="22"/>
              </w:rPr>
              <w:t>умме не менее:</w:t>
            </w:r>
          </w:p>
          <w:p w:rsidR="00747163" w:rsidRPr="00747163" w:rsidRDefault="00747163" w:rsidP="00747163">
            <w:pPr>
              <w:jc w:val="both"/>
              <w:rPr>
                <w:sz w:val="22"/>
                <w:szCs w:val="22"/>
              </w:rPr>
            </w:pPr>
            <w:r w:rsidRPr="00747163">
              <w:rPr>
                <w:sz w:val="22"/>
                <w:szCs w:val="22"/>
              </w:rPr>
              <w:t>-</w:t>
            </w:r>
            <w:r w:rsidRPr="00747163">
              <w:rPr>
                <w:sz w:val="22"/>
                <w:szCs w:val="22"/>
              </w:rPr>
              <w:tab/>
              <w:t>50 000 (Пятидесяти тысяч) рублей – для лиц, не являющихся владельцами инвестиционных паев фонда;</w:t>
            </w:r>
          </w:p>
          <w:p w:rsidR="00747163" w:rsidRPr="00747163" w:rsidRDefault="00747163" w:rsidP="00747163">
            <w:pPr>
              <w:jc w:val="both"/>
              <w:rPr>
                <w:sz w:val="22"/>
                <w:szCs w:val="22"/>
              </w:rPr>
            </w:pPr>
            <w:r w:rsidRPr="00747163">
              <w:rPr>
                <w:sz w:val="22"/>
                <w:szCs w:val="22"/>
              </w:rPr>
              <w:t>-</w:t>
            </w:r>
            <w:r w:rsidRPr="00747163">
              <w:rPr>
                <w:sz w:val="22"/>
                <w:szCs w:val="22"/>
              </w:rPr>
              <w:tab/>
              <w:t>10 000  (Десяти  тысяч) рублей – для владельцев инвестиционных паев фонда.</w:t>
            </w:r>
          </w:p>
          <w:p w:rsidR="00747163" w:rsidRPr="00747163" w:rsidRDefault="00747163" w:rsidP="00747163">
            <w:pPr>
              <w:jc w:val="both"/>
              <w:rPr>
                <w:sz w:val="22"/>
                <w:szCs w:val="22"/>
              </w:rPr>
            </w:pPr>
            <w:r w:rsidRPr="00747163">
              <w:rPr>
                <w:sz w:val="22"/>
                <w:szCs w:val="22"/>
              </w:rPr>
              <w:t>При выдаче инвестиционных паев после даты завершения (окончания) формирования фонда по заявке на приобретение, принятой Управляющей компанией, выдача инвестиционных паев осуществляется при условии передачи в их оплату  денежных сре</w:t>
            </w:r>
            <w:proofErr w:type="gramStart"/>
            <w:r w:rsidRPr="00747163">
              <w:rPr>
                <w:sz w:val="22"/>
                <w:szCs w:val="22"/>
              </w:rPr>
              <w:t>дств в с</w:t>
            </w:r>
            <w:proofErr w:type="gramEnd"/>
            <w:r w:rsidRPr="00747163">
              <w:rPr>
                <w:sz w:val="22"/>
                <w:szCs w:val="22"/>
              </w:rPr>
              <w:t>умме не менее:</w:t>
            </w:r>
          </w:p>
          <w:p w:rsidR="00747163" w:rsidRPr="00747163" w:rsidRDefault="00747163" w:rsidP="00747163">
            <w:pPr>
              <w:jc w:val="both"/>
              <w:rPr>
                <w:sz w:val="22"/>
                <w:szCs w:val="22"/>
              </w:rPr>
            </w:pPr>
            <w:r w:rsidRPr="00747163">
              <w:rPr>
                <w:sz w:val="22"/>
                <w:szCs w:val="22"/>
              </w:rPr>
              <w:lastRenderedPageBreak/>
              <w:t>-</w:t>
            </w:r>
            <w:r w:rsidRPr="00747163">
              <w:rPr>
                <w:sz w:val="22"/>
                <w:szCs w:val="22"/>
              </w:rPr>
              <w:tab/>
              <w:t xml:space="preserve">5 000 </w:t>
            </w:r>
            <w:proofErr w:type="spellStart"/>
            <w:r w:rsidRPr="00747163">
              <w:rPr>
                <w:sz w:val="22"/>
                <w:szCs w:val="22"/>
              </w:rPr>
              <w:t>000</w:t>
            </w:r>
            <w:proofErr w:type="spellEnd"/>
            <w:r w:rsidRPr="00747163">
              <w:rPr>
                <w:sz w:val="22"/>
                <w:szCs w:val="22"/>
              </w:rPr>
              <w:t xml:space="preserve"> (Пять миллионов) рублей – для лиц, не являющихся владельцами инвестиционных паев фонда;</w:t>
            </w:r>
          </w:p>
          <w:p w:rsidR="00EF7737" w:rsidRPr="00BA6A9E" w:rsidRDefault="00747163" w:rsidP="00747163">
            <w:pPr>
              <w:tabs>
                <w:tab w:val="left" w:pos="176"/>
                <w:tab w:val="left" w:pos="393"/>
                <w:tab w:val="left" w:pos="743"/>
              </w:tabs>
              <w:ind w:left="34"/>
              <w:jc w:val="both"/>
              <w:rPr>
                <w:sz w:val="22"/>
                <w:szCs w:val="22"/>
              </w:rPr>
            </w:pPr>
            <w:r w:rsidRPr="00747163">
              <w:rPr>
                <w:sz w:val="22"/>
                <w:szCs w:val="22"/>
              </w:rPr>
              <w:t xml:space="preserve">-     1 000 </w:t>
            </w:r>
            <w:proofErr w:type="spellStart"/>
            <w:r w:rsidRPr="00747163">
              <w:rPr>
                <w:sz w:val="22"/>
                <w:szCs w:val="22"/>
              </w:rPr>
              <w:t>000</w:t>
            </w:r>
            <w:proofErr w:type="spellEnd"/>
            <w:r w:rsidRPr="00747163">
              <w:rPr>
                <w:sz w:val="22"/>
                <w:szCs w:val="22"/>
              </w:rPr>
              <w:t xml:space="preserve">  (Один миллион) рублей – для владельцев инвестиционных паев фонда</w:t>
            </w:r>
            <w:r w:rsidR="007B3BBF" w:rsidRPr="007B3BBF">
              <w:rPr>
                <w:sz w:val="22"/>
                <w:szCs w:val="22"/>
              </w:rPr>
              <w:t>.</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both"/>
              <w:rPr>
                <w:rFonts w:ascii="Times New Roman" w:hAnsi="Times New Roman" w:cs="Times New Roman"/>
                <w:sz w:val="22"/>
                <w:szCs w:val="22"/>
                <w:lang w:val="ru-RU"/>
              </w:rPr>
            </w:pPr>
            <w:r w:rsidRPr="003D0198">
              <w:rPr>
                <w:rFonts w:ascii="Times New Roman" w:hAnsi="Times New Roman" w:cs="Times New Roman"/>
                <w:sz w:val="22"/>
                <w:szCs w:val="22"/>
                <w:lang w:val="ru-RU"/>
              </w:rPr>
              <w:lastRenderedPageBreak/>
              <w:t xml:space="preserve">66. </w:t>
            </w:r>
            <w:r w:rsidRPr="007D33A1">
              <w:rPr>
                <w:rFonts w:ascii="Times New Roman" w:hAnsi="Times New Roman" w:cs="Times New Roman"/>
                <w:sz w:val="22"/>
                <w:szCs w:val="22"/>
                <w:lang w:val="ru-RU"/>
              </w:rPr>
              <w:t>После завершения формирования фонда надбавка, на которую увеличивается расчетная стоимость инвестиционного пая, не взимается.</w:t>
            </w:r>
          </w:p>
        </w:tc>
        <w:tc>
          <w:tcPr>
            <w:tcW w:w="5386" w:type="dxa"/>
            <w:tcBorders>
              <w:top w:val="single" w:sz="4" w:space="0" w:color="auto"/>
              <w:left w:val="single" w:sz="4" w:space="0" w:color="auto"/>
              <w:bottom w:val="single" w:sz="4" w:space="0" w:color="auto"/>
              <w:right w:val="single" w:sz="4" w:space="0" w:color="auto"/>
            </w:tcBorders>
          </w:tcPr>
          <w:p w:rsidR="00004CBF" w:rsidRPr="00004CBF" w:rsidRDefault="00EF7737" w:rsidP="00004CBF">
            <w:pPr>
              <w:jc w:val="both"/>
              <w:rPr>
                <w:sz w:val="22"/>
                <w:szCs w:val="22"/>
              </w:rPr>
            </w:pPr>
            <w:r w:rsidRPr="00E377A0">
              <w:rPr>
                <w:sz w:val="22"/>
                <w:szCs w:val="22"/>
              </w:rPr>
              <w:t>6</w:t>
            </w:r>
            <w:r>
              <w:rPr>
                <w:sz w:val="22"/>
                <w:szCs w:val="22"/>
              </w:rPr>
              <w:t>6</w:t>
            </w:r>
            <w:r w:rsidRPr="00E377A0">
              <w:rPr>
                <w:sz w:val="22"/>
                <w:szCs w:val="22"/>
              </w:rPr>
              <w:t xml:space="preserve">. </w:t>
            </w:r>
            <w:r w:rsidR="00004CBF" w:rsidRPr="00004CBF">
              <w:rPr>
                <w:sz w:val="22"/>
                <w:szCs w:val="22"/>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004CBF" w:rsidRPr="00004CBF" w:rsidRDefault="00004CBF" w:rsidP="00004CBF">
            <w:pPr>
              <w:jc w:val="both"/>
              <w:rPr>
                <w:sz w:val="22"/>
                <w:szCs w:val="22"/>
              </w:rPr>
            </w:pPr>
            <w:r w:rsidRPr="00004CBF">
              <w:rPr>
                <w:sz w:val="22"/>
                <w:szCs w:val="22"/>
              </w:rPr>
              <w:t>- при выдаче инвестиционных паев по заявке на приобретение, принятой  в филиале Управляющей компании, расположенном по адресу: Российская Федерация, 129110, г. Москва, проспект Мира, д. 69, строение 1, или агентом фонда, за исключением заявок на приобретение, поданных доверительным управляющим, - 1 (Один) процент от расчетной стоимости инвестиционного пая.</w:t>
            </w:r>
          </w:p>
          <w:p w:rsidR="00004CBF" w:rsidRPr="00004CBF" w:rsidRDefault="00004CBF" w:rsidP="00004CBF">
            <w:pPr>
              <w:jc w:val="both"/>
              <w:rPr>
                <w:sz w:val="22"/>
                <w:szCs w:val="22"/>
              </w:rPr>
            </w:pPr>
            <w:r w:rsidRPr="00004CBF">
              <w:rPr>
                <w:sz w:val="22"/>
                <w:szCs w:val="22"/>
              </w:rPr>
              <w:t>При выдаче инвестиционных паев по заявке на приобретение,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надбавка не взимается.</w:t>
            </w:r>
          </w:p>
          <w:p w:rsidR="00EF7737" w:rsidRPr="00BA6A9E" w:rsidRDefault="00004CBF" w:rsidP="00004CBF">
            <w:pPr>
              <w:jc w:val="both"/>
              <w:rPr>
                <w:sz w:val="22"/>
                <w:szCs w:val="22"/>
              </w:rPr>
            </w:pPr>
            <w:r w:rsidRPr="00004CBF">
              <w:rPr>
                <w:sz w:val="22"/>
                <w:szCs w:val="22"/>
              </w:rPr>
              <w:t>При выдаче инвестиционных паев по заявке на приобретение, поданной доверительным управляющим и принятой  в филиале Управляющей компании, расположенном по адресу: Российская Федерация, 129110, г. Москва, проспект Мира, д. 69, строение 1, или агентом фонда, надбавка не взимается.</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B679EB" w:rsidRDefault="00EF773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7</w:t>
            </w:r>
            <w:r>
              <w:rPr>
                <w:rFonts w:ascii="Times New Roman" w:hAnsi="Times New Roman" w:cs="Times New Roman"/>
                <w:sz w:val="22"/>
                <w:szCs w:val="22"/>
                <w:lang w:val="ru-RU"/>
              </w:rPr>
              <w:t>9</w:t>
            </w:r>
            <w:r w:rsidRPr="00BA6A9E">
              <w:rPr>
                <w:rFonts w:ascii="Times New Roman" w:hAnsi="Times New Roman" w:cs="Times New Roman"/>
                <w:sz w:val="22"/>
                <w:szCs w:val="22"/>
                <w:lang w:val="ru-RU"/>
              </w:rPr>
              <w:t xml:space="preserve">. </w:t>
            </w:r>
            <w:r w:rsidRPr="00B679EB">
              <w:rPr>
                <w:rFonts w:ascii="Times New Roman" w:hAnsi="Times New Roman" w:cs="Times New Roman"/>
                <w:sz w:val="22"/>
                <w:szCs w:val="22"/>
                <w:lang w:val="ru-RU"/>
              </w:rPr>
              <w:t xml:space="preserve">При подаче </w:t>
            </w:r>
            <w:proofErr w:type="gramStart"/>
            <w:r w:rsidRPr="00B679EB">
              <w:rPr>
                <w:rFonts w:ascii="Times New Roman" w:hAnsi="Times New Roman" w:cs="Times New Roman"/>
                <w:sz w:val="22"/>
                <w:szCs w:val="22"/>
                <w:lang w:val="ru-RU"/>
              </w:rPr>
              <w:t>заявки</w:t>
            </w:r>
            <w:proofErr w:type="gramEnd"/>
            <w:r w:rsidRPr="00B679EB">
              <w:rPr>
                <w:rFonts w:ascii="Times New Roman" w:hAnsi="Times New Roman" w:cs="Times New Roman"/>
                <w:sz w:val="22"/>
                <w:szCs w:val="22"/>
                <w:lang w:val="ru-RU"/>
              </w:rPr>
              <w:t xml:space="preserve"> на погашение инвестиционных паёв Управляющей компании или агентам размер скидки, на которую уменьшается расчётная стоимость инвестиционного пая, составляет:</w:t>
            </w:r>
          </w:p>
          <w:p w:rsidR="00EF7737" w:rsidRPr="00B679EB" w:rsidRDefault="00EF7737" w:rsidP="008B10F1">
            <w:pPr>
              <w:pStyle w:val="af"/>
              <w:jc w:val="both"/>
              <w:rPr>
                <w:rFonts w:ascii="Times New Roman" w:hAnsi="Times New Roman" w:cs="Times New Roman"/>
                <w:sz w:val="22"/>
                <w:szCs w:val="22"/>
                <w:lang w:val="ru-RU"/>
              </w:rPr>
            </w:pPr>
            <w:r w:rsidRPr="00B679EB">
              <w:rPr>
                <w:rFonts w:ascii="Times New Roman" w:hAnsi="Times New Roman" w:cs="Times New Roman"/>
                <w:sz w:val="22"/>
                <w:szCs w:val="22"/>
                <w:lang w:val="ru-RU"/>
              </w:rPr>
              <w:t>- 2,45 (Две целых сорок пять сотых) процента от расчётной стоимости инвестиционного пая в случае, если погашение инвестиционных паёв производится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EF7737" w:rsidRPr="00B679EB" w:rsidRDefault="00EF7737" w:rsidP="008B10F1">
            <w:pPr>
              <w:pStyle w:val="af"/>
              <w:jc w:val="both"/>
              <w:rPr>
                <w:rFonts w:ascii="Times New Roman" w:hAnsi="Times New Roman" w:cs="Times New Roman"/>
                <w:sz w:val="22"/>
                <w:szCs w:val="22"/>
                <w:lang w:val="ru-RU"/>
              </w:rPr>
            </w:pPr>
            <w:proofErr w:type="gramStart"/>
            <w:r w:rsidRPr="00B679EB">
              <w:rPr>
                <w:rFonts w:ascii="Times New Roman" w:hAnsi="Times New Roman" w:cs="Times New Roman"/>
                <w:sz w:val="22"/>
                <w:szCs w:val="22"/>
                <w:lang w:val="ru-RU"/>
              </w:rPr>
              <w:t>- 1,95 (Одна целая девяносто пять сотых) процента от расчётной стоимости инвестиционного пая в случае, если погашение инвестиционных паёв производится в срок более 180 (Ста восьмидесяти) дней, но менее 365 (Трехсот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EF7737" w:rsidRPr="00B679EB" w:rsidRDefault="00EF7737" w:rsidP="008B10F1">
            <w:pPr>
              <w:pStyle w:val="af"/>
              <w:jc w:val="both"/>
              <w:rPr>
                <w:rFonts w:ascii="Times New Roman" w:hAnsi="Times New Roman" w:cs="Times New Roman"/>
                <w:sz w:val="22"/>
                <w:szCs w:val="22"/>
                <w:lang w:val="ru-RU"/>
              </w:rPr>
            </w:pPr>
            <w:r w:rsidRPr="00B679EB">
              <w:rPr>
                <w:rFonts w:ascii="Times New Roman" w:hAnsi="Times New Roman" w:cs="Times New Roman"/>
                <w:sz w:val="22"/>
                <w:szCs w:val="22"/>
                <w:lang w:val="ru-RU"/>
              </w:rPr>
              <w:t xml:space="preserve">- не взимается в случае, если погашение инвестиционных паёв производится в срок равный или более 365 (Трехсот шестидесяти пяти) дней со дня внесения приходной записи по </w:t>
            </w:r>
            <w:r w:rsidRPr="00B679EB">
              <w:rPr>
                <w:rFonts w:ascii="Times New Roman" w:hAnsi="Times New Roman" w:cs="Times New Roman"/>
                <w:sz w:val="22"/>
                <w:szCs w:val="22"/>
                <w:lang w:val="ru-RU"/>
              </w:rPr>
              <w:lastRenderedPageBreak/>
              <w:t>зачислению данных инвестиционных паев на лицевой счет, с которого производится погашение данных инвестиционных паев;</w:t>
            </w:r>
          </w:p>
          <w:p w:rsidR="00EF7737" w:rsidRPr="00BA6A9E" w:rsidRDefault="00EF7737" w:rsidP="008B10F1">
            <w:pPr>
              <w:pStyle w:val="af"/>
              <w:jc w:val="both"/>
              <w:rPr>
                <w:rFonts w:ascii="Times New Roman" w:hAnsi="Times New Roman" w:cs="Times New Roman"/>
                <w:sz w:val="22"/>
                <w:szCs w:val="22"/>
                <w:lang w:val="ru-RU"/>
              </w:rPr>
            </w:pPr>
            <w:proofErr w:type="gramStart"/>
            <w:r w:rsidRPr="00B679EB">
              <w:rPr>
                <w:rFonts w:ascii="Times New Roman" w:hAnsi="Times New Roman" w:cs="Times New Roman"/>
                <w:sz w:val="22"/>
                <w:szCs w:val="22"/>
                <w:lang w:val="ru-RU"/>
              </w:rPr>
              <w:t>- 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более 365 (Трехсот шестидесяти пяти) дней со дня внесения приходной записи по зачислению на лицевые счета владельца в реестрах</w:t>
            </w:r>
            <w:proofErr w:type="gramEnd"/>
            <w:r w:rsidRPr="00B679EB">
              <w:rPr>
                <w:rFonts w:ascii="Times New Roman" w:hAnsi="Times New Roman" w:cs="Times New Roman"/>
                <w:sz w:val="22"/>
                <w:szCs w:val="22"/>
                <w:lang w:val="ru-RU"/>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tc>
        <w:tc>
          <w:tcPr>
            <w:tcW w:w="5386" w:type="dxa"/>
            <w:tcBorders>
              <w:top w:val="single" w:sz="4" w:space="0" w:color="auto"/>
              <w:left w:val="single" w:sz="4" w:space="0" w:color="auto"/>
              <w:bottom w:val="single" w:sz="4" w:space="0" w:color="auto"/>
              <w:right w:val="single" w:sz="4" w:space="0" w:color="auto"/>
            </w:tcBorders>
          </w:tcPr>
          <w:p w:rsidR="00401255" w:rsidRPr="00401255" w:rsidRDefault="00EF7737" w:rsidP="00401255">
            <w:pPr>
              <w:jc w:val="both"/>
              <w:rPr>
                <w:sz w:val="22"/>
                <w:szCs w:val="22"/>
              </w:rPr>
            </w:pPr>
            <w:r w:rsidRPr="00A508CC">
              <w:rPr>
                <w:sz w:val="22"/>
                <w:szCs w:val="22"/>
              </w:rPr>
              <w:lastRenderedPageBreak/>
              <w:t>7</w:t>
            </w:r>
            <w:r>
              <w:rPr>
                <w:sz w:val="22"/>
                <w:szCs w:val="22"/>
              </w:rPr>
              <w:t>9</w:t>
            </w:r>
            <w:r w:rsidRPr="00A508CC">
              <w:rPr>
                <w:sz w:val="22"/>
                <w:szCs w:val="22"/>
              </w:rPr>
              <w:t xml:space="preserve">. </w:t>
            </w:r>
            <w:r w:rsidR="00401255" w:rsidRPr="00401255">
              <w:rPr>
                <w:sz w:val="22"/>
                <w:szCs w:val="22"/>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401255" w:rsidRPr="00401255" w:rsidRDefault="00401255" w:rsidP="00401255">
            <w:pPr>
              <w:jc w:val="both"/>
              <w:rPr>
                <w:sz w:val="22"/>
                <w:szCs w:val="22"/>
              </w:rPr>
            </w:pPr>
            <w:r w:rsidRPr="00401255">
              <w:rPr>
                <w:sz w:val="22"/>
                <w:szCs w:val="22"/>
              </w:rPr>
              <w:t xml:space="preserve">1) 2,00 (Два) процента от расчётной стоимости инвестиционного пая в случае, если: </w:t>
            </w:r>
          </w:p>
          <w:p w:rsidR="00401255" w:rsidRPr="00401255" w:rsidRDefault="00401255" w:rsidP="00401255">
            <w:pPr>
              <w:jc w:val="both"/>
              <w:rPr>
                <w:sz w:val="22"/>
                <w:szCs w:val="22"/>
              </w:rPr>
            </w:pPr>
            <w:r w:rsidRPr="00401255">
              <w:rPr>
                <w:sz w:val="22"/>
                <w:szCs w:val="22"/>
              </w:rPr>
              <w:t xml:space="preserve">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401255" w:rsidRPr="00401255" w:rsidRDefault="00401255" w:rsidP="00401255">
            <w:pPr>
              <w:jc w:val="both"/>
              <w:rPr>
                <w:sz w:val="22"/>
                <w:szCs w:val="22"/>
              </w:rPr>
            </w:pPr>
            <w:proofErr w:type="gramStart"/>
            <w:r w:rsidRPr="00401255">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401255">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w:t>
            </w:r>
            <w:r w:rsidRPr="00401255">
              <w:rPr>
                <w:sz w:val="22"/>
                <w:szCs w:val="22"/>
              </w:rPr>
              <w:lastRenderedPageBreak/>
              <w:t>компании);</w:t>
            </w:r>
          </w:p>
          <w:p w:rsidR="00401255" w:rsidRPr="00401255" w:rsidRDefault="00401255" w:rsidP="00401255">
            <w:pPr>
              <w:jc w:val="both"/>
              <w:rPr>
                <w:sz w:val="22"/>
                <w:szCs w:val="22"/>
              </w:rPr>
            </w:pPr>
            <w:r w:rsidRPr="00401255">
              <w:rPr>
                <w:sz w:val="22"/>
                <w:szCs w:val="22"/>
              </w:rPr>
              <w:t>2) 1,00 (Один) процент от расчётной стоимости инвестиционного пая в случае, если:</w:t>
            </w:r>
          </w:p>
          <w:p w:rsidR="00401255" w:rsidRPr="00401255" w:rsidRDefault="00401255" w:rsidP="00401255">
            <w:pPr>
              <w:jc w:val="both"/>
              <w:rPr>
                <w:sz w:val="22"/>
                <w:szCs w:val="22"/>
              </w:rPr>
            </w:pPr>
            <w:r w:rsidRPr="00401255">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01255" w:rsidRPr="00401255" w:rsidRDefault="00401255" w:rsidP="00401255">
            <w:pPr>
              <w:jc w:val="both"/>
              <w:rPr>
                <w:sz w:val="22"/>
                <w:szCs w:val="22"/>
              </w:rPr>
            </w:pPr>
            <w:proofErr w:type="gramStart"/>
            <w:r w:rsidRPr="00401255">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401255">
              <w:rPr>
                <w:sz w:val="22"/>
                <w:szCs w:val="22"/>
              </w:rPr>
              <w:t xml:space="preserve"> </w:t>
            </w:r>
            <w:proofErr w:type="gramStart"/>
            <w:r w:rsidRPr="00401255">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401255" w:rsidRPr="00401255" w:rsidRDefault="00401255" w:rsidP="00401255">
            <w:pPr>
              <w:jc w:val="both"/>
              <w:rPr>
                <w:sz w:val="22"/>
                <w:szCs w:val="22"/>
              </w:rPr>
            </w:pPr>
            <w:r w:rsidRPr="00401255">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01255" w:rsidRPr="00401255" w:rsidRDefault="00401255" w:rsidP="00401255">
            <w:pPr>
              <w:jc w:val="both"/>
              <w:rPr>
                <w:sz w:val="22"/>
                <w:szCs w:val="22"/>
              </w:rPr>
            </w:pPr>
            <w:proofErr w:type="gramStart"/>
            <w:r w:rsidRPr="00401255">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401255">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401255" w:rsidRPr="00401255" w:rsidRDefault="00401255" w:rsidP="00401255">
            <w:pPr>
              <w:jc w:val="both"/>
              <w:rPr>
                <w:sz w:val="22"/>
                <w:szCs w:val="22"/>
              </w:rPr>
            </w:pPr>
            <w:r w:rsidRPr="00401255">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401255" w:rsidRPr="00401255" w:rsidRDefault="00401255" w:rsidP="00401255">
            <w:pPr>
              <w:jc w:val="both"/>
              <w:rPr>
                <w:sz w:val="22"/>
                <w:szCs w:val="22"/>
              </w:rPr>
            </w:pPr>
            <w:r w:rsidRPr="00401255">
              <w:rPr>
                <w:sz w:val="22"/>
                <w:szCs w:val="22"/>
              </w:rPr>
              <w:t xml:space="preserve">При погашении инвестиционных паев по лицевому </w:t>
            </w:r>
            <w:r w:rsidRPr="00401255">
              <w:rPr>
                <w:sz w:val="22"/>
                <w:szCs w:val="22"/>
              </w:rPr>
              <w:lastRenderedPageBreak/>
              <w:t>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401255" w:rsidRPr="00401255" w:rsidRDefault="00401255" w:rsidP="00401255">
            <w:pPr>
              <w:jc w:val="both"/>
              <w:rPr>
                <w:sz w:val="22"/>
                <w:szCs w:val="22"/>
              </w:rPr>
            </w:pPr>
            <w:r w:rsidRPr="00401255">
              <w:rPr>
                <w:sz w:val="22"/>
                <w:szCs w:val="22"/>
              </w:rPr>
              <w:t xml:space="preserve">1) 2,00 (Два) процента от расчётной стоимости инвестиционного пая в случае, если: </w:t>
            </w:r>
          </w:p>
          <w:p w:rsidR="00401255" w:rsidRPr="00401255" w:rsidRDefault="00401255" w:rsidP="00401255">
            <w:pPr>
              <w:jc w:val="both"/>
              <w:rPr>
                <w:sz w:val="22"/>
                <w:szCs w:val="22"/>
              </w:rPr>
            </w:pPr>
            <w:r w:rsidRPr="00401255">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01255" w:rsidRPr="00401255" w:rsidRDefault="00401255" w:rsidP="00401255">
            <w:pPr>
              <w:jc w:val="both"/>
              <w:rPr>
                <w:sz w:val="22"/>
                <w:szCs w:val="22"/>
              </w:rPr>
            </w:pPr>
            <w:proofErr w:type="gramStart"/>
            <w:r w:rsidRPr="00401255">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401255">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401255" w:rsidRPr="00401255" w:rsidRDefault="00401255" w:rsidP="00401255">
            <w:pPr>
              <w:jc w:val="both"/>
              <w:rPr>
                <w:sz w:val="22"/>
                <w:szCs w:val="22"/>
              </w:rPr>
            </w:pPr>
            <w:r w:rsidRPr="00401255">
              <w:rPr>
                <w:sz w:val="22"/>
                <w:szCs w:val="22"/>
              </w:rPr>
              <w:t>2) 1,00 (Один) процент от расчётной стоимости инвестиционного пая в случае, если:</w:t>
            </w:r>
          </w:p>
          <w:p w:rsidR="00401255" w:rsidRPr="00401255" w:rsidRDefault="00401255" w:rsidP="00401255">
            <w:pPr>
              <w:jc w:val="both"/>
              <w:rPr>
                <w:sz w:val="22"/>
                <w:szCs w:val="22"/>
              </w:rPr>
            </w:pPr>
            <w:r w:rsidRPr="00401255">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01255" w:rsidRPr="00401255" w:rsidRDefault="00401255" w:rsidP="00401255">
            <w:pPr>
              <w:jc w:val="both"/>
              <w:rPr>
                <w:sz w:val="22"/>
                <w:szCs w:val="22"/>
              </w:rPr>
            </w:pPr>
            <w:proofErr w:type="gramStart"/>
            <w:r w:rsidRPr="00401255">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401255">
              <w:rPr>
                <w:sz w:val="22"/>
                <w:szCs w:val="22"/>
              </w:rPr>
              <w:t xml:space="preserve"> </w:t>
            </w:r>
            <w:proofErr w:type="gramStart"/>
            <w:r w:rsidRPr="00401255">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401255" w:rsidRPr="00401255" w:rsidRDefault="00401255" w:rsidP="00401255">
            <w:pPr>
              <w:jc w:val="both"/>
              <w:rPr>
                <w:sz w:val="22"/>
                <w:szCs w:val="22"/>
              </w:rPr>
            </w:pPr>
            <w:r w:rsidRPr="00401255">
              <w:rPr>
                <w:sz w:val="22"/>
                <w:szCs w:val="22"/>
              </w:rPr>
              <w:t xml:space="preserve">3) не взимается в случае, если погашение инвестиционных паёв производится в срок равный или более 18 (Восемнадцати) месяцев со дня внесения </w:t>
            </w:r>
            <w:r w:rsidRPr="00401255">
              <w:rPr>
                <w:sz w:val="22"/>
                <w:szCs w:val="22"/>
              </w:rPr>
              <w:lastRenderedPageBreak/>
              <w:t>приходной записи по зачислению данных инвестиционных паев на лицевой счет, с которого производится погашение данных инвестиционных паев;</w:t>
            </w:r>
          </w:p>
          <w:p w:rsidR="00401255" w:rsidRPr="00401255" w:rsidRDefault="00401255" w:rsidP="00401255">
            <w:pPr>
              <w:jc w:val="both"/>
              <w:rPr>
                <w:sz w:val="22"/>
                <w:szCs w:val="22"/>
              </w:rPr>
            </w:pPr>
            <w:proofErr w:type="gramStart"/>
            <w:r w:rsidRPr="00401255">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401255">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401255" w:rsidRPr="00401255" w:rsidRDefault="00401255" w:rsidP="00401255">
            <w:pPr>
              <w:jc w:val="both"/>
              <w:rPr>
                <w:sz w:val="22"/>
                <w:szCs w:val="22"/>
              </w:rPr>
            </w:pPr>
            <w:r w:rsidRPr="00401255">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EF7737" w:rsidRPr="00BA6A9E" w:rsidRDefault="00401255" w:rsidP="00401255">
            <w:pPr>
              <w:jc w:val="both"/>
              <w:rPr>
                <w:sz w:val="22"/>
                <w:szCs w:val="22"/>
              </w:rPr>
            </w:pPr>
            <w:r w:rsidRPr="00401255">
              <w:rPr>
                <w:sz w:val="22"/>
                <w:szCs w:val="22"/>
              </w:rPr>
              <w:t>При погашении инвестиционных паев по лицевому счету номинального держателя по заявке на погашение скидка не взимается.</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01071D" w:rsidRDefault="00EF7737" w:rsidP="008B10F1">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lastRenderedPageBreak/>
              <w:t>8</w:t>
            </w:r>
            <w:r>
              <w:rPr>
                <w:rFonts w:ascii="Times New Roman" w:hAnsi="Times New Roman" w:cs="Times New Roman"/>
                <w:sz w:val="22"/>
                <w:szCs w:val="22"/>
                <w:lang w:val="ru-RU"/>
              </w:rPr>
              <w:t>5</w:t>
            </w:r>
            <w:r w:rsidRPr="00615889">
              <w:rPr>
                <w:rFonts w:ascii="Times New Roman" w:hAnsi="Times New Roman" w:cs="Times New Roman"/>
                <w:sz w:val="22"/>
                <w:szCs w:val="22"/>
                <w:lang w:val="ru-RU"/>
              </w:rPr>
              <w:t xml:space="preserve">. </w:t>
            </w:r>
            <w:r w:rsidRPr="0001071D">
              <w:rPr>
                <w:rFonts w:ascii="Times New Roman" w:hAnsi="Times New Roman" w:cs="Times New Roman"/>
                <w:sz w:val="22"/>
                <w:szCs w:val="22"/>
                <w:lang w:val="ru-RU"/>
              </w:rPr>
              <w:t>Инвестиционные паи могут обмениваться на инвестиционные паи:</w:t>
            </w:r>
          </w:p>
          <w:p w:rsidR="00EF7737" w:rsidRPr="0001071D" w:rsidRDefault="00EF7737" w:rsidP="008B10F1">
            <w:pPr>
              <w:pStyle w:val="af"/>
              <w:jc w:val="both"/>
              <w:rPr>
                <w:rFonts w:ascii="Times New Roman" w:hAnsi="Times New Roman" w:cs="Times New Roman"/>
                <w:sz w:val="22"/>
                <w:szCs w:val="22"/>
                <w:lang w:val="ru-RU"/>
              </w:rPr>
            </w:pPr>
            <w:r w:rsidRPr="0001071D">
              <w:rPr>
                <w:rFonts w:ascii="Times New Roman" w:hAnsi="Times New Roman" w:cs="Times New Roman"/>
                <w:sz w:val="22"/>
                <w:szCs w:val="22"/>
                <w:lang w:val="ru-RU"/>
              </w:rPr>
              <w:t>•</w:t>
            </w:r>
            <w:r w:rsidRPr="0001071D">
              <w:rPr>
                <w:rFonts w:ascii="Times New Roman" w:hAnsi="Times New Roman" w:cs="Times New Roman"/>
                <w:sz w:val="22"/>
                <w:szCs w:val="22"/>
                <w:lang w:val="ru-RU"/>
              </w:rPr>
              <w:tab/>
              <w:t>Открытого паевого инвестиционного фонда смешанных инвестиций «Империя»;</w:t>
            </w:r>
          </w:p>
          <w:p w:rsidR="00EF7737" w:rsidRPr="0001071D" w:rsidRDefault="00EF7737" w:rsidP="008B10F1">
            <w:pPr>
              <w:pStyle w:val="af"/>
              <w:jc w:val="both"/>
              <w:rPr>
                <w:rFonts w:ascii="Times New Roman" w:hAnsi="Times New Roman" w:cs="Times New Roman"/>
                <w:sz w:val="22"/>
                <w:szCs w:val="22"/>
                <w:lang w:val="ru-RU"/>
              </w:rPr>
            </w:pPr>
            <w:r w:rsidRPr="0001071D">
              <w:rPr>
                <w:rFonts w:ascii="Times New Roman" w:hAnsi="Times New Roman" w:cs="Times New Roman"/>
                <w:sz w:val="22"/>
                <w:szCs w:val="22"/>
                <w:lang w:val="ru-RU"/>
              </w:rPr>
              <w:t>•</w:t>
            </w:r>
            <w:r w:rsidRPr="0001071D">
              <w:rPr>
                <w:rFonts w:ascii="Times New Roman" w:hAnsi="Times New Roman" w:cs="Times New Roman"/>
                <w:sz w:val="22"/>
                <w:szCs w:val="22"/>
                <w:lang w:val="ru-RU"/>
              </w:rPr>
              <w:tab/>
              <w:t>Открытого паевого инвестиционного фонда денежного рынка «Юлий Цезарь»;</w:t>
            </w:r>
          </w:p>
          <w:p w:rsidR="00EF7737" w:rsidRPr="0001071D" w:rsidRDefault="00EF7737" w:rsidP="008B10F1">
            <w:pPr>
              <w:pStyle w:val="af"/>
              <w:jc w:val="both"/>
              <w:rPr>
                <w:rFonts w:ascii="Times New Roman" w:hAnsi="Times New Roman" w:cs="Times New Roman"/>
                <w:sz w:val="22"/>
                <w:szCs w:val="22"/>
                <w:lang w:val="ru-RU"/>
              </w:rPr>
            </w:pPr>
            <w:r w:rsidRPr="0001071D">
              <w:rPr>
                <w:rFonts w:ascii="Times New Roman" w:hAnsi="Times New Roman" w:cs="Times New Roman"/>
                <w:sz w:val="22"/>
                <w:szCs w:val="22"/>
                <w:lang w:val="ru-RU"/>
              </w:rPr>
              <w:t>•</w:t>
            </w:r>
            <w:r w:rsidRPr="0001071D">
              <w:rPr>
                <w:rFonts w:ascii="Times New Roman" w:hAnsi="Times New Roman" w:cs="Times New Roman"/>
                <w:sz w:val="22"/>
                <w:szCs w:val="22"/>
                <w:lang w:val="ru-RU"/>
              </w:rPr>
              <w:tab/>
              <w:t>Открытого паевого инвестиционного фонда акций «Петр I»;</w:t>
            </w:r>
          </w:p>
          <w:p w:rsidR="00EF7737" w:rsidRPr="00BA6A9E" w:rsidRDefault="00EF7737" w:rsidP="008B10F1">
            <w:pPr>
              <w:pStyle w:val="af"/>
              <w:jc w:val="both"/>
              <w:rPr>
                <w:rFonts w:ascii="Times New Roman" w:hAnsi="Times New Roman" w:cs="Times New Roman"/>
                <w:sz w:val="22"/>
                <w:szCs w:val="22"/>
                <w:lang w:val="ru-RU"/>
              </w:rPr>
            </w:pPr>
            <w:r w:rsidRPr="0001071D">
              <w:rPr>
                <w:rFonts w:ascii="Times New Roman" w:hAnsi="Times New Roman" w:cs="Times New Roman"/>
                <w:sz w:val="22"/>
                <w:szCs w:val="22"/>
                <w:lang w:val="ru-RU"/>
              </w:rPr>
              <w:t>•</w:t>
            </w:r>
            <w:r w:rsidRPr="0001071D">
              <w:rPr>
                <w:rFonts w:ascii="Times New Roman" w:hAnsi="Times New Roman" w:cs="Times New Roman"/>
                <w:sz w:val="22"/>
                <w:szCs w:val="22"/>
                <w:lang w:val="ru-RU"/>
              </w:rPr>
              <w:tab/>
              <w:t>Открытого паевого инвестиционного фонда акций «Екатерина Великая».</w:t>
            </w:r>
          </w:p>
        </w:tc>
        <w:tc>
          <w:tcPr>
            <w:tcW w:w="5386" w:type="dxa"/>
            <w:tcBorders>
              <w:top w:val="single" w:sz="4" w:space="0" w:color="auto"/>
              <w:left w:val="single" w:sz="4" w:space="0" w:color="auto"/>
              <w:bottom w:val="single" w:sz="4" w:space="0" w:color="auto"/>
              <w:right w:val="single" w:sz="4" w:space="0" w:color="auto"/>
            </w:tcBorders>
          </w:tcPr>
          <w:p w:rsidR="00EF7737" w:rsidRPr="00A31397" w:rsidRDefault="00EF7737" w:rsidP="008B10F1">
            <w:pPr>
              <w:pStyle w:val="ConsNormal"/>
              <w:ind w:firstLine="34"/>
              <w:rPr>
                <w:rFonts w:ascii="Times New Roman" w:hAnsi="Times New Roman" w:cs="Times New Roman"/>
                <w:sz w:val="22"/>
                <w:szCs w:val="22"/>
              </w:rPr>
            </w:pPr>
            <w:r w:rsidRPr="00A31397">
              <w:rPr>
                <w:rFonts w:ascii="Times New Roman" w:hAnsi="Times New Roman" w:cs="Times New Roman"/>
                <w:sz w:val="22"/>
                <w:szCs w:val="22"/>
              </w:rPr>
              <w:t>85. Инвестиционные паи могут обмениваться на инвестиционные паи:</w:t>
            </w:r>
          </w:p>
          <w:p w:rsidR="00EF7737" w:rsidRPr="00A31397" w:rsidRDefault="00EF7737" w:rsidP="00EF7737">
            <w:pPr>
              <w:pStyle w:val="ConsNormal"/>
              <w:numPr>
                <w:ilvl w:val="0"/>
                <w:numId w:val="27"/>
              </w:numPr>
              <w:ind w:left="0" w:firstLine="34"/>
              <w:rPr>
                <w:rFonts w:ascii="Times New Roman" w:hAnsi="Times New Roman" w:cs="Times New Roman"/>
                <w:sz w:val="22"/>
                <w:szCs w:val="22"/>
              </w:rPr>
            </w:pPr>
            <w:r w:rsidRPr="00A31397">
              <w:rPr>
                <w:rFonts w:ascii="Times New Roman" w:hAnsi="Times New Roman" w:cs="Times New Roman"/>
                <w:sz w:val="22"/>
                <w:szCs w:val="22"/>
              </w:rPr>
              <w:t>Открытого паевого инвестиционного фонда смешанных инвестиций «БКС Империя»;</w:t>
            </w:r>
          </w:p>
          <w:p w:rsidR="00EF7737" w:rsidRPr="00A31397" w:rsidRDefault="00EF7737" w:rsidP="00EF7737">
            <w:pPr>
              <w:pStyle w:val="ConsNormal"/>
              <w:numPr>
                <w:ilvl w:val="0"/>
                <w:numId w:val="27"/>
              </w:numPr>
              <w:ind w:left="0" w:firstLine="34"/>
              <w:rPr>
                <w:rFonts w:ascii="Times New Roman" w:hAnsi="Times New Roman" w:cs="Times New Roman"/>
                <w:sz w:val="22"/>
                <w:szCs w:val="22"/>
              </w:rPr>
            </w:pPr>
            <w:r w:rsidRPr="00A31397">
              <w:rPr>
                <w:rFonts w:ascii="Times New Roman" w:hAnsi="Times New Roman" w:cs="Times New Roman"/>
                <w:sz w:val="22"/>
                <w:szCs w:val="22"/>
              </w:rPr>
              <w:t>Открытого паевого инвестиционного фонда облигаций «БКС Основа»;</w:t>
            </w:r>
          </w:p>
          <w:p w:rsidR="00EF7737" w:rsidRPr="00A31397" w:rsidRDefault="00EF7737" w:rsidP="00EF7737">
            <w:pPr>
              <w:pStyle w:val="ConsNormal"/>
              <w:numPr>
                <w:ilvl w:val="0"/>
                <w:numId w:val="27"/>
              </w:numPr>
              <w:ind w:left="0" w:firstLine="34"/>
              <w:rPr>
                <w:rFonts w:ascii="Times New Roman" w:hAnsi="Times New Roman" w:cs="Times New Roman"/>
                <w:sz w:val="22"/>
                <w:szCs w:val="22"/>
              </w:rPr>
            </w:pPr>
            <w:r w:rsidRPr="00A31397">
              <w:rPr>
                <w:rFonts w:ascii="Times New Roman" w:hAnsi="Times New Roman" w:cs="Times New Roman"/>
                <w:sz w:val="22"/>
                <w:szCs w:val="22"/>
              </w:rPr>
              <w:t>Открытого индексного паевого инвестиционного фонда «БКС Индекс ММВБ»;</w:t>
            </w:r>
          </w:p>
          <w:p w:rsidR="00EF7737" w:rsidRPr="00A31397" w:rsidRDefault="00EF7737" w:rsidP="00EF7737">
            <w:pPr>
              <w:pStyle w:val="ConsNormal"/>
              <w:numPr>
                <w:ilvl w:val="0"/>
                <w:numId w:val="27"/>
              </w:numPr>
              <w:ind w:left="0" w:firstLine="34"/>
              <w:rPr>
                <w:rFonts w:ascii="Times New Roman" w:hAnsi="Times New Roman" w:cs="Times New Roman"/>
                <w:sz w:val="22"/>
                <w:szCs w:val="22"/>
              </w:rPr>
            </w:pPr>
            <w:r w:rsidRPr="00A31397">
              <w:rPr>
                <w:rFonts w:ascii="Times New Roman" w:hAnsi="Times New Roman" w:cs="Times New Roman"/>
                <w:sz w:val="22"/>
                <w:szCs w:val="22"/>
              </w:rPr>
              <w:t>Открытого паевого инвестиционного фонда смешанных инвестиций «БКС Перспектива»;</w:t>
            </w:r>
          </w:p>
          <w:p w:rsidR="00EF7737" w:rsidRPr="00A31397" w:rsidRDefault="00EF7737" w:rsidP="00EF7737">
            <w:pPr>
              <w:pStyle w:val="ConsNormal"/>
              <w:numPr>
                <w:ilvl w:val="0"/>
                <w:numId w:val="27"/>
              </w:numPr>
              <w:ind w:left="0" w:firstLine="34"/>
              <w:rPr>
                <w:sz w:val="22"/>
                <w:szCs w:val="22"/>
              </w:rPr>
            </w:pPr>
            <w:r w:rsidRPr="00A31397">
              <w:rPr>
                <w:rFonts w:ascii="Times New Roman" w:hAnsi="Times New Roman" w:cs="Times New Roman"/>
                <w:sz w:val="22"/>
                <w:szCs w:val="22"/>
              </w:rPr>
              <w:t>Открытого паевого инвестиционного фонда фондов «БКС Фонды США».</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Default="00EF7737"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Подписант</w:t>
            </w:r>
          </w:p>
          <w:p w:rsidR="00EF7737" w:rsidRPr="000F7324" w:rsidRDefault="00EF7737" w:rsidP="008B10F1">
            <w:pPr>
              <w:pStyle w:val="af"/>
              <w:jc w:val="both"/>
              <w:rPr>
                <w:rFonts w:ascii="Times New Roman" w:hAnsi="Times New Roman" w:cs="Times New Roman"/>
                <w:sz w:val="22"/>
                <w:szCs w:val="22"/>
                <w:lang w:val="ru-RU"/>
              </w:rPr>
            </w:pPr>
            <w:r w:rsidRPr="000F7324">
              <w:rPr>
                <w:rFonts w:ascii="Times New Roman" w:hAnsi="Times New Roman" w:cs="Times New Roman"/>
                <w:sz w:val="22"/>
                <w:szCs w:val="22"/>
                <w:lang w:val="ru-RU"/>
              </w:rPr>
              <w:t>Генеральный директор</w:t>
            </w:r>
            <w:r>
              <w:rPr>
                <w:rFonts w:ascii="Times New Roman" w:hAnsi="Times New Roman" w:cs="Times New Roman"/>
                <w:sz w:val="22"/>
                <w:szCs w:val="22"/>
                <w:lang w:val="ru-RU"/>
              </w:rPr>
              <w:t xml:space="preserve">               </w:t>
            </w:r>
            <w:r w:rsidRPr="000F7324">
              <w:rPr>
                <w:rFonts w:ascii="Times New Roman" w:hAnsi="Times New Roman" w:cs="Times New Roman"/>
                <w:sz w:val="22"/>
                <w:szCs w:val="22"/>
                <w:lang w:val="ru-RU"/>
              </w:rPr>
              <w:t xml:space="preserve">А.Ф. </w:t>
            </w:r>
            <w:proofErr w:type="spellStart"/>
            <w:r w:rsidRPr="000F7324">
              <w:rPr>
                <w:rFonts w:ascii="Times New Roman" w:hAnsi="Times New Roman" w:cs="Times New Roman"/>
                <w:sz w:val="22"/>
                <w:szCs w:val="22"/>
                <w:lang w:val="ru-RU"/>
              </w:rPr>
              <w:t>Галимнуров</w:t>
            </w:r>
            <w:proofErr w:type="spellEnd"/>
          </w:p>
          <w:p w:rsidR="00EF7737" w:rsidRPr="00615889" w:rsidRDefault="00EF7737" w:rsidP="008B10F1">
            <w:pPr>
              <w:pStyle w:val="af"/>
              <w:jc w:val="both"/>
              <w:rPr>
                <w:rFonts w:ascii="Times New Roman" w:hAnsi="Times New Roman" w:cs="Times New Roman"/>
                <w:sz w:val="22"/>
                <w:szCs w:val="22"/>
                <w:lang w:val="ru-RU"/>
              </w:rPr>
            </w:pPr>
            <w:r w:rsidRPr="000F7324">
              <w:rPr>
                <w:rFonts w:ascii="Times New Roman" w:hAnsi="Times New Roman" w:cs="Times New Roman"/>
                <w:sz w:val="22"/>
                <w:szCs w:val="22"/>
                <w:lang w:val="ru-RU"/>
              </w:rPr>
              <w:t>ООО «УК «Б</w:t>
            </w:r>
            <w:r>
              <w:rPr>
                <w:rFonts w:ascii="Times New Roman" w:hAnsi="Times New Roman" w:cs="Times New Roman"/>
                <w:sz w:val="22"/>
                <w:szCs w:val="22"/>
                <w:lang w:val="ru-RU"/>
              </w:rPr>
              <w:t>К</w:t>
            </w:r>
            <w:r w:rsidRPr="000F7324">
              <w:rPr>
                <w:rFonts w:ascii="Times New Roman" w:hAnsi="Times New Roman" w:cs="Times New Roman"/>
                <w:sz w:val="22"/>
                <w:szCs w:val="22"/>
                <w:lang w:val="ru-RU"/>
              </w:rPr>
              <w:t xml:space="preserve">-Сбережения» </w:t>
            </w:r>
            <w:r w:rsidRPr="000F7324">
              <w:rPr>
                <w:rFonts w:ascii="Times New Roman" w:hAnsi="Times New Roman" w:cs="Times New Roman"/>
                <w:sz w:val="22"/>
                <w:szCs w:val="22"/>
                <w:lang w:val="ru-RU"/>
              </w:rPr>
              <w:tab/>
              <w:t xml:space="preserve">                                                                        </w:t>
            </w:r>
          </w:p>
        </w:tc>
        <w:tc>
          <w:tcPr>
            <w:tcW w:w="5386" w:type="dxa"/>
            <w:tcBorders>
              <w:top w:val="single" w:sz="4" w:space="0" w:color="auto"/>
              <w:left w:val="single" w:sz="4" w:space="0" w:color="auto"/>
              <w:bottom w:val="single" w:sz="4" w:space="0" w:color="auto"/>
              <w:right w:val="single" w:sz="4" w:space="0" w:color="auto"/>
            </w:tcBorders>
          </w:tcPr>
          <w:p w:rsidR="00EF7737" w:rsidRPr="00336F30" w:rsidRDefault="00EF7737" w:rsidP="008B10F1">
            <w:pPr>
              <w:pStyle w:val="ConsNormal"/>
              <w:ind w:firstLine="34"/>
              <w:rPr>
                <w:rFonts w:ascii="Times New Roman" w:hAnsi="Times New Roman" w:cs="Times New Roman"/>
                <w:sz w:val="22"/>
                <w:szCs w:val="22"/>
              </w:rPr>
            </w:pPr>
            <w:r w:rsidRPr="00336F30">
              <w:rPr>
                <w:rFonts w:ascii="Times New Roman" w:hAnsi="Times New Roman" w:cs="Times New Roman"/>
                <w:sz w:val="22"/>
                <w:szCs w:val="22"/>
              </w:rPr>
              <w:t>Подписант</w:t>
            </w:r>
          </w:p>
          <w:p w:rsidR="00EF7737" w:rsidRPr="00336F30" w:rsidRDefault="00EF7737" w:rsidP="008B10F1">
            <w:pPr>
              <w:pStyle w:val="ConsNormal"/>
              <w:ind w:firstLine="34"/>
              <w:rPr>
                <w:rFonts w:ascii="Times New Roman" w:hAnsi="Times New Roman" w:cs="Times New Roman"/>
                <w:sz w:val="22"/>
                <w:szCs w:val="22"/>
              </w:rPr>
            </w:pPr>
            <w:r w:rsidRPr="00336F30">
              <w:rPr>
                <w:rFonts w:ascii="Times New Roman" w:hAnsi="Times New Roman" w:cs="Times New Roman"/>
                <w:sz w:val="22"/>
                <w:szCs w:val="22"/>
              </w:rPr>
              <w:t xml:space="preserve">Генеральный директор               </w:t>
            </w:r>
            <w:r>
              <w:rPr>
                <w:rFonts w:ascii="Times New Roman" w:hAnsi="Times New Roman" w:cs="Times New Roman"/>
                <w:sz w:val="22"/>
                <w:szCs w:val="22"/>
              </w:rPr>
              <w:t xml:space="preserve">            </w:t>
            </w:r>
            <w:r w:rsidRPr="00336F30">
              <w:rPr>
                <w:rFonts w:ascii="Times New Roman" w:hAnsi="Times New Roman" w:cs="Times New Roman"/>
                <w:sz w:val="22"/>
                <w:szCs w:val="22"/>
              </w:rPr>
              <w:t xml:space="preserve">А.Ф. </w:t>
            </w:r>
            <w:r>
              <w:rPr>
                <w:rFonts w:ascii="Times New Roman" w:hAnsi="Times New Roman" w:cs="Times New Roman"/>
                <w:sz w:val="22"/>
                <w:szCs w:val="22"/>
              </w:rPr>
              <w:t>Рахманов</w:t>
            </w:r>
          </w:p>
          <w:p w:rsidR="00EF7737" w:rsidRPr="009845C7" w:rsidRDefault="00EF7737" w:rsidP="008B10F1">
            <w:pPr>
              <w:pStyle w:val="ConsNormal"/>
              <w:ind w:firstLine="34"/>
              <w:rPr>
                <w:rFonts w:ascii="Times New Roman" w:hAnsi="Times New Roman" w:cs="Times New Roman"/>
                <w:sz w:val="22"/>
                <w:szCs w:val="22"/>
              </w:rPr>
            </w:pPr>
            <w:r>
              <w:rPr>
                <w:rFonts w:ascii="Times New Roman" w:hAnsi="Times New Roman" w:cs="Times New Roman"/>
                <w:sz w:val="22"/>
                <w:szCs w:val="22"/>
              </w:rPr>
              <w:t>АО УК «</w:t>
            </w:r>
            <w:r w:rsidRPr="00336F30">
              <w:rPr>
                <w:rFonts w:ascii="Times New Roman" w:hAnsi="Times New Roman" w:cs="Times New Roman"/>
                <w:sz w:val="22"/>
                <w:szCs w:val="22"/>
              </w:rPr>
              <w:t>Б</w:t>
            </w:r>
            <w:r>
              <w:rPr>
                <w:rFonts w:ascii="Times New Roman" w:hAnsi="Times New Roman" w:cs="Times New Roman"/>
                <w:sz w:val="22"/>
                <w:szCs w:val="22"/>
              </w:rPr>
              <w:t>К</w:t>
            </w:r>
            <w:r w:rsidRPr="00336F30">
              <w:rPr>
                <w:rFonts w:ascii="Times New Roman" w:hAnsi="Times New Roman" w:cs="Times New Roman"/>
                <w:sz w:val="22"/>
                <w:szCs w:val="22"/>
              </w:rPr>
              <w:t>С»</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foot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8A" w:rsidRDefault="000E588A">
      <w:r>
        <w:separator/>
      </w:r>
    </w:p>
  </w:endnote>
  <w:endnote w:type="continuationSeparator" w:id="0">
    <w:p w:rsidR="000E588A" w:rsidRDefault="000E5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C0" w:rsidRDefault="00CF60B8">
    <w:pPr>
      <w:pStyle w:val="a5"/>
      <w:jc w:val="right"/>
    </w:pPr>
    <w:fldSimple w:instr="PAGE   \* MERGEFORMAT">
      <w:r w:rsidR="00C06ED1">
        <w:rPr>
          <w:noProof/>
        </w:rPr>
        <w:t>1</w:t>
      </w:r>
    </w:fldSimple>
  </w:p>
  <w:p w:rsidR="003000C0" w:rsidRDefault="003000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8A" w:rsidRDefault="000E588A">
      <w:r>
        <w:separator/>
      </w:r>
    </w:p>
  </w:footnote>
  <w:footnote w:type="continuationSeparator" w:id="0">
    <w:p w:rsidR="000E588A" w:rsidRDefault="000E5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817A00">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2"/>
  </w:num>
  <w:num w:numId="27">
    <w:abstractNumId w:val="1"/>
  </w:num>
  <w:num w:numId="2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04CBF"/>
    <w:rsid w:val="0001071D"/>
    <w:rsid w:val="00010C4C"/>
    <w:rsid w:val="00011E88"/>
    <w:rsid w:val="00013CB6"/>
    <w:rsid w:val="0001553C"/>
    <w:rsid w:val="00022EE7"/>
    <w:rsid w:val="00023992"/>
    <w:rsid w:val="00026BC0"/>
    <w:rsid w:val="00031D8F"/>
    <w:rsid w:val="0003769E"/>
    <w:rsid w:val="000419CA"/>
    <w:rsid w:val="00064ED9"/>
    <w:rsid w:val="00070F4D"/>
    <w:rsid w:val="00076365"/>
    <w:rsid w:val="00092AF1"/>
    <w:rsid w:val="000958FC"/>
    <w:rsid w:val="000A0853"/>
    <w:rsid w:val="000A78EA"/>
    <w:rsid w:val="000C28D7"/>
    <w:rsid w:val="000C5113"/>
    <w:rsid w:val="000C7F2D"/>
    <w:rsid w:val="000D7022"/>
    <w:rsid w:val="000E1A01"/>
    <w:rsid w:val="000E588A"/>
    <w:rsid w:val="000F27F1"/>
    <w:rsid w:val="000F4A1A"/>
    <w:rsid w:val="000F562C"/>
    <w:rsid w:val="000F7324"/>
    <w:rsid w:val="00123242"/>
    <w:rsid w:val="0013264D"/>
    <w:rsid w:val="001333AB"/>
    <w:rsid w:val="001501D9"/>
    <w:rsid w:val="00175C79"/>
    <w:rsid w:val="001C5F46"/>
    <w:rsid w:val="001C78B9"/>
    <w:rsid w:val="001E29AE"/>
    <w:rsid w:val="001E57E0"/>
    <w:rsid w:val="001F1170"/>
    <w:rsid w:val="001F4100"/>
    <w:rsid w:val="002020A1"/>
    <w:rsid w:val="00210415"/>
    <w:rsid w:val="00224406"/>
    <w:rsid w:val="00225798"/>
    <w:rsid w:val="00226583"/>
    <w:rsid w:val="00233438"/>
    <w:rsid w:val="00246E38"/>
    <w:rsid w:val="00247D3B"/>
    <w:rsid w:val="00263C69"/>
    <w:rsid w:val="00272A9C"/>
    <w:rsid w:val="00273A08"/>
    <w:rsid w:val="002B7DCF"/>
    <w:rsid w:val="002F0109"/>
    <w:rsid w:val="002F705B"/>
    <w:rsid w:val="002F72F4"/>
    <w:rsid w:val="002F7F1B"/>
    <w:rsid w:val="003000C0"/>
    <w:rsid w:val="0032334D"/>
    <w:rsid w:val="00330CFA"/>
    <w:rsid w:val="0033163E"/>
    <w:rsid w:val="00332ACC"/>
    <w:rsid w:val="00336F30"/>
    <w:rsid w:val="003408AF"/>
    <w:rsid w:val="003511E2"/>
    <w:rsid w:val="00354C26"/>
    <w:rsid w:val="00374878"/>
    <w:rsid w:val="00376447"/>
    <w:rsid w:val="00382D6B"/>
    <w:rsid w:val="00383A54"/>
    <w:rsid w:val="003A7AEB"/>
    <w:rsid w:val="003B0AC5"/>
    <w:rsid w:val="003B6D1F"/>
    <w:rsid w:val="003C15B6"/>
    <w:rsid w:val="003D0198"/>
    <w:rsid w:val="003E1D04"/>
    <w:rsid w:val="003E3AA1"/>
    <w:rsid w:val="003F6EA9"/>
    <w:rsid w:val="00401255"/>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5AAE"/>
    <w:rsid w:val="004A64A5"/>
    <w:rsid w:val="004D2788"/>
    <w:rsid w:val="004E1ADC"/>
    <w:rsid w:val="004F17FA"/>
    <w:rsid w:val="004F4EAE"/>
    <w:rsid w:val="004F4F1F"/>
    <w:rsid w:val="00500454"/>
    <w:rsid w:val="0050777E"/>
    <w:rsid w:val="00513E16"/>
    <w:rsid w:val="005160B7"/>
    <w:rsid w:val="005307C2"/>
    <w:rsid w:val="005375D5"/>
    <w:rsid w:val="00553A10"/>
    <w:rsid w:val="00562FCF"/>
    <w:rsid w:val="00572656"/>
    <w:rsid w:val="00574E1F"/>
    <w:rsid w:val="00590864"/>
    <w:rsid w:val="00590F4B"/>
    <w:rsid w:val="005A7AF8"/>
    <w:rsid w:val="005B3FD9"/>
    <w:rsid w:val="005B79BE"/>
    <w:rsid w:val="005C628F"/>
    <w:rsid w:val="005C6318"/>
    <w:rsid w:val="005C73FD"/>
    <w:rsid w:val="005E2947"/>
    <w:rsid w:val="00604577"/>
    <w:rsid w:val="00612AF4"/>
    <w:rsid w:val="00615889"/>
    <w:rsid w:val="00647857"/>
    <w:rsid w:val="00661DCF"/>
    <w:rsid w:val="006751A4"/>
    <w:rsid w:val="00686FA1"/>
    <w:rsid w:val="006A1081"/>
    <w:rsid w:val="006A259A"/>
    <w:rsid w:val="006B373D"/>
    <w:rsid w:val="006B7655"/>
    <w:rsid w:val="006D11E9"/>
    <w:rsid w:val="006D3595"/>
    <w:rsid w:val="006D43BD"/>
    <w:rsid w:val="006E1AAD"/>
    <w:rsid w:val="006E45A7"/>
    <w:rsid w:val="006F03DA"/>
    <w:rsid w:val="006F38D6"/>
    <w:rsid w:val="00700D15"/>
    <w:rsid w:val="007071D6"/>
    <w:rsid w:val="007147ED"/>
    <w:rsid w:val="00734CB2"/>
    <w:rsid w:val="0073585D"/>
    <w:rsid w:val="00747163"/>
    <w:rsid w:val="007514C1"/>
    <w:rsid w:val="00780D37"/>
    <w:rsid w:val="00781348"/>
    <w:rsid w:val="007944BC"/>
    <w:rsid w:val="00797689"/>
    <w:rsid w:val="00797E5E"/>
    <w:rsid w:val="007A4276"/>
    <w:rsid w:val="007A7175"/>
    <w:rsid w:val="007B0A42"/>
    <w:rsid w:val="007B2918"/>
    <w:rsid w:val="007B3BBF"/>
    <w:rsid w:val="007B4A6F"/>
    <w:rsid w:val="007C713D"/>
    <w:rsid w:val="007D33A1"/>
    <w:rsid w:val="007D7A52"/>
    <w:rsid w:val="007F3131"/>
    <w:rsid w:val="007F7BB7"/>
    <w:rsid w:val="00807408"/>
    <w:rsid w:val="00807477"/>
    <w:rsid w:val="00815528"/>
    <w:rsid w:val="008174E0"/>
    <w:rsid w:val="00817A00"/>
    <w:rsid w:val="00832C54"/>
    <w:rsid w:val="008346F3"/>
    <w:rsid w:val="00834D90"/>
    <w:rsid w:val="008644D8"/>
    <w:rsid w:val="00894761"/>
    <w:rsid w:val="008B090C"/>
    <w:rsid w:val="008B10F1"/>
    <w:rsid w:val="008D12E1"/>
    <w:rsid w:val="008D228F"/>
    <w:rsid w:val="008D6BBE"/>
    <w:rsid w:val="00906373"/>
    <w:rsid w:val="00911FA0"/>
    <w:rsid w:val="00913A74"/>
    <w:rsid w:val="00913E71"/>
    <w:rsid w:val="00921AF1"/>
    <w:rsid w:val="00924462"/>
    <w:rsid w:val="00935298"/>
    <w:rsid w:val="00956E4D"/>
    <w:rsid w:val="00965FDA"/>
    <w:rsid w:val="0097344A"/>
    <w:rsid w:val="009845C7"/>
    <w:rsid w:val="00984CBC"/>
    <w:rsid w:val="0098764D"/>
    <w:rsid w:val="009903DE"/>
    <w:rsid w:val="009A03DD"/>
    <w:rsid w:val="009B5865"/>
    <w:rsid w:val="009B7B21"/>
    <w:rsid w:val="009C3D55"/>
    <w:rsid w:val="009D201F"/>
    <w:rsid w:val="009D616E"/>
    <w:rsid w:val="009F58D0"/>
    <w:rsid w:val="00A02CE6"/>
    <w:rsid w:val="00A05155"/>
    <w:rsid w:val="00A1576C"/>
    <w:rsid w:val="00A31397"/>
    <w:rsid w:val="00A508CC"/>
    <w:rsid w:val="00A50C6F"/>
    <w:rsid w:val="00A5268B"/>
    <w:rsid w:val="00A64015"/>
    <w:rsid w:val="00A76F57"/>
    <w:rsid w:val="00AA5353"/>
    <w:rsid w:val="00AB7AF7"/>
    <w:rsid w:val="00AC0978"/>
    <w:rsid w:val="00AC1292"/>
    <w:rsid w:val="00AD2680"/>
    <w:rsid w:val="00AD7B5A"/>
    <w:rsid w:val="00B00E56"/>
    <w:rsid w:val="00B24018"/>
    <w:rsid w:val="00B4391E"/>
    <w:rsid w:val="00B51900"/>
    <w:rsid w:val="00B5714D"/>
    <w:rsid w:val="00B624BC"/>
    <w:rsid w:val="00B679EB"/>
    <w:rsid w:val="00B70657"/>
    <w:rsid w:val="00B735A7"/>
    <w:rsid w:val="00B75588"/>
    <w:rsid w:val="00B819E3"/>
    <w:rsid w:val="00B845EC"/>
    <w:rsid w:val="00B84C39"/>
    <w:rsid w:val="00B86A3C"/>
    <w:rsid w:val="00B92CF9"/>
    <w:rsid w:val="00BA6A9E"/>
    <w:rsid w:val="00BC2C76"/>
    <w:rsid w:val="00BD408E"/>
    <w:rsid w:val="00BD646F"/>
    <w:rsid w:val="00BF3B8C"/>
    <w:rsid w:val="00BF49A3"/>
    <w:rsid w:val="00C00C71"/>
    <w:rsid w:val="00C02D63"/>
    <w:rsid w:val="00C06ED1"/>
    <w:rsid w:val="00C12D9A"/>
    <w:rsid w:val="00C167E5"/>
    <w:rsid w:val="00C21FEF"/>
    <w:rsid w:val="00C2557B"/>
    <w:rsid w:val="00C25CF7"/>
    <w:rsid w:val="00C32B8E"/>
    <w:rsid w:val="00C37EEF"/>
    <w:rsid w:val="00C401A8"/>
    <w:rsid w:val="00C5480E"/>
    <w:rsid w:val="00C56D80"/>
    <w:rsid w:val="00C57B15"/>
    <w:rsid w:val="00C608E9"/>
    <w:rsid w:val="00C64F39"/>
    <w:rsid w:val="00C65592"/>
    <w:rsid w:val="00C7202C"/>
    <w:rsid w:val="00C8720D"/>
    <w:rsid w:val="00C9268F"/>
    <w:rsid w:val="00C9297B"/>
    <w:rsid w:val="00CB43D7"/>
    <w:rsid w:val="00CC1AEA"/>
    <w:rsid w:val="00CD09A4"/>
    <w:rsid w:val="00CD379D"/>
    <w:rsid w:val="00CE2EA9"/>
    <w:rsid w:val="00CE5C59"/>
    <w:rsid w:val="00CF0752"/>
    <w:rsid w:val="00CF60B8"/>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75F02"/>
    <w:rsid w:val="00D90A6D"/>
    <w:rsid w:val="00D95D0E"/>
    <w:rsid w:val="00DA0ADF"/>
    <w:rsid w:val="00DB03C0"/>
    <w:rsid w:val="00DC5DCD"/>
    <w:rsid w:val="00DD6225"/>
    <w:rsid w:val="00DD6CBC"/>
    <w:rsid w:val="00DE5438"/>
    <w:rsid w:val="00DE61D3"/>
    <w:rsid w:val="00E0450B"/>
    <w:rsid w:val="00E12CB3"/>
    <w:rsid w:val="00E14AC9"/>
    <w:rsid w:val="00E21242"/>
    <w:rsid w:val="00E25A97"/>
    <w:rsid w:val="00E279CF"/>
    <w:rsid w:val="00E377A0"/>
    <w:rsid w:val="00E410C7"/>
    <w:rsid w:val="00E44D18"/>
    <w:rsid w:val="00E47489"/>
    <w:rsid w:val="00E47FFA"/>
    <w:rsid w:val="00E50554"/>
    <w:rsid w:val="00E55D63"/>
    <w:rsid w:val="00E55E0A"/>
    <w:rsid w:val="00E5640D"/>
    <w:rsid w:val="00E5663F"/>
    <w:rsid w:val="00E63C74"/>
    <w:rsid w:val="00E654DB"/>
    <w:rsid w:val="00E70E0C"/>
    <w:rsid w:val="00E722F7"/>
    <w:rsid w:val="00E85FCD"/>
    <w:rsid w:val="00E97E0D"/>
    <w:rsid w:val="00EA0A96"/>
    <w:rsid w:val="00EA3799"/>
    <w:rsid w:val="00EB06DB"/>
    <w:rsid w:val="00EB1A19"/>
    <w:rsid w:val="00EB3F2D"/>
    <w:rsid w:val="00EB7045"/>
    <w:rsid w:val="00EC0264"/>
    <w:rsid w:val="00EC041F"/>
    <w:rsid w:val="00EC146F"/>
    <w:rsid w:val="00EC695A"/>
    <w:rsid w:val="00ED3564"/>
    <w:rsid w:val="00ED5619"/>
    <w:rsid w:val="00EE1E1B"/>
    <w:rsid w:val="00EE2B1B"/>
    <w:rsid w:val="00EE57EB"/>
    <w:rsid w:val="00EF0FE5"/>
    <w:rsid w:val="00EF7737"/>
    <w:rsid w:val="00F33D0F"/>
    <w:rsid w:val="00F4071E"/>
    <w:rsid w:val="00F454C1"/>
    <w:rsid w:val="00F551E8"/>
    <w:rsid w:val="00F5595B"/>
    <w:rsid w:val="00F663BF"/>
    <w:rsid w:val="00F73763"/>
    <w:rsid w:val="00F766B4"/>
    <w:rsid w:val="00F874DA"/>
    <w:rsid w:val="00F87DAD"/>
    <w:rsid w:val="00F90B54"/>
    <w:rsid w:val="00F97C2E"/>
    <w:rsid w:val="00FA0293"/>
    <w:rsid w:val="00FA038F"/>
    <w:rsid w:val="00FA2E63"/>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B8"/>
    <w:rPr>
      <w:sz w:val="24"/>
      <w:szCs w:val="24"/>
    </w:rPr>
  </w:style>
  <w:style w:type="paragraph" w:styleId="1">
    <w:name w:val="heading 1"/>
    <w:basedOn w:val="a"/>
    <w:next w:val="a"/>
    <w:link w:val="10"/>
    <w:uiPriority w:val="9"/>
    <w:qFormat/>
    <w:rsid w:val="00CF60B8"/>
    <w:pPr>
      <w:keepNext/>
      <w:outlineLvl w:val="0"/>
    </w:pPr>
    <w:rPr>
      <w:rFonts w:ascii="Arial" w:hAnsi="Arial" w:cs="Arial"/>
      <w:b/>
      <w:bCs/>
      <w:sz w:val="18"/>
    </w:rPr>
  </w:style>
  <w:style w:type="paragraph" w:styleId="20">
    <w:name w:val="heading 2"/>
    <w:basedOn w:val="a"/>
    <w:next w:val="a"/>
    <w:link w:val="21"/>
    <w:uiPriority w:val="9"/>
    <w:qFormat/>
    <w:rsid w:val="00CF60B8"/>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60B8"/>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CF60B8"/>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CF60B8"/>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CF60B8"/>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CF60B8"/>
    <w:rPr>
      <w:rFonts w:cs="Times New Roman"/>
      <w:color w:val="0000FF"/>
      <w:u w:val="single"/>
    </w:rPr>
  </w:style>
  <w:style w:type="paragraph" w:styleId="a8">
    <w:name w:val="Body Text"/>
    <w:basedOn w:val="a"/>
    <w:link w:val="a9"/>
    <w:uiPriority w:val="99"/>
    <w:semiHidden/>
    <w:rsid w:val="00CF60B8"/>
    <w:pPr>
      <w:jc w:val="both"/>
    </w:pPr>
  </w:style>
  <w:style w:type="character" w:customStyle="1" w:styleId="a9">
    <w:name w:val="Основной текст Знак"/>
    <w:basedOn w:val="a0"/>
    <w:link w:val="a8"/>
    <w:uiPriority w:val="99"/>
    <w:semiHidden/>
    <w:locked/>
    <w:rsid w:val="00CF60B8"/>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25150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18.04.2017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1931-699B-488B-BC15-EC7E90B307D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75CE1D8-D046-4B0F-9853-A321F820A5CF}">
  <ds:schemaRefs>
    <ds:schemaRef ds:uri="http://schemas.microsoft.com/sharepoint/v3/contenttype/forms"/>
  </ds:schemaRefs>
</ds:datastoreItem>
</file>

<file path=customXml/itemProps3.xml><?xml version="1.0" encoding="utf-8"?>
<ds:datastoreItem xmlns:ds="http://schemas.openxmlformats.org/officeDocument/2006/customXml" ds:itemID="{D70A7E04-9071-4030-880F-ED26EFBE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A8C9E3-0A63-4A29-872D-778BD760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2139</Words>
  <Characters>12198</Characters>
  <Application>Microsoft Office Word</Application>
  <DocSecurity>0</DocSecurity>
  <Lines>101</Lines>
  <Paragraphs>28</Paragraphs>
  <ScaleCrop>false</ScaleCrop>
  <Company>bcs</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gluskina</cp:lastModifiedBy>
  <cp:revision>2</cp:revision>
  <cp:lastPrinted>2015-10-21T11:33:00Z</cp:lastPrinted>
  <dcterms:created xsi:type="dcterms:W3CDTF">2017-04-28T15:39:00Z</dcterms:created>
  <dcterms:modified xsi:type="dcterms:W3CDTF">2017-04-28T15:39:00Z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