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  <w:r>
        <w:t xml:space="preserve">                                                             </w:t>
      </w:r>
    </w:p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tbl>
      <w:tblPr>
        <w:tblW w:w="4050" w:type="dxa"/>
        <w:tblInd w:w="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</w:tblGrid>
      <w:tr w:rsidR="00B64CBD" w:rsidTr="00B64CBD">
        <w:trPr>
          <w:trHeight w:val="20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64CBD" w:rsidRPr="00B64CBD" w:rsidRDefault="00B64CBD" w:rsidP="00B64CBD">
            <w:pPr>
              <w:shd w:val="clear" w:color="auto" w:fill="FFFFFF"/>
              <w:spacing w:line="289" w:lineRule="exact"/>
              <w:ind w:right="141"/>
              <w:rPr>
                <w:b/>
              </w:rPr>
            </w:pPr>
            <w:r w:rsidRPr="00B64CBD">
              <w:rPr>
                <w:b/>
              </w:rPr>
              <w:t>УТВЕРЖДЕНЫ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Приказом от «</w:t>
            </w:r>
            <w:r w:rsidR="00732020">
              <w:t>15» января</w:t>
            </w:r>
            <w:r w:rsidR="00BA149C">
              <w:t xml:space="preserve"> </w:t>
            </w:r>
            <w:r w:rsidRPr="00390D6D">
              <w:t>201</w:t>
            </w:r>
            <w:r w:rsidR="00E64820">
              <w:t>6</w:t>
            </w:r>
            <w:r w:rsidRPr="00390D6D">
              <w:t>г.</w:t>
            </w:r>
            <w:r>
              <w:t xml:space="preserve">                                                                                            </w:t>
            </w:r>
            <w:r w:rsidRPr="00390D6D">
              <w:t>№ РС-</w:t>
            </w:r>
            <w:r w:rsidR="00732020">
              <w:t>02</w:t>
            </w:r>
            <w:r w:rsidRPr="00390D6D">
              <w:t>-1</w:t>
            </w:r>
            <w:r w:rsidR="00E64820">
              <w:t>6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  <w:r>
              <w:t xml:space="preserve">Генеральный  директор </w:t>
            </w:r>
          </w:p>
          <w:p w:rsidR="00B64CBD" w:rsidRPr="00390D6D" w:rsidRDefault="00B93EDA" w:rsidP="00B64CBD">
            <w:pPr>
              <w:shd w:val="clear" w:color="auto" w:fill="FFFFFF"/>
              <w:spacing w:line="289" w:lineRule="exact"/>
              <w:ind w:right="141"/>
            </w:pPr>
            <w:r>
              <w:t>ООО «УК «БК-Сбережения</w:t>
            </w:r>
            <w:r w:rsidR="00B64CBD" w:rsidRPr="00390D6D">
              <w:t>»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_______________ /</w:t>
            </w:r>
            <w:r w:rsidR="00F02D4C">
              <w:t>И.А. Ванин</w:t>
            </w:r>
            <w:r w:rsidRPr="00390D6D">
              <w:t>/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C9774E" w:rsidP="00B64CBD">
            <w:pPr>
              <w:shd w:val="clear" w:color="auto" w:fill="FFFFFF"/>
              <w:spacing w:line="289" w:lineRule="exact"/>
              <w:ind w:right="141"/>
            </w:pPr>
            <w:r>
              <w:t>м.п.</w:t>
            </w:r>
          </w:p>
        </w:tc>
      </w:tr>
    </w:tbl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822B3E" w:rsidRPr="00DE7009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E64820">
        <w:rPr>
          <w:b/>
          <w:bCs/>
        </w:rPr>
        <w:t>7</w:t>
      </w:r>
    </w:p>
    <w:p w:rsidR="00513E16" w:rsidRDefault="00822B3E" w:rsidP="00EF592F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EF592F">
        <w:rPr>
          <w:b/>
          <w:bCs/>
        </w:rPr>
        <w:t>в Правила доверительного управления  Открытым  паев</w:t>
      </w:r>
      <w:r w:rsidR="006F4E18">
        <w:rPr>
          <w:b/>
          <w:bCs/>
        </w:rPr>
        <w:t>ым инвестиционным фондом фондов  «Русский Стандарт - Золото</w:t>
      </w:r>
      <w:r w:rsidR="00EF592F">
        <w:rPr>
          <w:b/>
          <w:bCs/>
        </w:rPr>
        <w:t xml:space="preserve"> </w:t>
      </w:r>
      <w:r w:rsidR="00513E16">
        <w:rPr>
          <w:b/>
          <w:bCs/>
        </w:rPr>
        <w:t>»</w:t>
      </w:r>
    </w:p>
    <w:p w:rsidR="00882703" w:rsidRDefault="00513E16" w:rsidP="00776D27">
      <w:pPr>
        <w:jc w:val="center"/>
        <w:rPr>
          <w:b/>
          <w:bCs/>
        </w:rPr>
      </w:pPr>
      <w:proofErr w:type="gramStart"/>
      <w:r w:rsidRPr="00513E16">
        <w:rPr>
          <w:b/>
          <w:bCs/>
        </w:rPr>
        <w:t>(</w:t>
      </w:r>
      <w:r w:rsidR="00822B3E" w:rsidRPr="00513E16">
        <w:rPr>
          <w:b/>
          <w:bCs/>
        </w:rPr>
        <w:t>Правила</w:t>
      </w:r>
      <w:r w:rsidR="00B64CBD">
        <w:rPr>
          <w:b/>
          <w:bCs/>
        </w:rPr>
        <w:t xml:space="preserve"> довери</w:t>
      </w:r>
      <w:r w:rsidR="00EF592F">
        <w:rPr>
          <w:b/>
          <w:bCs/>
        </w:rPr>
        <w:t>тельного управления Открытым</w:t>
      </w:r>
      <w:r w:rsidR="00B64CBD">
        <w:rPr>
          <w:b/>
          <w:bCs/>
        </w:rPr>
        <w:t xml:space="preserve"> паевым инвес</w:t>
      </w:r>
      <w:r w:rsidR="006F4E18">
        <w:rPr>
          <w:b/>
          <w:bCs/>
        </w:rPr>
        <w:t xml:space="preserve">тиционным фондом фондов  «Русский Стандарт - Золото » </w:t>
      </w:r>
      <w:r w:rsidR="00EF592F">
        <w:rPr>
          <w:b/>
          <w:bCs/>
        </w:rPr>
        <w:t xml:space="preserve"> </w:t>
      </w:r>
      <w:r w:rsidR="00822B3E" w:rsidRPr="00513E16">
        <w:rPr>
          <w:b/>
          <w:bCs/>
        </w:rPr>
        <w:t xml:space="preserve">зарегистрированы </w:t>
      </w:r>
      <w:r w:rsidR="00723371" w:rsidRPr="00513E16">
        <w:rPr>
          <w:b/>
          <w:bCs/>
        </w:rPr>
        <w:t>ФСФР России</w:t>
      </w:r>
      <w:r w:rsidR="00822B3E" w:rsidRPr="00513E16">
        <w:rPr>
          <w:b/>
          <w:bCs/>
        </w:rPr>
        <w:t xml:space="preserve"> </w:t>
      </w:r>
      <w:proofErr w:type="gramEnd"/>
    </w:p>
    <w:p w:rsidR="00822B3E" w:rsidRPr="00513E16" w:rsidRDefault="006F4E18" w:rsidP="00776D27">
      <w:pPr>
        <w:jc w:val="center"/>
        <w:rPr>
          <w:b/>
          <w:bCs/>
        </w:rPr>
      </w:pPr>
      <w:r>
        <w:rPr>
          <w:b/>
          <w:bCs/>
        </w:rPr>
        <w:t>за № 2515</w:t>
      </w:r>
      <w:r w:rsidR="00882703">
        <w:rPr>
          <w:b/>
          <w:bCs/>
        </w:rPr>
        <w:t xml:space="preserve"> от </w:t>
      </w:r>
      <w:r>
        <w:rPr>
          <w:b/>
          <w:bCs/>
        </w:rPr>
        <w:t xml:space="preserve">27 декабря </w:t>
      </w:r>
      <w:r w:rsidR="00882703" w:rsidRPr="00513E16">
        <w:rPr>
          <w:b/>
          <w:bCs/>
        </w:rPr>
        <w:t>2012 г.</w:t>
      </w:r>
      <w:r w:rsidR="00513E16" w:rsidRPr="00513E16">
        <w:rPr>
          <w:b/>
          <w:bCs/>
        </w:rPr>
        <w:t>)</w:t>
      </w:r>
    </w:p>
    <w:p w:rsidR="00705450" w:rsidRPr="006D3595" w:rsidRDefault="00705450" w:rsidP="00776D27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6"/>
        <w:gridCol w:w="5239"/>
      </w:tblGrid>
      <w:tr w:rsidR="00C9774E" w:rsidRPr="0097344A" w:rsidTr="00096A8F">
        <w:trPr>
          <w:trHeight w:val="42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Default="00C9774E" w:rsidP="00096A8F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  <w:p w:rsidR="00C9774E" w:rsidRPr="0097344A" w:rsidRDefault="00C9774E" w:rsidP="00096A8F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Pr="0097344A" w:rsidRDefault="00C9774E" w:rsidP="00096A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E64820" w:rsidRPr="00A54CE2" w:rsidTr="00096A8F">
        <w:trPr>
          <w:trHeight w:val="6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0" w:rsidRPr="00A54CE2" w:rsidRDefault="00E64820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4. Полное фирменное наименование управляющей компании Фонда (далее - Управляющая компания): Общество с ограниченной ответственностью «Управляющая компания «Русский Стандарт».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0" w:rsidRPr="00A54CE2" w:rsidRDefault="00E64820" w:rsidP="00096A8F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D44E47">
              <w:t xml:space="preserve">4. </w:t>
            </w:r>
            <w:r w:rsidRPr="00A54CE2">
              <w:t xml:space="preserve">Полное фирменное наименование управляющей компании Фонда (далее - Управляющая компания): </w:t>
            </w:r>
            <w:r>
              <w:rPr>
                <w:b/>
                <w:color w:val="000000"/>
              </w:rPr>
              <w:t xml:space="preserve">Общество с ограниченной </w:t>
            </w:r>
            <w:r w:rsidRPr="00A54CE2">
              <w:rPr>
                <w:b/>
                <w:color w:val="000000"/>
              </w:rPr>
              <w:t>ответственностью «Управляющая компания «БК-Сбережения»</w:t>
            </w:r>
            <w:r w:rsidRPr="00A54CE2">
              <w:rPr>
                <w:color w:val="000000"/>
              </w:rPr>
              <w:t>.</w:t>
            </w:r>
          </w:p>
        </w:tc>
      </w:tr>
      <w:tr w:rsidR="00E64820" w:rsidRPr="00A54CE2" w:rsidTr="00096A8F">
        <w:trPr>
          <w:trHeight w:val="103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0" w:rsidRPr="00A54CE2" w:rsidRDefault="00E64820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5. Место нахождения Управляющей компании: Российская Федерация, 105187, г. Москва, ул. Ткацкая, д. 36, комната № 227.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0" w:rsidRPr="00A54CE2" w:rsidRDefault="00E64820" w:rsidP="00096A8F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D44E47">
              <w:t>5</w:t>
            </w:r>
            <w:r w:rsidRPr="00A54CE2">
              <w:t xml:space="preserve">. Место нахождения Управляющей компании: </w:t>
            </w:r>
            <w:r w:rsidRPr="00A54CE2">
              <w:rPr>
                <w:b/>
                <w:color w:val="000000"/>
              </w:rPr>
              <w:t>Российская Федерация, 129110, г. Москва, проспект Мира, д.69, строение 1.</w:t>
            </w:r>
          </w:p>
        </w:tc>
      </w:tr>
      <w:tr w:rsidR="00D917B9" w:rsidRPr="0097344A" w:rsidTr="00096A8F">
        <w:trPr>
          <w:trHeight w:val="50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47. Порядок подачи заявок на приобретение инвестиционных паев: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приобретение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>Заявка на приобретение инвестиционных паев вместе с комплектом документов, требующихся 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компании: Российская Федерация, 105187, г. Москва, ул. Ткацкая, д. 36, комната № 227.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При этом все подписи лиц в заявке на приобретение инвестиционных паев,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В том случае, если заявка на приобретение инвестиционных паев, заявление на открытие 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Датой и временем приема заявки на приобретение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D917B9" w:rsidRPr="00D917B9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B9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r w:rsidRPr="00D9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917B9" w:rsidRPr="007E519D" w:rsidRDefault="00D917B9" w:rsidP="00096A8F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>47. Порядок подачи заявок на приобретение инвестиционных паев: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приобретение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FD7138" w:rsidRPr="00625AEA" w:rsidRDefault="00D917B9" w:rsidP="00096A8F">
            <w:pPr>
              <w:ind w:right="33"/>
              <w:jc w:val="both"/>
              <w:rPr>
                <w:b/>
                <w:bCs/>
              </w:rPr>
            </w:pPr>
            <w:r w:rsidRPr="00D917B9">
              <w:rPr>
                <w:bCs/>
              </w:rPr>
              <w:t xml:space="preserve">Заявка на приобретение инвестиционных паев вместе с комплектом документов, требующихся </w:t>
            </w:r>
            <w:r w:rsidRPr="00D917B9">
              <w:rPr>
                <w:bCs/>
              </w:rPr>
              <w:lastRenderedPageBreak/>
              <w:t xml:space="preserve">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компании: </w:t>
            </w:r>
            <w:r w:rsidR="00FD7138">
              <w:rPr>
                <w:b/>
                <w:bCs/>
              </w:rPr>
              <w:t xml:space="preserve">Российская Федерация, </w:t>
            </w:r>
            <w:r w:rsidR="00FD7138">
              <w:rPr>
                <w:b/>
                <w:color w:val="000000"/>
              </w:rPr>
              <w:t xml:space="preserve">129110, г. </w:t>
            </w:r>
            <w:r w:rsidR="00FD7138" w:rsidRPr="00A54CE2">
              <w:rPr>
                <w:b/>
                <w:color w:val="000000"/>
              </w:rPr>
              <w:t>Москва, проспект Мира, д.69, строение 1.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При этом все подписи лиц в заявке на приобретение инвестиционных паев,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В том случае, если заявка на приобретение инвестиционных паев, заявление на открытие 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Датой и временем приема заявки на приобретение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D917B9" w:rsidRPr="00D917B9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B9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r w:rsidRPr="00D9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917B9" w:rsidRPr="007E519D" w:rsidRDefault="00D917B9" w:rsidP="00096A8F"/>
        </w:tc>
      </w:tr>
      <w:tr w:rsidR="00D917B9" w:rsidRPr="0097344A" w:rsidTr="00096A8F">
        <w:trPr>
          <w:trHeight w:val="111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 xml:space="preserve">69.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 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 носят безотзывный характер.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 xml:space="preserve">Заявки на погашение инвестиционных паев подаются в следующем порядке: 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 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При подаче заявки на погашение инвестиционных паев по почте,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компании: Российская Федерация, 105187, г. Москва, ул. Ткацкая, д. 36, комната № 227.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При этом подпись лица, подписавшего заявку, должна быть нотариально удостоверенной. В том случае, если заявка на погашение инвестиционных паев подписана уполномоченным представителем заявителя,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Датой и временем приема заявки на погашение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D917B9" w:rsidRPr="00D917B9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</w:t>
            </w:r>
            <w:r w:rsidRPr="00D9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D917B9" w:rsidRDefault="00D917B9" w:rsidP="00096A8F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 xml:space="preserve">69.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 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 носят безотзывный характер.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 xml:space="preserve">Заявки на погашение инвестиционных паев подаются в следующем порядке: 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 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погашение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 xml:space="preserve">При подаче заявки на погашение инвестиционных паев по почте,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компании: </w:t>
            </w:r>
            <w:r w:rsidR="00FD7138">
              <w:rPr>
                <w:b/>
                <w:bCs/>
              </w:rPr>
              <w:t xml:space="preserve">Российская Федерация, </w:t>
            </w:r>
            <w:r w:rsidR="00FD7138">
              <w:rPr>
                <w:b/>
                <w:color w:val="000000"/>
              </w:rPr>
              <w:t xml:space="preserve">129110, г. </w:t>
            </w:r>
            <w:r w:rsidR="00FD7138" w:rsidRPr="00A54CE2">
              <w:rPr>
                <w:b/>
                <w:color w:val="000000"/>
              </w:rPr>
              <w:t>Москва, проспект Мира, д.69, строение 1.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При этом подпись лица, подписавшего заявку, должна быть нотариально удостоверенной. В том случае, если заявка на погашение инвестиционных паев подписана уполномоченным представителем заявителя,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Датой и временем приема заявки на погашение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D917B9" w:rsidRPr="00D917B9" w:rsidRDefault="00D917B9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</w:t>
            </w:r>
            <w:r w:rsidRPr="00D9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уведомлением о вручении на почтовый адрес, указанный в реестре владельцев инвестиционных паев.</w:t>
            </w:r>
          </w:p>
          <w:p w:rsidR="00D917B9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96A8F" w:rsidRDefault="00096A8F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96A8F" w:rsidRDefault="00096A8F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917B9" w:rsidRPr="0097344A" w:rsidTr="00096A8F">
        <w:trPr>
          <w:trHeight w:val="68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9" w:rsidRPr="00192C14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. При подаче </w:t>
            </w:r>
            <w:proofErr w:type="gramStart"/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gramEnd"/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 на погашение инвестиционных паёв </w:t>
            </w:r>
            <w:r w:rsidRPr="00192C1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Управляющей компании или</w:t>
            </w:r>
            <w:r w:rsidRPr="00192C14">
              <w:rPr>
                <w:bCs/>
              </w:rPr>
              <w:t xml:space="preserve"> </w:t>
            </w:r>
            <w:r w:rsidRPr="00192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агентам 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D917B9" w:rsidRPr="00192C14" w:rsidRDefault="00D917B9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  <w:r w:rsidRPr="00276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5 (Одна целая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тых) процента от расчётной стоимости инвестиционного пая в случае, если погашение инвестиционных паёв производится в срок менее </w:t>
            </w:r>
            <w:r w:rsidRPr="00BD0388">
              <w:rPr>
                <w:rFonts w:ascii="Times New Roman" w:hAnsi="Times New Roman" w:cs="Times New Roman"/>
                <w:sz w:val="24"/>
                <w:szCs w:val="24"/>
              </w:rPr>
              <w:t>170 (Ста семидесяти)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Pr="00192C14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7B9" w:rsidRPr="00192C14" w:rsidRDefault="00D917B9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- не взимается в случае, если погашение инвестиционных паёв производится в срок равный или более </w:t>
            </w:r>
            <w:r w:rsidRPr="00BD0388">
              <w:rPr>
                <w:rFonts w:ascii="Times New Roman" w:hAnsi="Times New Roman" w:cs="Times New Roman"/>
                <w:sz w:val="24"/>
                <w:szCs w:val="24"/>
              </w:rPr>
              <w:t>170 (Ста семидесяти)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Pr="00192C14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19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7B9" w:rsidRDefault="00D917B9" w:rsidP="00096A8F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Default="00D917B9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D917B9" w:rsidRPr="000D22CC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C">
              <w:rPr>
                <w:rFonts w:ascii="Times New Roman" w:hAnsi="Times New Roman" w:cs="Times New Roman"/>
                <w:sz w:val="24"/>
                <w:szCs w:val="24"/>
              </w:rPr>
              <w:t xml:space="preserve">79. При подаче </w:t>
            </w:r>
            <w:proofErr w:type="gramStart"/>
            <w:r w:rsidRPr="000D22CC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gramEnd"/>
            <w:r w:rsidRPr="000D22CC">
              <w:rPr>
                <w:rFonts w:ascii="Times New Roman" w:hAnsi="Times New Roman" w:cs="Times New Roman"/>
                <w:sz w:val="24"/>
                <w:szCs w:val="24"/>
              </w:rPr>
              <w:t xml:space="preserve"> на погашение инвестиционных паёв </w:t>
            </w:r>
            <w:r w:rsidRPr="000D2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Управляющей компании или</w:t>
            </w:r>
            <w:r w:rsidRPr="000D22CC">
              <w:rPr>
                <w:bCs/>
              </w:rPr>
              <w:t xml:space="preserve"> </w:t>
            </w:r>
            <w:r w:rsidRPr="000D2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агентам </w:t>
            </w:r>
            <w:r w:rsidRPr="000D22CC">
              <w:rPr>
                <w:rFonts w:ascii="Times New Roman" w:hAnsi="Times New Roman" w:cs="Times New Roman"/>
                <w:sz w:val="24"/>
                <w:szCs w:val="24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D917B9" w:rsidRPr="00211341" w:rsidRDefault="00D917B9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- 2,45 (Две целых сорок пять сотых) процента от расчётной стоимости инвестиционного пая в случае, если погашение инвестиционных паёв производится в срок менее или равный 180 (Ста восьмидесяти) дням </w:t>
            </w:r>
            <w:r w:rsidRPr="00211341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D7138" w:rsidRPr="00211341" w:rsidRDefault="00D917B9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>- 1,95 (Одна целая девяносто пять сотых) процента от расчётной стоимости инвестиционного пая в случае, если погашение инвестиционных паёв производится в срок более 180 (Ста восьмидесяти) дней</w:t>
            </w:r>
            <w:r w:rsidR="000D22CC"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 менее </w:t>
            </w:r>
            <w:r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365 (Трехсот шестидесяти пяти) дней </w:t>
            </w:r>
            <w:r w:rsidRPr="00211341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</w:t>
            </w:r>
            <w:r w:rsidR="00FD7138" w:rsidRPr="00211341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 данных инвестиционных паев на лицевой счет, с которого производится погашение данных инвестиционных паев</w:t>
            </w:r>
            <w:r w:rsidR="00FD7138"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D917B9" w:rsidRPr="00211341" w:rsidRDefault="00FD7138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 взимается в случае, если погашение инвестиционных паёв производится в срок равный или более 365 (Трехсот шестидесяти пяти) дней </w:t>
            </w:r>
            <w:r w:rsidRPr="00211341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211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6A8F" w:rsidRDefault="00096A8F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8F" w:rsidRPr="000D22CC" w:rsidRDefault="00096A8F" w:rsidP="00096A8F">
            <w:pPr>
              <w:pStyle w:val="ConsPlusNormal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D917B9" w:rsidRDefault="00D917B9" w:rsidP="0009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917B9" w:rsidRPr="0097344A" w:rsidTr="00096A8F">
        <w:trPr>
          <w:trHeight w:val="1268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>87. Заявки на обмен инвестиционных паев подаются в следующем порядке: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обмен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Управляющей компании: Российская Федерация, 105187, г. Москва, ул. Ткацкая, д.36, комната № 227.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При этом все подписи лиц в заявке на обмен инвестиционных паев, а также при необходимости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D917B9" w:rsidRDefault="00D917B9" w:rsidP="00096A8F">
            <w:pPr>
              <w:ind w:right="33"/>
              <w:jc w:val="both"/>
            </w:pPr>
            <w:r w:rsidRPr="00D917B9">
              <w:rPr>
                <w:bCs/>
              </w:rPr>
              <w:t>В том случае, если заявка на обмен инвестиционных паев и заявление на открытие 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87. Заявки на обмен инвестиционных паев подаются в следующем порядке: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Заявки на обмен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</w:t>
            </w:r>
            <w:r w:rsidR="00FD7138">
              <w:rPr>
                <w:bCs/>
              </w:rPr>
              <w:t xml:space="preserve">правляющей компании: </w:t>
            </w:r>
            <w:r w:rsidR="00FD7138">
              <w:rPr>
                <w:b/>
                <w:bCs/>
              </w:rPr>
              <w:t xml:space="preserve">Российская Федерация, </w:t>
            </w:r>
            <w:r w:rsidR="00FD7138">
              <w:rPr>
                <w:b/>
                <w:color w:val="000000"/>
              </w:rPr>
              <w:t xml:space="preserve">129110, г. </w:t>
            </w:r>
            <w:r w:rsidR="00FD7138" w:rsidRPr="00A54CE2">
              <w:rPr>
                <w:b/>
                <w:color w:val="000000"/>
              </w:rPr>
              <w:t>Москва, проспект Мира, д.69, строение 1.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При этом все подписи лиц в заявке на обмен инвестиционных паев, а также при необходимости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D917B9" w:rsidRP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В том случае, если заявка на обмен инвестиционных паев и заявление на открытие 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D917B9" w:rsidRDefault="00D917B9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Датой и временем приема заявки на обмен</w:t>
            </w:r>
          </w:p>
          <w:p w:rsidR="00096A8F" w:rsidRDefault="00096A8F" w:rsidP="00096A8F">
            <w:pPr>
              <w:ind w:right="33"/>
              <w:jc w:val="both"/>
              <w:rPr>
                <w:highlight w:val="green"/>
              </w:rPr>
            </w:pPr>
          </w:p>
        </w:tc>
      </w:tr>
      <w:tr w:rsidR="00096A8F" w:rsidRPr="0097344A" w:rsidTr="00096A8F">
        <w:trPr>
          <w:trHeight w:val="416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F" w:rsidRPr="00D917B9" w:rsidRDefault="00096A8F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lastRenderedPageBreak/>
              <w:t xml:space="preserve"> заявителя.</w:t>
            </w:r>
          </w:p>
          <w:p w:rsidR="00096A8F" w:rsidRPr="00D917B9" w:rsidRDefault="00096A8F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>Датой и временем приема заявки на обмен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096A8F" w:rsidRDefault="00096A8F" w:rsidP="00096A8F">
            <w:pPr>
              <w:jc w:val="both"/>
              <w:rPr>
                <w:bCs/>
              </w:rPr>
            </w:pPr>
            <w:r w:rsidRPr="00D917B9">
              <w:rPr>
                <w:bCs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96A8F" w:rsidRPr="00D917B9" w:rsidRDefault="00096A8F" w:rsidP="00096A8F">
            <w:pPr>
              <w:jc w:val="both"/>
              <w:rPr>
                <w:bCs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F" w:rsidRPr="00D917B9" w:rsidRDefault="00096A8F" w:rsidP="00096A8F">
            <w:pPr>
              <w:ind w:right="33"/>
              <w:jc w:val="both"/>
              <w:rPr>
                <w:bCs/>
              </w:rPr>
            </w:pPr>
            <w:r w:rsidRPr="00D917B9">
              <w:rPr>
                <w:bCs/>
              </w:rPr>
              <w:t xml:space="preserve">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096A8F" w:rsidRPr="00FD7138" w:rsidRDefault="00096A8F" w:rsidP="00096A8F">
            <w:pPr>
              <w:pStyle w:val="ConsPlusNormal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green"/>
                <w:lang w:eastAsia="zh-CN"/>
              </w:rPr>
            </w:pPr>
            <w:r w:rsidRPr="00FD7138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096A8F" w:rsidRDefault="00096A8F" w:rsidP="00096A8F">
            <w:pPr>
              <w:pStyle w:val="ConsPlusNormal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green"/>
                <w:lang w:eastAsia="zh-CN"/>
              </w:rPr>
            </w:pPr>
          </w:p>
          <w:p w:rsidR="00096A8F" w:rsidRPr="00D917B9" w:rsidRDefault="00096A8F" w:rsidP="00096A8F">
            <w:pPr>
              <w:pStyle w:val="ConsPlusNormal"/>
              <w:ind w:firstLine="540"/>
              <w:jc w:val="both"/>
              <w:rPr>
                <w:bCs/>
              </w:rPr>
            </w:pPr>
          </w:p>
        </w:tc>
      </w:tr>
      <w:tr w:rsidR="00096A8F" w:rsidRPr="0097344A" w:rsidTr="00096A8F">
        <w:trPr>
          <w:trHeight w:val="23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F" w:rsidRPr="00096A8F" w:rsidRDefault="00096A8F" w:rsidP="00096A8F">
            <w:pPr>
              <w:autoSpaceDE w:val="0"/>
              <w:autoSpaceDN w:val="0"/>
              <w:adjustRightInd w:val="0"/>
              <w:ind w:firstLine="540"/>
              <w:jc w:val="both"/>
            </w:pPr>
            <w:r w:rsidRPr="00096A8F">
              <w:t>99. За счет имущества, составляющего Фонд, выплачивается вознаграждение Управляющей компании в размере не более 2,5 (Двух целых пяти десятых) процента среднегодовой стоимости чистых активов Фонда, а также Специализированному депозитарию, Регистратору, Аудиторской организации в размере не более 0,26 (Ноль целых двадцати шести сотых) процента среднегодовой стоимости чистых активов Фонда.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F" w:rsidRPr="00211341" w:rsidRDefault="00096A8F" w:rsidP="00096A8F">
            <w:pPr>
              <w:autoSpaceDE w:val="0"/>
              <w:autoSpaceDN w:val="0"/>
              <w:adjustRightInd w:val="0"/>
              <w:ind w:firstLine="540"/>
              <w:jc w:val="both"/>
            </w:pPr>
            <w:r w:rsidRPr="00096A8F">
              <w:t>99. За счет имущества, составляющего Фонд, выплачивается вознаграждение Управляющей компании в размере не более 2,5 (Двух целых пяти десятых) процента среднегодовой стоимости чистых активов Фонда, а также Специализированному депозитарию, Регистратору, Аудиторской организации</w:t>
            </w:r>
            <w:r>
              <w:t xml:space="preserve"> в размере не более </w:t>
            </w:r>
            <w:r w:rsidRPr="00096A8F">
              <w:rPr>
                <w:b/>
              </w:rPr>
              <w:t xml:space="preserve">0,3 (Ноль целых три десятых) </w:t>
            </w:r>
            <w:r w:rsidRPr="00211341">
              <w:t>процента среднегодовой стоимости чистых активов Фонда.</w:t>
            </w:r>
          </w:p>
          <w:p w:rsidR="00096A8F" w:rsidRPr="00D917B9" w:rsidRDefault="00096A8F" w:rsidP="00096A8F">
            <w:pPr>
              <w:pStyle w:val="ConsPlusNormal"/>
              <w:ind w:firstLine="540"/>
              <w:jc w:val="both"/>
              <w:rPr>
                <w:bCs/>
              </w:rPr>
            </w:pPr>
          </w:p>
        </w:tc>
      </w:tr>
      <w:tr w:rsidR="00C02798" w:rsidTr="00096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9"/>
        </w:trPr>
        <w:tc>
          <w:tcPr>
            <w:tcW w:w="5159" w:type="dxa"/>
            <w:gridSpan w:val="2"/>
          </w:tcPr>
          <w:p w:rsidR="00C02798" w:rsidRPr="00D44E47" w:rsidRDefault="00C02798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 xml:space="preserve">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C02798" w:rsidRPr="00D44E47" w:rsidRDefault="00C02798" w:rsidP="00096A8F">
            <w:pPr>
              <w:shd w:val="clear" w:color="auto" w:fill="FFFFFF"/>
              <w:tabs>
                <w:tab w:val="left" w:pos="1054"/>
              </w:tabs>
              <w:spacing w:line="303" w:lineRule="exact"/>
              <w:ind w:left="14" w:firstLine="526"/>
              <w:jc w:val="both"/>
            </w:pPr>
            <w:r w:rsidRPr="00D44E47">
              <w:t>1)</w:t>
            </w:r>
            <w:r w:rsidRPr="00D44E47">
              <w:tab/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C02798" w:rsidRPr="00D44E47" w:rsidRDefault="00C02798" w:rsidP="00096A8F">
            <w:pPr>
              <w:shd w:val="clear" w:color="auto" w:fill="FFFFFF"/>
              <w:tabs>
                <w:tab w:val="left" w:pos="1171"/>
              </w:tabs>
              <w:spacing w:line="303" w:lineRule="exact"/>
              <w:ind w:left="14" w:right="7" w:firstLine="526"/>
              <w:jc w:val="both"/>
            </w:pPr>
            <w:r w:rsidRPr="00D44E47">
              <w:t>2)</w:t>
            </w:r>
            <w:r w:rsidRPr="00D44E47"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C02798" w:rsidRPr="00D44E47" w:rsidRDefault="00C02798" w:rsidP="00096A8F">
            <w:pPr>
              <w:shd w:val="clear" w:color="auto" w:fill="FFFFFF"/>
              <w:tabs>
                <w:tab w:val="left" w:pos="1075"/>
              </w:tabs>
              <w:spacing w:before="14" w:line="310" w:lineRule="exact"/>
              <w:ind w:right="7" w:firstLine="526"/>
              <w:jc w:val="both"/>
            </w:pPr>
            <w:r w:rsidRPr="00D44E47">
              <w:t>3)</w:t>
            </w:r>
            <w:r w:rsidRPr="00D44E47"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</w:t>
            </w:r>
            <w:r w:rsidRPr="00D44E47">
              <w:lastRenderedPageBreak/>
              <w:t xml:space="preserve">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C02798" w:rsidRPr="00D44E47" w:rsidRDefault="00C02798" w:rsidP="00096A8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7" w:line="303" w:lineRule="exact"/>
              <w:ind w:right="62" w:firstLine="526"/>
              <w:jc w:val="both"/>
            </w:pPr>
            <w:r w:rsidRPr="00D44E47"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C02798" w:rsidRPr="00D44E47" w:rsidRDefault="00C02798" w:rsidP="00096A8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right="55" w:firstLine="526"/>
              <w:jc w:val="both"/>
            </w:pPr>
            <w:r w:rsidRPr="00D44E47">
              <w:t>расходы, связанные с осуществлением прав, удостоверенных ценными бумагами, составляющими имущество Фонда;</w:t>
            </w:r>
          </w:p>
          <w:p w:rsidR="00C02798" w:rsidRPr="00D44E47" w:rsidRDefault="00C02798" w:rsidP="00096A8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right="55" w:firstLine="526"/>
              <w:jc w:val="both"/>
            </w:pPr>
            <w:r w:rsidRPr="00D44E47"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C02798" w:rsidRPr="00D44E47" w:rsidRDefault="00C02798" w:rsidP="00096A8F">
            <w:pPr>
              <w:shd w:val="clear" w:color="auto" w:fill="FFFFFF"/>
              <w:tabs>
                <w:tab w:val="left" w:pos="1082"/>
              </w:tabs>
              <w:spacing w:before="7" w:line="303" w:lineRule="exact"/>
              <w:ind w:left="28" w:right="34" w:firstLine="526"/>
              <w:jc w:val="both"/>
            </w:pPr>
            <w:proofErr w:type="gramStart"/>
            <w:r>
              <w:t>7)</w:t>
            </w:r>
            <w:r w:rsidRPr="00D44E47"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D44E47">
              <w:t xml:space="preserve"> владельцев инвестиционных паев по договорам доверительного управления имуществом Фонда;</w:t>
            </w:r>
          </w:p>
          <w:p w:rsidR="00C02798" w:rsidRPr="00D44E47" w:rsidRDefault="00C02798" w:rsidP="00096A8F">
            <w:pPr>
              <w:shd w:val="clear" w:color="auto" w:fill="FFFFFF"/>
              <w:tabs>
                <w:tab w:val="left" w:pos="985"/>
              </w:tabs>
              <w:spacing w:before="14"/>
              <w:ind w:left="34" w:right="28" w:firstLine="526"/>
              <w:jc w:val="both"/>
            </w:pPr>
            <w:r>
              <w:t>8)</w:t>
            </w:r>
            <w:r w:rsidRPr="00D44E47">
              <w:tab/>
              <w:t xml:space="preserve">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</w:t>
            </w:r>
            <w:r>
              <w:t>.</w:t>
            </w:r>
          </w:p>
          <w:p w:rsidR="00C02798" w:rsidRPr="008C27A3" w:rsidRDefault="00C02798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</w:t>
            </w:r>
            <w:r w:rsidRPr="008C27A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составляющее Фонд, и обязательных платежей, </w:t>
            </w:r>
            <w:r w:rsidRPr="008C2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C02798" w:rsidRPr="00C02798" w:rsidRDefault="00C02798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98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0,2 (Ноль целых два десятых) процента среднегодовой стоимости чистых активов Фонда (с учетом налога на добавленную стоимость), определяемой в порядке, установленном нормативными актами в сфере финансовых рынков.</w:t>
            </w:r>
          </w:p>
          <w:p w:rsidR="00C02798" w:rsidRDefault="00C02798" w:rsidP="001E1D32">
            <w:pPr>
              <w:rPr>
                <w:b/>
              </w:rPr>
            </w:pPr>
          </w:p>
          <w:p w:rsidR="00C02798" w:rsidRDefault="00C02798" w:rsidP="00096A8F">
            <w:pPr>
              <w:ind w:left="49"/>
              <w:rPr>
                <w:b/>
              </w:rPr>
            </w:pPr>
          </w:p>
        </w:tc>
        <w:tc>
          <w:tcPr>
            <w:tcW w:w="5239" w:type="dxa"/>
          </w:tcPr>
          <w:p w:rsidR="00C02798" w:rsidRPr="00C02798" w:rsidRDefault="00C02798" w:rsidP="00096A8F">
            <w:pPr>
              <w:autoSpaceDE w:val="0"/>
              <w:autoSpaceDN w:val="0"/>
              <w:adjustRightInd w:val="0"/>
              <w:ind w:firstLine="540"/>
              <w:jc w:val="both"/>
            </w:pPr>
            <w:r w:rsidRPr="00C02798">
              <w:lastRenderedPageBreak/>
              <w:t xml:space="preserve">102.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C02798" w:rsidRPr="00C02798" w:rsidRDefault="00C02798" w:rsidP="00096A8F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spacing w:line="303" w:lineRule="exact"/>
              <w:ind w:left="14" w:firstLine="526"/>
              <w:jc w:val="both"/>
            </w:pPr>
            <w:r w:rsidRPr="00C02798">
              <w:t>1)</w:t>
            </w:r>
            <w:r w:rsidRPr="00C02798">
              <w:tab/>
              <w:t>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C02798" w:rsidRPr="00C02798" w:rsidRDefault="00C02798" w:rsidP="00096A8F">
            <w:pPr>
              <w:widowControl w:val="0"/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spacing w:line="303" w:lineRule="exact"/>
              <w:ind w:left="14" w:right="7" w:firstLine="526"/>
              <w:jc w:val="both"/>
            </w:pPr>
            <w:r w:rsidRPr="00C02798">
              <w:t>2)</w:t>
            </w:r>
            <w:r w:rsidRPr="00C02798">
              <w:tab/>
              <w:t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C02798" w:rsidRPr="00C02798" w:rsidRDefault="00C02798" w:rsidP="00096A8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14" w:line="310" w:lineRule="exact"/>
              <w:ind w:right="7" w:firstLine="526"/>
              <w:jc w:val="both"/>
            </w:pPr>
            <w:r w:rsidRPr="00C02798">
              <w:t>3)</w:t>
            </w:r>
            <w:r w:rsidRPr="00C02798"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</w:t>
            </w:r>
            <w:r w:rsidRPr="00C02798">
              <w:lastRenderedPageBreak/>
              <w:t xml:space="preserve">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 </w:t>
            </w:r>
          </w:p>
          <w:p w:rsidR="00C02798" w:rsidRPr="00C02798" w:rsidRDefault="00C02798" w:rsidP="00096A8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7" w:line="303" w:lineRule="exact"/>
              <w:ind w:right="62" w:firstLine="526"/>
              <w:jc w:val="both"/>
            </w:pPr>
            <w:r w:rsidRPr="00C02798"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C02798" w:rsidRPr="00C02798" w:rsidRDefault="00C02798" w:rsidP="00096A8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before="14" w:line="303" w:lineRule="exact"/>
              <w:ind w:right="55" w:firstLine="526"/>
              <w:jc w:val="both"/>
            </w:pPr>
            <w:r w:rsidRPr="00C02798">
              <w:t>расходы, связанные с осуществлением прав, удостоверенных ценными бумагами, составляющими имущество Фонда;</w:t>
            </w:r>
          </w:p>
          <w:p w:rsidR="00C02798" w:rsidRPr="00C02798" w:rsidRDefault="00C02798" w:rsidP="00096A8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1"/>
              </w:tabs>
              <w:autoSpaceDE w:val="0"/>
              <w:autoSpaceDN w:val="0"/>
              <w:adjustRightInd w:val="0"/>
              <w:spacing w:line="303" w:lineRule="exact"/>
              <w:ind w:right="55" w:firstLine="526"/>
              <w:jc w:val="both"/>
            </w:pPr>
            <w:r w:rsidRPr="00C02798"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C02798" w:rsidRPr="00C02798" w:rsidRDefault="00C02798" w:rsidP="00096A8F">
            <w:pPr>
              <w:widowControl w:val="0"/>
              <w:shd w:val="clear" w:color="auto" w:fill="FFFFFF"/>
              <w:tabs>
                <w:tab w:val="left" w:pos="1082"/>
              </w:tabs>
              <w:autoSpaceDE w:val="0"/>
              <w:autoSpaceDN w:val="0"/>
              <w:adjustRightInd w:val="0"/>
              <w:spacing w:before="7" w:line="303" w:lineRule="exact"/>
              <w:ind w:left="28" w:right="34" w:firstLine="526"/>
              <w:jc w:val="both"/>
            </w:pPr>
            <w:proofErr w:type="gramStart"/>
            <w:r w:rsidRPr="00C02798">
              <w:t>7)</w:t>
            </w:r>
            <w:r w:rsidRPr="00C02798"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C02798">
              <w:t xml:space="preserve"> владельцев инвестиционных паев по договорам доверительного управления имуществом Фонда;</w:t>
            </w:r>
          </w:p>
          <w:p w:rsidR="00C02798" w:rsidRPr="00C02798" w:rsidRDefault="00C02798" w:rsidP="00096A8F">
            <w:pPr>
              <w:widowControl w:val="0"/>
              <w:shd w:val="clear" w:color="auto" w:fill="FFFFFF"/>
              <w:tabs>
                <w:tab w:val="left" w:pos="985"/>
              </w:tabs>
              <w:autoSpaceDE w:val="0"/>
              <w:autoSpaceDN w:val="0"/>
              <w:adjustRightInd w:val="0"/>
              <w:spacing w:before="14"/>
              <w:ind w:left="34" w:right="28" w:firstLine="526"/>
              <w:jc w:val="both"/>
            </w:pPr>
            <w:r w:rsidRPr="00C02798">
              <w:t>8)</w:t>
            </w:r>
            <w:r w:rsidRPr="00C02798">
              <w:tab/>
              <w:t xml:space="preserve">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C02798" w:rsidRPr="00C02798" w:rsidRDefault="00C02798" w:rsidP="00096A8F">
            <w:pPr>
              <w:autoSpaceDE w:val="0"/>
              <w:autoSpaceDN w:val="0"/>
              <w:adjustRightInd w:val="0"/>
              <w:ind w:firstLine="540"/>
              <w:jc w:val="both"/>
            </w:pPr>
            <w:r w:rsidRPr="00C02798"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</w:t>
            </w:r>
            <w:r w:rsidRPr="00C02798">
              <w:lastRenderedPageBreak/>
              <w:t>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C02798" w:rsidRPr="00211341" w:rsidRDefault="00C02798" w:rsidP="00096A8F">
            <w:pPr>
              <w:autoSpaceDE w:val="0"/>
              <w:autoSpaceDN w:val="0"/>
              <w:adjustRightInd w:val="0"/>
              <w:ind w:firstLine="540"/>
              <w:jc w:val="both"/>
            </w:pPr>
            <w:r w:rsidRPr="00211341"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</w:t>
            </w:r>
            <w:r w:rsidR="007F0DAA" w:rsidRPr="00211341">
              <w:t>равлением Фондом, составляет</w:t>
            </w:r>
            <w:r w:rsidR="007F0DAA">
              <w:rPr>
                <w:b/>
              </w:rPr>
              <w:t xml:space="preserve"> 0,5 (Ноль целых пять десятых</w:t>
            </w:r>
            <w:r w:rsidRPr="00C02798">
              <w:rPr>
                <w:b/>
              </w:rPr>
              <w:t xml:space="preserve">) </w:t>
            </w:r>
            <w:r w:rsidRPr="00211341">
              <w:t>процента среднегодовой стоимости чистых активов Фонда (с учетом налога на добавленную стоимость), определяемой в порядке, установленном нормативными актами в сфере финансовых рынков.</w:t>
            </w:r>
          </w:p>
          <w:p w:rsidR="00C02798" w:rsidRDefault="00C02798" w:rsidP="00096A8F">
            <w:pPr>
              <w:rPr>
                <w:b/>
              </w:rPr>
            </w:pPr>
          </w:p>
        </w:tc>
      </w:tr>
      <w:tr w:rsidR="00096A8F" w:rsidTr="00096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</w:trPr>
        <w:tc>
          <w:tcPr>
            <w:tcW w:w="5159" w:type="dxa"/>
            <w:gridSpan w:val="2"/>
          </w:tcPr>
          <w:p w:rsidR="00096A8F" w:rsidRPr="00096A8F" w:rsidRDefault="00096A8F" w:rsidP="00096A8F">
            <w:pPr>
              <w:autoSpaceDE w:val="0"/>
              <w:autoSpaceDN w:val="0"/>
              <w:adjustRightInd w:val="0"/>
              <w:ind w:firstLine="540"/>
              <w:jc w:val="both"/>
            </w:pPr>
            <w:r w:rsidRPr="00096A8F">
              <w:lastRenderedPageBreak/>
              <w:t>103. Расходы, не предусмотренные пунктом 102 настоящих Правил, а также вознаграждения в части превышения размеров, указанных в пункте 99 настоящих Правил, или 2,76 (Две целых семьдесят шесть сотых)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096A8F" w:rsidRDefault="00096A8F" w:rsidP="00096A8F">
            <w:pPr>
              <w:rPr>
                <w:b/>
              </w:rPr>
            </w:pPr>
          </w:p>
        </w:tc>
        <w:tc>
          <w:tcPr>
            <w:tcW w:w="5239" w:type="dxa"/>
          </w:tcPr>
          <w:p w:rsidR="00096A8F" w:rsidRPr="00211341" w:rsidRDefault="00096A8F" w:rsidP="0009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7A3">
              <w:rPr>
                <w:rFonts w:ascii="Times New Roman" w:hAnsi="Times New Roman" w:cs="Times New Roman"/>
                <w:sz w:val="24"/>
                <w:szCs w:val="24"/>
              </w:rPr>
              <w:t>. Расходы, не предусмотренные пунктом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7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а также вознаграждения в части превышения размеров, указанных 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C27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Правил, или </w:t>
            </w:r>
            <w:r w:rsidRPr="0009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2,8 (Две целых восемь десятых) </w:t>
            </w:r>
            <w:r w:rsidRPr="00211341">
              <w:rPr>
                <w:rFonts w:ascii="Times New Roman" w:hAnsi="Times New Roman" w:cs="Times New Roman"/>
                <w:sz w:val="24"/>
                <w:szCs w:val="24"/>
              </w:rPr>
              <w:t>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096A8F" w:rsidRDefault="00096A8F">
            <w:pPr>
              <w:rPr>
                <w:b/>
              </w:rPr>
            </w:pPr>
          </w:p>
          <w:p w:rsidR="00096A8F" w:rsidRDefault="00096A8F" w:rsidP="00096A8F">
            <w:pPr>
              <w:rPr>
                <w:b/>
              </w:rPr>
            </w:pPr>
          </w:p>
        </w:tc>
      </w:tr>
    </w:tbl>
    <w:p w:rsidR="00096A8F" w:rsidRDefault="00096A8F" w:rsidP="00B93EDA">
      <w:pPr>
        <w:ind w:left="-851"/>
        <w:rPr>
          <w:b/>
        </w:rPr>
      </w:pPr>
    </w:p>
    <w:p w:rsidR="00096A8F" w:rsidRDefault="00096A8F" w:rsidP="00B93EDA">
      <w:pPr>
        <w:ind w:left="-851"/>
        <w:rPr>
          <w:b/>
        </w:rPr>
      </w:pPr>
    </w:p>
    <w:p w:rsidR="00096A8F" w:rsidRDefault="00096A8F" w:rsidP="00B93EDA">
      <w:pPr>
        <w:ind w:left="-851"/>
        <w:rPr>
          <w:b/>
        </w:rPr>
      </w:pPr>
    </w:p>
    <w:p w:rsidR="00096A8F" w:rsidRDefault="00096A8F" w:rsidP="00096A8F">
      <w:pPr>
        <w:rPr>
          <w:b/>
        </w:rPr>
      </w:pPr>
    </w:p>
    <w:p w:rsidR="00096A8F" w:rsidRDefault="00096A8F" w:rsidP="00B93EDA">
      <w:pPr>
        <w:ind w:left="-851"/>
        <w:rPr>
          <w:b/>
        </w:rPr>
      </w:pPr>
    </w:p>
    <w:p w:rsidR="00096A8F" w:rsidRDefault="00096A8F" w:rsidP="00B93EDA">
      <w:pPr>
        <w:ind w:left="-851"/>
        <w:rPr>
          <w:b/>
        </w:rPr>
      </w:pPr>
    </w:p>
    <w:p w:rsidR="00E54790" w:rsidRDefault="00E54790" w:rsidP="00B93EDA">
      <w:pPr>
        <w:ind w:left="-851"/>
        <w:rPr>
          <w:b/>
        </w:rPr>
      </w:pPr>
      <w:r>
        <w:rPr>
          <w:b/>
        </w:rPr>
        <w:t>Генеральн</w:t>
      </w:r>
      <w:r w:rsidR="00357AF6">
        <w:rPr>
          <w:b/>
        </w:rPr>
        <w:t>ый</w:t>
      </w:r>
      <w:r>
        <w:rPr>
          <w:b/>
        </w:rPr>
        <w:t xml:space="preserve"> директор</w:t>
      </w:r>
    </w:p>
    <w:p w:rsidR="00822B3E" w:rsidRPr="0097344A" w:rsidRDefault="00B93EDA" w:rsidP="00E54790">
      <w:pPr>
        <w:tabs>
          <w:tab w:val="left" w:pos="7371"/>
        </w:tabs>
        <w:ind w:left="-851"/>
        <w:rPr>
          <w:b/>
        </w:rPr>
      </w:pPr>
      <w:r>
        <w:rPr>
          <w:b/>
        </w:rPr>
        <w:t>ООО «УК «БК-Сбережения</w:t>
      </w:r>
      <w:r w:rsidR="00E54790">
        <w:rPr>
          <w:b/>
        </w:rPr>
        <w:t xml:space="preserve">» </w:t>
      </w:r>
      <w:r w:rsidR="00E54790">
        <w:rPr>
          <w:b/>
        </w:rPr>
        <w:tab/>
        <w:t xml:space="preserve">    </w:t>
      </w:r>
      <w:r w:rsidR="00F02D4C">
        <w:rPr>
          <w:b/>
        </w:rPr>
        <w:t>И.А. Ванин</w:t>
      </w:r>
    </w:p>
    <w:sectPr w:rsidR="00822B3E" w:rsidRPr="0097344A" w:rsidSect="00E55D4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F4" w:rsidRDefault="005D17F4" w:rsidP="0070505B">
      <w:r>
        <w:separator/>
      </w:r>
    </w:p>
  </w:endnote>
  <w:endnote w:type="continuationSeparator" w:id="0">
    <w:p w:rsidR="005D17F4" w:rsidRDefault="005D17F4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4845F6">
    <w:pPr>
      <w:pStyle w:val="ae"/>
      <w:jc w:val="right"/>
    </w:pPr>
    <w:fldSimple w:instr="PAGE   \* MERGEFORMAT">
      <w:r w:rsidR="007E5D4C">
        <w:rPr>
          <w:noProof/>
        </w:rPr>
        <w:t>8</w:t>
      </w:r>
    </w:fldSimple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F4" w:rsidRDefault="005D17F4" w:rsidP="0070505B">
      <w:r>
        <w:separator/>
      </w:r>
    </w:p>
  </w:footnote>
  <w:footnote w:type="continuationSeparator" w:id="0">
    <w:p w:rsidR="005D17F4" w:rsidRDefault="005D17F4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48DA"/>
    <w:rsid w:val="0001524C"/>
    <w:rsid w:val="00021243"/>
    <w:rsid w:val="00032890"/>
    <w:rsid w:val="000467BC"/>
    <w:rsid w:val="00047971"/>
    <w:rsid w:val="00056557"/>
    <w:rsid w:val="00076ED8"/>
    <w:rsid w:val="00082204"/>
    <w:rsid w:val="0009637C"/>
    <w:rsid w:val="00096A8F"/>
    <w:rsid w:val="000A1111"/>
    <w:rsid w:val="000A3A13"/>
    <w:rsid w:val="000A6877"/>
    <w:rsid w:val="000B5F07"/>
    <w:rsid w:val="000C0928"/>
    <w:rsid w:val="000C2D63"/>
    <w:rsid w:val="000C502E"/>
    <w:rsid w:val="000D0ACB"/>
    <w:rsid w:val="000D22CC"/>
    <w:rsid w:val="000D5A5D"/>
    <w:rsid w:val="000D6AA5"/>
    <w:rsid w:val="000E5EEA"/>
    <w:rsid w:val="000F22EE"/>
    <w:rsid w:val="00103D3A"/>
    <w:rsid w:val="001151C9"/>
    <w:rsid w:val="001343F5"/>
    <w:rsid w:val="00173838"/>
    <w:rsid w:val="00184F8D"/>
    <w:rsid w:val="0018644A"/>
    <w:rsid w:val="00192C14"/>
    <w:rsid w:val="001966D6"/>
    <w:rsid w:val="00197A92"/>
    <w:rsid w:val="001A4D43"/>
    <w:rsid w:val="001B0C60"/>
    <w:rsid w:val="001B68BE"/>
    <w:rsid w:val="001C5B25"/>
    <w:rsid w:val="001D646F"/>
    <w:rsid w:val="001E1D32"/>
    <w:rsid w:val="002026B1"/>
    <w:rsid w:val="00207552"/>
    <w:rsid w:val="00210E7A"/>
    <w:rsid w:val="00211341"/>
    <w:rsid w:val="00214B68"/>
    <w:rsid w:val="0024353D"/>
    <w:rsid w:val="002509ED"/>
    <w:rsid w:val="00256DE2"/>
    <w:rsid w:val="00266FDE"/>
    <w:rsid w:val="002704D3"/>
    <w:rsid w:val="0027407C"/>
    <w:rsid w:val="0027422F"/>
    <w:rsid w:val="00276290"/>
    <w:rsid w:val="00276B76"/>
    <w:rsid w:val="00280EFA"/>
    <w:rsid w:val="0028272A"/>
    <w:rsid w:val="00283859"/>
    <w:rsid w:val="002861FE"/>
    <w:rsid w:val="00297C8C"/>
    <w:rsid w:val="002A559B"/>
    <w:rsid w:val="002C0E3E"/>
    <w:rsid w:val="002C4691"/>
    <w:rsid w:val="002D4E3A"/>
    <w:rsid w:val="002D4FFD"/>
    <w:rsid w:val="002E40F8"/>
    <w:rsid w:val="00326FDA"/>
    <w:rsid w:val="003300EA"/>
    <w:rsid w:val="00337D59"/>
    <w:rsid w:val="0035495C"/>
    <w:rsid w:val="00357AF6"/>
    <w:rsid w:val="003604CE"/>
    <w:rsid w:val="0036159F"/>
    <w:rsid w:val="00363CF8"/>
    <w:rsid w:val="00381E0E"/>
    <w:rsid w:val="00390D6D"/>
    <w:rsid w:val="00392967"/>
    <w:rsid w:val="003946DC"/>
    <w:rsid w:val="003A34D4"/>
    <w:rsid w:val="003B2F8F"/>
    <w:rsid w:val="003B490E"/>
    <w:rsid w:val="003C38A8"/>
    <w:rsid w:val="003D0025"/>
    <w:rsid w:val="003E4F85"/>
    <w:rsid w:val="003F4893"/>
    <w:rsid w:val="003F5EF1"/>
    <w:rsid w:val="003F7326"/>
    <w:rsid w:val="004005FD"/>
    <w:rsid w:val="00400A92"/>
    <w:rsid w:val="00420F5B"/>
    <w:rsid w:val="004242F1"/>
    <w:rsid w:val="00425049"/>
    <w:rsid w:val="004470D9"/>
    <w:rsid w:val="00466B0D"/>
    <w:rsid w:val="00483D1B"/>
    <w:rsid w:val="004844D7"/>
    <w:rsid w:val="004845F6"/>
    <w:rsid w:val="00496779"/>
    <w:rsid w:val="004A6421"/>
    <w:rsid w:val="004A692E"/>
    <w:rsid w:val="004C08F5"/>
    <w:rsid w:val="004C3DFF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5D17F4"/>
    <w:rsid w:val="005E67BD"/>
    <w:rsid w:val="00612B55"/>
    <w:rsid w:val="00620CA2"/>
    <w:rsid w:val="00625AEA"/>
    <w:rsid w:val="006553F8"/>
    <w:rsid w:val="00673D11"/>
    <w:rsid w:val="00674314"/>
    <w:rsid w:val="00683F89"/>
    <w:rsid w:val="00686FA1"/>
    <w:rsid w:val="006A655D"/>
    <w:rsid w:val="006D3595"/>
    <w:rsid w:val="006D3988"/>
    <w:rsid w:val="006E6F01"/>
    <w:rsid w:val="006F4E18"/>
    <w:rsid w:val="006F73A1"/>
    <w:rsid w:val="00701D86"/>
    <w:rsid w:val="0070348D"/>
    <w:rsid w:val="0070505B"/>
    <w:rsid w:val="00705450"/>
    <w:rsid w:val="00705CD3"/>
    <w:rsid w:val="00723371"/>
    <w:rsid w:val="00723B77"/>
    <w:rsid w:val="00726523"/>
    <w:rsid w:val="00732020"/>
    <w:rsid w:val="00733B59"/>
    <w:rsid w:val="007363D7"/>
    <w:rsid w:val="00737149"/>
    <w:rsid w:val="00756B54"/>
    <w:rsid w:val="00764084"/>
    <w:rsid w:val="00764A1F"/>
    <w:rsid w:val="00776D27"/>
    <w:rsid w:val="0079386C"/>
    <w:rsid w:val="00796804"/>
    <w:rsid w:val="00797CA0"/>
    <w:rsid w:val="007B26FF"/>
    <w:rsid w:val="007C099B"/>
    <w:rsid w:val="007C3386"/>
    <w:rsid w:val="007D2BF2"/>
    <w:rsid w:val="007D6718"/>
    <w:rsid w:val="007E0C79"/>
    <w:rsid w:val="007E50E2"/>
    <w:rsid w:val="007E519D"/>
    <w:rsid w:val="007E5D4C"/>
    <w:rsid w:val="007F0DAA"/>
    <w:rsid w:val="007F7588"/>
    <w:rsid w:val="00800BF3"/>
    <w:rsid w:val="008078FC"/>
    <w:rsid w:val="00821CFA"/>
    <w:rsid w:val="00822B3E"/>
    <w:rsid w:val="008354ED"/>
    <w:rsid w:val="0083632A"/>
    <w:rsid w:val="00841CAA"/>
    <w:rsid w:val="008534DB"/>
    <w:rsid w:val="00864A35"/>
    <w:rsid w:val="00876154"/>
    <w:rsid w:val="00877887"/>
    <w:rsid w:val="008779A1"/>
    <w:rsid w:val="00877BA6"/>
    <w:rsid w:val="0088263E"/>
    <w:rsid w:val="00882703"/>
    <w:rsid w:val="00887D62"/>
    <w:rsid w:val="0089027C"/>
    <w:rsid w:val="00891464"/>
    <w:rsid w:val="00892D15"/>
    <w:rsid w:val="008B0CA2"/>
    <w:rsid w:val="008C27A3"/>
    <w:rsid w:val="008E1A94"/>
    <w:rsid w:val="008E1D7E"/>
    <w:rsid w:val="008F2D24"/>
    <w:rsid w:val="008F6F78"/>
    <w:rsid w:val="00913A0D"/>
    <w:rsid w:val="00921256"/>
    <w:rsid w:val="00925476"/>
    <w:rsid w:val="00933EF3"/>
    <w:rsid w:val="009527F7"/>
    <w:rsid w:val="009532CD"/>
    <w:rsid w:val="0095692E"/>
    <w:rsid w:val="0097344A"/>
    <w:rsid w:val="0098650F"/>
    <w:rsid w:val="00987CD6"/>
    <w:rsid w:val="009942DE"/>
    <w:rsid w:val="009A54F9"/>
    <w:rsid w:val="009A6809"/>
    <w:rsid w:val="009B11E9"/>
    <w:rsid w:val="009B198B"/>
    <w:rsid w:val="009B5C2F"/>
    <w:rsid w:val="009D02DC"/>
    <w:rsid w:val="009D244B"/>
    <w:rsid w:val="009D6D81"/>
    <w:rsid w:val="009E5C51"/>
    <w:rsid w:val="009F543C"/>
    <w:rsid w:val="009F7240"/>
    <w:rsid w:val="009F7296"/>
    <w:rsid w:val="00A03D00"/>
    <w:rsid w:val="00A144EC"/>
    <w:rsid w:val="00A20FA6"/>
    <w:rsid w:val="00A3483D"/>
    <w:rsid w:val="00A438DF"/>
    <w:rsid w:val="00A4720C"/>
    <w:rsid w:val="00A51275"/>
    <w:rsid w:val="00A54CE2"/>
    <w:rsid w:val="00A64D77"/>
    <w:rsid w:val="00A701E0"/>
    <w:rsid w:val="00A70BA1"/>
    <w:rsid w:val="00A7236B"/>
    <w:rsid w:val="00A84DCC"/>
    <w:rsid w:val="00A95C65"/>
    <w:rsid w:val="00AA165B"/>
    <w:rsid w:val="00AA2215"/>
    <w:rsid w:val="00AA3502"/>
    <w:rsid w:val="00AA521C"/>
    <w:rsid w:val="00AE7052"/>
    <w:rsid w:val="00AF4506"/>
    <w:rsid w:val="00AF79A7"/>
    <w:rsid w:val="00B00818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64CBD"/>
    <w:rsid w:val="00B703C1"/>
    <w:rsid w:val="00B85953"/>
    <w:rsid w:val="00B93EDA"/>
    <w:rsid w:val="00B97F4B"/>
    <w:rsid w:val="00BA149C"/>
    <w:rsid w:val="00BA26D0"/>
    <w:rsid w:val="00BA2B65"/>
    <w:rsid w:val="00BB6BB0"/>
    <w:rsid w:val="00BC168C"/>
    <w:rsid w:val="00BC3364"/>
    <w:rsid w:val="00BC66F2"/>
    <w:rsid w:val="00BD0388"/>
    <w:rsid w:val="00BD2124"/>
    <w:rsid w:val="00BD7225"/>
    <w:rsid w:val="00BF724D"/>
    <w:rsid w:val="00C01185"/>
    <w:rsid w:val="00C01BF7"/>
    <w:rsid w:val="00C0242B"/>
    <w:rsid w:val="00C02798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9774E"/>
    <w:rsid w:val="00CA2C04"/>
    <w:rsid w:val="00CA5376"/>
    <w:rsid w:val="00CA6035"/>
    <w:rsid w:val="00CB22D5"/>
    <w:rsid w:val="00CB272B"/>
    <w:rsid w:val="00CB68EA"/>
    <w:rsid w:val="00CD2AD6"/>
    <w:rsid w:val="00CE55CA"/>
    <w:rsid w:val="00CE5EF6"/>
    <w:rsid w:val="00CE60C1"/>
    <w:rsid w:val="00D06232"/>
    <w:rsid w:val="00D06D55"/>
    <w:rsid w:val="00D10FC5"/>
    <w:rsid w:val="00D12E31"/>
    <w:rsid w:val="00D1472D"/>
    <w:rsid w:val="00D149A0"/>
    <w:rsid w:val="00D44E47"/>
    <w:rsid w:val="00D46507"/>
    <w:rsid w:val="00D540B8"/>
    <w:rsid w:val="00D565C4"/>
    <w:rsid w:val="00D76D31"/>
    <w:rsid w:val="00D8178D"/>
    <w:rsid w:val="00D84383"/>
    <w:rsid w:val="00D8665E"/>
    <w:rsid w:val="00D917B9"/>
    <w:rsid w:val="00DA0133"/>
    <w:rsid w:val="00DA0881"/>
    <w:rsid w:val="00DA2086"/>
    <w:rsid w:val="00DC3F4C"/>
    <w:rsid w:val="00DD29DF"/>
    <w:rsid w:val="00DD5B8A"/>
    <w:rsid w:val="00DD62AF"/>
    <w:rsid w:val="00DE7009"/>
    <w:rsid w:val="00DF0A5F"/>
    <w:rsid w:val="00DF5CB8"/>
    <w:rsid w:val="00DF7127"/>
    <w:rsid w:val="00E27719"/>
    <w:rsid w:val="00E37E4D"/>
    <w:rsid w:val="00E54790"/>
    <w:rsid w:val="00E55D4C"/>
    <w:rsid w:val="00E61511"/>
    <w:rsid w:val="00E64820"/>
    <w:rsid w:val="00E71372"/>
    <w:rsid w:val="00E77BB1"/>
    <w:rsid w:val="00E84B24"/>
    <w:rsid w:val="00E876A6"/>
    <w:rsid w:val="00E96BC1"/>
    <w:rsid w:val="00EA663A"/>
    <w:rsid w:val="00EA74CD"/>
    <w:rsid w:val="00EC7C60"/>
    <w:rsid w:val="00ED42F1"/>
    <w:rsid w:val="00ED6F7C"/>
    <w:rsid w:val="00EF592F"/>
    <w:rsid w:val="00F02D4C"/>
    <w:rsid w:val="00F1143E"/>
    <w:rsid w:val="00F326B3"/>
    <w:rsid w:val="00F36FAB"/>
    <w:rsid w:val="00F401B2"/>
    <w:rsid w:val="00F6178E"/>
    <w:rsid w:val="00F811C6"/>
    <w:rsid w:val="00F97782"/>
    <w:rsid w:val="00FB1A8E"/>
    <w:rsid w:val="00FB68A3"/>
    <w:rsid w:val="00FD06C9"/>
    <w:rsid w:val="00FD7138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007_частично действующая редакция</Статус_x0020_документа>
    <_EndDate xmlns="http://schemas.microsoft.com/sharepoint/v3/fields">25.02.2016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8E2C-C468-43F6-949A-9C2F5A1B3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67E1FC-2E35-4FD9-85E1-22943959428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93AF400-B0E6-4E27-8722-57EE4AAAF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1FDFD-233B-439F-9AE3-4D56447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3737</Words>
  <Characters>21307</Characters>
  <Application>Microsoft Office Word</Application>
  <DocSecurity>0</DocSecurity>
  <Lines>177</Lines>
  <Paragraphs>49</Paragraphs>
  <ScaleCrop>false</ScaleCrop>
  <Company>BRS</Company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kulkova</cp:lastModifiedBy>
  <cp:revision>2</cp:revision>
  <cp:lastPrinted>2015-11-24T12:01:00Z</cp:lastPrinted>
  <dcterms:created xsi:type="dcterms:W3CDTF">2016-02-29T12:26:00Z</dcterms:created>
  <dcterms:modified xsi:type="dcterms:W3CDTF">2016-02-29T12:26:00Z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