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A" w:rsidRDefault="00B00D04" w:rsidP="002D720D">
      <w:pPr>
        <w:ind w:left="60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</w:t>
      </w:r>
    </w:p>
    <w:p w:rsidR="0068037A" w:rsidRPr="00616F8B" w:rsidRDefault="00C55DBE" w:rsidP="002D720D">
      <w:pPr>
        <w:ind w:left="60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Приказом Г</w:t>
      </w:r>
      <w:r w:rsidR="0068037A" w:rsidRPr="00616F8B">
        <w:rPr>
          <w:b/>
          <w:bCs/>
          <w:sz w:val="22"/>
          <w:szCs w:val="22"/>
        </w:rPr>
        <w:t>енерального директора</w:t>
      </w:r>
    </w:p>
    <w:p w:rsidR="0068037A" w:rsidRPr="00616F8B" w:rsidRDefault="0068037A" w:rsidP="002D720D">
      <w:pPr>
        <w:ind w:left="6096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ООО «БСПБ Капитал»</w:t>
      </w:r>
    </w:p>
    <w:p w:rsidR="0068037A" w:rsidRDefault="0068037A" w:rsidP="002D720D">
      <w:pPr>
        <w:ind w:left="6096" w:right="-1"/>
        <w:rPr>
          <w:b/>
          <w:bCs/>
        </w:rPr>
      </w:pPr>
      <w:r w:rsidRPr="00133D78">
        <w:rPr>
          <w:b/>
          <w:bCs/>
          <w:sz w:val="22"/>
          <w:szCs w:val="22"/>
        </w:rPr>
        <w:t>№ 1-1-</w:t>
      </w:r>
      <w:r w:rsidR="00D640C4" w:rsidRPr="00133D78">
        <w:rPr>
          <w:b/>
          <w:bCs/>
          <w:sz w:val="22"/>
          <w:szCs w:val="22"/>
        </w:rPr>
        <w:t>202</w:t>
      </w:r>
      <w:r w:rsidR="009349FC" w:rsidRPr="00133D78">
        <w:rPr>
          <w:b/>
          <w:bCs/>
          <w:sz w:val="22"/>
          <w:szCs w:val="22"/>
        </w:rPr>
        <w:t>1</w:t>
      </w:r>
      <w:r w:rsidR="00534E98" w:rsidRPr="00133D78">
        <w:rPr>
          <w:b/>
          <w:bCs/>
          <w:sz w:val="22"/>
          <w:szCs w:val="22"/>
        </w:rPr>
        <w:t>/</w:t>
      </w:r>
      <w:r w:rsidR="002B73D3">
        <w:rPr>
          <w:b/>
          <w:bCs/>
          <w:sz w:val="22"/>
          <w:szCs w:val="22"/>
        </w:rPr>
        <w:t>91</w:t>
      </w:r>
      <w:r w:rsidRPr="00133D78">
        <w:rPr>
          <w:b/>
          <w:bCs/>
          <w:sz w:val="22"/>
          <w:szCs w:val="22"/>
        </w:rPr>
        <w:t xml:space="preserve"> от «</w:t>
      </w:r>
      <w:r w:rsidR="002B73D3">
        <w:rPr>
          <w:b/>
          <w:bCs/>
          <w:sz w:val="22"/>
          <w:szCs w:val="22"/>
        </w:rPr>
        <w:t>28</w:t>
      </w:r>
      <w:r w:rsidRPr="00133D78">
        <w:rPr>
          <w:b/>
          <w:bCs/>
          <w:sz w:val="22"/>
          <w:szCs w:val="22"/>
        </w:rPr>
        <w:t>»</w:t>
      </w:r>
      <w:r w:rsidRPr="00616F8B">
        <w:rPr>
          <w:b/>
          <w:bCs/>
          <w:sz w:val="22"/>
          <w:szCs w:val="22"/>
        </w:rPr>
        <w:t xml:space="preserve"> </w:t>
      </w:r>
      <w:r w:rsidR="0078426F">
        <w:rPr>
          <w:b/>
          <w:bCs/>
          <w:sz w:val="22"/>
          <w:szCs w:val="22"/>
        </w:rPr>
        <w:t>октября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9349FC">
        <w:rPr>
          <w:b/>
          <w:bCs/>
          <w:sz w:val="22"/>
          <w:szCs w:val="22"/>
        </w:rPr>
        <w:t>1</w:t>
      </w:r>
      <w:bookmarkStart w:id="0" w:name="_GoBack"/>
      <w:bookmarkEnd w:id="0"/>
      <w:r w:rsidRPr="00616F8B">
        <w:rPr>
          <w:b/>
          <w:bCs/>
          <w:sz w:val="22"/>
          <w:szCs w:val="22"/>
        </w:rPr>
        <w:t>г.</w:t>
      </w:r>
    </w:p>
    <w:p w:rsidR="00A5480F" w:rsidRDefault="00A5480F" w:rsidP="0065640B">
      <w:pPr>
        <w:jc w:val="center"/>
        <w:rPr>
          <w:b/>
        </w:rPr>
      </w:pPr>
    </w:p>
    <w:p w:rsidR="002E716F" w:rsidRDefault="002E716F" w:rsidP="00247B32">
      <w:pPr>
        <w:jc w:val="center"/>
        <w:rPr>
          <w:b/>
          <w:sz w:val="28"/>
          <w:szCs w:val="28"/>
        </w:rPr>
      </w:pPr>
    </w:p>
    <w:p w:rsidR="002E716F" w:rsidRDefault="002E716F" w:rsidP="00247B32">
      <w:pPr>
        <w:jc w:val="center"/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F57AB8">
        <w:rPr>
          <w:b/>
          <w:sz w:val="28"/>
          <w:szCs w:val="28"/>
        </w:rPr>
        <w:t>3</w:t>
      </w:r>
      <w:r w:rsidR="0078426F">
        <w:rPr>
          <w:b/>
          <w:sz w:val="28"/>
          <w:szCs w:val="28"/>
        </w:rPr>
        <w:t>2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C33848" w:rsidRPr="005A3726" w:rsidRDefault="00C33848" w:rsidP="00BB0D76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«БСПБ - Сберегательный»</w:t>
      </w:r>
    </w:p>
    <w:p w:rsidR="00C33848" w:rsidRPr="005A3726" w:rsidRDefault="00C33848" w:rsidP="00CF78D9">
      <w:pPr>
        <w:spacing w:after="120"/>
        <w:jc w:val="center"/>
        <w:rPr>
          <w:bCs/>
        </w:rPr>
      </w:pPr>
      <w:r w:rsidRPr="005A3726">
        <w:rPr>
          <w:bCs/>
        </w:rPr>
        <w:t>(</w:t>
      </w:r>
      <w:r w:rsidR="008B35D9" w:rsidRPr="008B35D9">
        <w:rPr>
          <w:bCs/>
        </w:rPr>
        <w:t xml:space="preserve">Правила доверительного управления фондом зарегистрированы </w:t>
      </w:r>
      <w:r w:rsidR="008B35D9">
        <w:rPr>
          <w:bCs/>
        </w:rPr>
        <w:t xml:space="preserve">ФСФР России </w:t>
      </w:r>
      <w:r w:rsidR="00AA3C96">
        <w:rPr>
          <w:bCs/>
        </w:rPr>
        <w:t xml:space="preserve">                            </w:t>
      </w:r>
      <w:r w:rsidR="008B35D9">
        <w:rPr>
          <w:bCs/>
        </w:rPr>
        <w:t xml:space="preserve">за </w:t>
      </w:r>
      <w:r w:rsidR="008B35D9" w:rsidRPr="008B35D9">
        <w:rPr>
          <w:bCs/>
        </w:rPr>
        <w:t>№ 0450-75409623</w:t>
      </w:r>
      <w:r w:rsidR="008B35D9">
        <w:rPr>
          <w:bCs/>
        </w:rPr>
        <w:t xml:space="preserve"> от </w:t>
      </w:r>
      <w:r w:rsidRPr="005A3726">
        <w:rPr>
          <w:bCs/>
        </w:rPr>
        <w:t>22.12.2005)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959"/>
      </w:tblGrid>
      <w:tr w:rsidR="0065640B" w:rsidRPr="0039614A" w:rsidTr="002E716F">
        <w:tc>
          <w:tcPr>
            <w:tcW w:w="4959" w:type="dxa"/>
          </w:tcPr>
          <w:p w:rsidR="0065640B" w:rsidRPr="0039614A" w:rsidRDefault="0065640B" w:rsidP="004F2520">
            <w:pPr>
              <w:jc w:val="center"/>
            </w:pPr>
            <w:r w:rsidRPr="0039614A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39614A" w:rsidRDefault="0065640B" w:rsidP="004F2520">
            <w:pPr>
              <w:jc w:val="center"/>
            </w:pPr>
            <w:r w:rsidRPr="0039614A">
              <w:rPr>
                <w:sz w:val="22"/>
                <w:szCs w:val="22"/>
              </w:rPr>
              <w:t>НОВАЯ РЕДАКЦИЯ</w:t>
            </w:r>
          </w:p>
        </w:tc>
      </w:tr>
      <w:tr w:rsidR="00205AF5" w:rsidRPr="0039614A" w:rsidTr="00B759F8">
        <w:tc>
          <w:tcPr>
            <w:tcW w:w="9918" w:type="dxa"/>
            <w:gridSpan w:val="2"/>
          </w:tcPr>
          <w:p w:rsidR="00205AF5" w:rsidRPr="0039614A" w:rsidRDefault="00205AF5" w:rsidP="00205AF5">
            <w:r>
              <w:rPr>
                <w:sz w:val="22"/>
                <w:szCs w:val="22"/>
              </w:rPr>
              <w:t>Считать пункт 48(1) пунктом 47(1).</w:t>
            </w:r>
          </w:p>
        </w:tc>
      </w:tr>
      <w:tr w:rsidR="00F03F48" w:rsidRPr="0039614A" w:rsidTr="002E716F">
        <w:tc>
          <w:tcPr>
            <w:tcW w:w="4959" w:type="dxa"/>
          </w:tcPr>
          <w:p w:rsidR="00F03F48" w:rsidRDefault="00F03F48" w:rsidP="00F03F48">
            <w:pPr>
              <w:ind w:firstLine="464"/>
            </w:pPr>
            <w:r>
              <w:rPr>
                <w:sz w:val="22"/>
                <w:szCs w:val="22"/>
              </w:rPr>
              <w:t xml:space="preserve">Абзац </w:t>
            </w:r>
            <w:r w:rsidR="00DC0E33">
              <w:rPr>
                <w:sz w:val="22"/>
                <w:szCs w:val="22"/>
              </w:rPr>
              <w:t xml:space="preserve">3 пункта </w:t>
            </w:r>
            <w:r>
              <w:rPr>
                <w:sz w:val="22"/>
                <w:szCs w:val="22"/>
              </w:rPr>
              <w:t>4</w:t>
            </w:r>
            <w:r w:rsidR="00205AF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(1).</w:t>
            </w:r>
          </w:p>
          <w:p w:rsidR="00F03F48" w:rsidRDefault="00F03F48" w:rsidP="00F03F48">
            <w:pPr>
              <w:ind w:firstLine="464"/>
              <w:jc w:val="both"/>
            </w:pPr>
            <w:r w:rsidRPr="00674E7F">
              <w:t xml:space="preserve">Заявки на приобретение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</w:t>
            </w:r>
            <w:r w:rsidRPr="00AF303E">
              <w:t>«Личный кабинет агента»</w:t>
            </w:r>
            <w:r w:rsidRPr="00674E7F">
              <w:t xml:space="preserve"> </w:t>
            </w:r>
            <w:r w:rsidRPr="001D58D5">
              <w:t>и/или посредством специализированного программного обеспечения управляющей компании «Система регистрации договоров»</w:t>
            </w:r>
            <w:r w:rsidRPr="00674E7F">
              <w:t>. При подаче заявки в электронном виде физическое лицо подписывает электронный документ простой электронной подписью</w:t>
            </w:r>
            <w:r w:rsidRPr="005A3726">
              <w:t>.</w:t>
            </w:r>
          </w:p>
        </w:tc>
        <w:tc>
          <w:tcPr>
            <w:tcW w:w="4959" w:type="dxa"/>
          </w:tcPr>
          <w:p w:rsidR="00F03F48" w:rsidRDefault="00DC0E33" w:rsidP="00F03F48">
            <w:pPr>
              <w:ind w:firstLine="467"/>
              <w:jc w:val="both"/>
            </w:pPr>
            <w:r>
              <w:rPr>
                <w:sz w:val="22"/>
                <w:szCs w:val="22"/>
              </w:rPr>
              <w:t xml:space="preserve">Абзац 3 пункта </w:t>
            </w:r>
            <w:r w:rsidR="00F03F48" w:rsidRPr="004105F5">
              <w:rPr>
                <w:b/>
                <w:sz w:val="22"/>
                <w:szCs w:val="22"/>
              </w:rPr>
              <w:t>4</w:t>
            </w:r>
            <w:r w:rsidR="00DC039A" w:rsidRPr="004105F5">
              <w:rPr>
                <w:b/>
                <w:sz w:val="22"/>
                <w:szCs w:val="22"/>
              </w:rPr>
              <w:t>7</w:t>
            </w:r>
            <w:r w:rsidR="00F03F48" w:rsidRPr="004105F5">
              <w:rPr>
                <w:b/>
                <w:sz w:val="22"/>
                <w:szCs w:val="22"/>
              </w:rPr>
              <w:t>(1)</w:t>
            </w:r>
            <w:r w:rsidR="00F03F48">
              <w:rPr>
                <w:sz w:val="22"/>
                <w:szCs w:val="22"/>
              </w:rPr>
              <w:t>.</w:t>
            </w:r>
          </w:p>
          <w:p w:rsidR="00F03F48" w:rsidRPr="0039614A" w:rsidRDefault="00F03F48" w:rsidP="00F03F48">
            <w:pPr>
              <w:ind w:firstLine="467"/>
              <w:jc w:val="both"/>
            </w:pPr>
            <w:r w:rsidRPr="00674E7F">
              <w:t xml:space="preserve">Заявки на приобретение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</w:t>
            </w:r>
            <w:r w:rsidRPr="00AF303E">
              <w:t>«Личный кабинет агента»</w:t>
            </w:r>
            <w:r w:rsidRPr="00674E7F">
              <w:t xml:space="preserve"> </w:t>
            </w:r>
            <w:r w:rsidRPr="001D58D5">
              <w:t>и/или посредством специализированного программного обеспечения управляющей компании «Система регистрации договоров»</w:t>
            </w:r>
            <w:r>
              <w:t xml:space="preserve"> </w:t>
            </w:r>
            <w:r w:rsidRPr="00F03F48">
              <w:rPr>
                <w:b/>
              </w:rPr>
              <w:t>(далее – «ЛКА и/или СРД»)</w:t>
            </w:r>
            <w:r w:rsidRPr="00674E7F">
              <w:t>. При подаче заявки в электронном виде физическое лицо подписывает электронный документ простой электронной подписью</w:t>
            </w:r>
            <w:r w:rsidRPr="005A3726">
              <w:t>.</w:t>
            </w:r>
          </w:p>
        </w:tc>
      </w:tr>
      <w:tr w:rsidR="00DC039A" w:rsidRPr="0039614A" w:rsidTr="002E716F">
        <w:tc>
          <w:tcPr>
            <w:tcW w:w="4959" w:type="dxa"/>
          </w:tcPr>
          <w:p w:rsidR="00DC039A" w:rsidRDefault="00DC039A" w:rsidP="00F03F48">
            <w:pPr>
              <w:ind w:firstLine="464"/>
            </w:pPr>
          </w:p>
        </w:tc>
        <w:tc>
          <w:tcPr>
            <w:tcW w:w="4959" w:type="dxa"/>
          </w:tcPr>
          <w:p w:rsidR="00DC039A" w:rsidRDefault="00DC0E33" w:rsidP="00F03F48">
            <w:pPr>
              <w:ind w:firstLine="467"/>
              <w:jc w:val="both"/>
            </w:pPr>
            <w:r>
              <w:rPr>
                <w:sz w:val="22"/>
                <w:szCs w:val="22"/>
              </w:rPr>
              <w:t xml:space="preserve">Абзацы 4-7 пункта </w:t>
            </w:r>
            <w:r w:rsidR="00DC039A">
              <w:rPr>
                <w:sz w:val="22"/>
                <w:szCs w:val="22"/>
              </w:rPr>
              <w:t>47(1).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</w:rPr>
            </w:pPr>
            <w:r w:rsidRPr="00DC0E33">
              <w:rPr>
                <w:b/>
              </w:rPr>
              <w:t xml:space="preserve">Подача заявки на </w:t>
            </w:r>
            <w:r>
              <w:rPr>
                <w:b/>
              </w:rPr>
              <w:t>приобретение</w:t>
            </w:r>
            <w:r w:rsidRPr="00DC0E33">
              <w:rPr>
                <w:b/>
              </w:rPr>
              <w:t xml:space="preserve"> инвестиционных паев с использованием ЛКА и/или СРД возможна только в случае наличия у агента технической возможности по приему таких заявок на </w:t>
            </w:r>
            <w:r>
              <w:rPr>
                <w:b/>
              </w:rPr>
              <w:t>приобретение</w:t>
            </w:r>
            <w:r w:rsidRPr="00DC0E33">
              <w:rPr>
                <w:b/>
              </w:rPr>
              <w:t xml:space="preserve"> инвестиционных паев.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 xml:space="preserve">Датой и временем приема заявки на </w:t>
            </w:r>
            <w:r>
              <w:rPr>
                <w:b/>
                <w:color w:val="auto"/>
              </w:rPr>
              <w:t>приобретение</w:t>
            </w:r>
            <w:r w:rsidRPr="00DC0E33">
              <w:rPr>
                <w:b/>
                <w:color w:val="auto"/>
              </w:rPr>
              <w:t xml:space="preserve"> инвестиционных паев, поданной </w:t>
            </w:r>
            <w:r w:rsidRPr="00DC0E33">
              <w:rPr>
                <w:b/>
              </w:rPr>
              <w:t>посредством ЛКА и/или СРД</w:t>
            </w:r>
            <w:r w:rsidRPr="00DC0E33">
              <w:rPr>
                <w:b/>
                <w:color w:val="auto"/>
              </w:rPr>
              <w:t>, считается дата и время полу</w:t>
            </w:r>
            <w:r>
              <w:rPr>
                <w:b/>
                <w:color w:val="auto"/>
              </w:rPr>
              <w:t>чения электронного документа у</w:t>
            </w:r>
            <w:r w:rsidRPr="00DC0E33">
              <w:rPr>
                <w:b/>
                <w:color w:val="auto"/>
              </w:rPr>
              <w:t>правляющей компанией.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 xml:space="preserve">Подача заявок на </w:t>
            </w:r>
            <w:r>
              <w:rPr>
                <w:b/>
                <w:color w:val="auto"/>
              </w:rPr>
              <w:t>приобретение</w:t>
            </w:r>
            <w:r w:rsidRPr="00DC0E33">
              <w:rPr>
                <w:b/>
                <w:color w:val="auto"/>
              </w:rPr>
              <w:t xml:space="preserve"> инвестиционных паев</w:t>
            </w:r>
            <w:r w:rsidRPr="00DC0E33">
              <w:rPr>
                <w:b/>
              </w:rPr>
              <w:t xml:space="preserve"> посредством ЛКА и/или СРД</w:t>
            </w:r>
            <w:r w:rsidRPr="00DC0E33">
              <w:rPr>
                <w:b/>
                <w:color w:val="auto"/>
              </w:rPr>
              <w:t xml:space="preserve"> доступна только тем физическим лицам, которые успешно прошли процедуру идентификации или упрощенной идентификации, осуществляемую агентом. </w:t>
            </w:r>
          </w:p>
          <w:p w:rsidR="00DC039A" w:rsidRDefault="00DC0E33" w:rsidP="00DC0E33">
            <w:pPr>
              <w:ind w:firstLine="467"/>
              <w:jc w:val="both"/>
            </w:pPr>
            <w:r w:rsidRPr="00DC0E33">
              <w:rPr>
                <w:b/>
              </w:rPr>
              <w:t xml:space="preserve">В случае отказа в приеме заявки на </w:t>
            </w:r>
            <w:r>
              <w:rPr>
                <w:b/>
              </w:rPr>
              <w:t>приобретение</w:t>
            </w:r>
            <w:r w:rsidRPr="00DC0E33">
              <w:rPr>
                <w:b/>
              </w:rPr>
              <w:t xml:space="preserve"> инвестиционных паев, поданной с использованием ЛКА и/или СРД, на основаниях, предусмотренных </w:t>
            </w:r>
            <w:r w:rsidRPr="00DC0E33">
              <w:rPr>
                <w:b/>
              </w:rPr>
              <w:lastRenderedPageBreak/>
              <w:t>настоящими Правилами или действующим законодательством, мотивированный отказ направляется физическому лицу.</w:t>
            </w:r>
          </w:p>
        </w:tc>
      </w:tr>
      <w:tr w:rsidR="00F03F48" w:rsidRPr="0039614A" w:rsidTr="002E716F">
        <w:tc>
          <w:tcPr>
            <w:tcW w:w="4959" w:type="dxa"/>
          </w:tcPr>
          <w:p w:rsidR="00F03F48" w:rsidRDefault="00DC0E33" w:rsidP="00F03F48">
            <w:pPr>
              <w:ind w:firstLine="464"/>
            </w:pPr>
            <w:r>
              <w:rPr>
                <w:sz w:val="22"/>
                <w:szCs w:val="22"/>
              </w:rPr>
              <w:lastRenderedPageBreak/>
              <w:t xml:space="preserve">Абзац 3 пункта </w:t>
            </w:r>
            <w:r w:rsidR="00F03F48">
              <w:rPr>
                <w:sz w:val="22"/>
                <w:szCs w:val="22"/>
              </w:rPr>
              <w:t>67(1).</w:t>
            </w:r>
          </w:p>
          <w:p w:rsidR="00F03F48" w:rsidRDefault="00F03F48" w:rsidP="00F03F48">
            <w:pPr>
              <w:ind w:firstLine="464"/>
              <w:jc w:val="both"/>
            </w:pPr>
            <w:r w:rsidRPr="00674E7F">
              <w:t xml:space="preserve">Заявки на погашение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«Личный кабинет агента» </w:t>
            </w:r>
            <w:r w:rsidRPr="001D58D5">
              <w:t>и/или посредством специализированного программного обеспечения управляющей компании «Система регистрации договоров»</w:t>
            </w:r>
            <w:r w:rsidRPr="00674E7F">
              <w:t>. При подаче заявки в электронном виде физическое лицо подписывает электронный документ простой электронной подписью</w:t>
            </w:r>
            <w:r>
              <w:t>.</w:t>
            </w:r>
          </w:p>
        </w:tc>
        <w:tc>
          <w:tcPr>
            <w:tcW w:w="4959" w:type="dxa"/>
          </w:tcPr>
          <w:p w:rsidR="00F03F48" w:rsidRDefault="00DC0E33" w:rsidP="00F03F48">
            <w:pPr>
              <w:ind w:firstLine="467"/>
              <w:jc w:val="both"/>
            </w:pPr>
            <w:r>
              <w:rPr>
                <w:sz w:val="22"/>
                <w:szCs w:val="22"/>
              </w:rPr>
              <w:t xml:space="preserve">Абзац 3 пункта </w:t>
            </w:r>
            <w:r w:rsidR="00F03F48">
              <w:rPr>
                <w:sz w:val="22"/>
                <w:szCs w:val="22"/>
              </w:rPr>
              <w:t>67(1).</w:t>
            </w:r>
          </w:p>
          <w:p w:rsidR="00F03F48" w:rsidRDefault="00F03F48" w:rsidP="00F03F48">
            <w:pPr>
              <w:ind w:firstLine="467"/>
              <w:jc w:val="both"/>
            </w:pPr>
            <w:r w:rsidRPr="00674E7F">
              <w:t xml:space="preserve">Заявки на погашение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</w:t>
            </w:r>
            <w:r w:rsidRPr="00F03F48">
              <w:rPr>
                <w:b/>
              </w:rPr>
              <w:t>ЛКА и/или СРД</w:t>
            </w:r>
            <w:r w:rsidRPr="00674E7F">
              <w:t>. При подаче заявки в электронном виде физическое лицо подписывает электронный документ простой электронной подписью</w:t>
            </w:r>
            <w:r>
              <w:t>.</w:t>
            </w:r>
          </w:p>
        </w:tc>
      </w:tr>
      <w:tr w:rsidR="00DC0E33" w:rsidRPr="0039614A" w:rsidTr="002E716F">
        <w:tc>
          <w:tcPr>
            <w:tcW w:w="4959" w:type="dxa"/>
          </w:tcPr>
          <w:p w:rsidR="00DC0E33" w:rsidRDefault="00DC0E33" w:rsidP="00F03F48">
            <w:pPr>
              <w:ind w:firstLine="464"/>
            </w:pPr>
          </w:p>
        </w:tc>
        <w:tc>
          <w:tcPr>
            <w:tcW w:w="4959" w:type="dxa"/>
          </w:tcPr>
          <w:p w:rsidR="00DC0E33" w:rsidRDefault="00DC0E33" w:rsidP="00F03F48">
            <w:pPr>
              <w:ind w:firstLine="467"/>
              <w:jc w:val="both"/>
            </w:pPr>
            <w:r>
              <w:rPr>
                <w:sz w:val="22"/>
                <w:szCs w:val="22"/>
              </w:rPr>
              <w:t>Абзацы 4-7 пункта 67(1).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</w:rPr>
            </w:pPr>
            <w:r w:rsidRPr="00DC0E33">
              <w:rPr>
                <w:b/>
              </w:rPr>
              <w:t xml:space="preserve">Подача заявки на </w:t>
            </w:r>
            <w:r>
              <w:rPr>
                <w:b/>
              </w:rPr>
              <w:t>погашение</w:t>
            </w:r>
            <w:r w:rsidRPr="00DC0E33">
              <w:rPr>
                <w:b/>
              </w:rPr>
              <w:t xml:space="preserve"> инвестиционных паев с использованием ЛКА и/или СРД возможна только в случае наличия у агента технической возможности по приему таких заявок на </w:t>
            </w:r>
            <w:r>
              <w:rPr>
                <w:b/>
              </w:rPr>
              <w:t>погашение</w:t>
            </w:r>
            <w:r w:rsidRPr="00DC0E33">
              <w:rPr>
                <w:b/>
              </w:rPr>
              <w:t xml:space="preserve"> инвестиционных паев.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 xml:space="preserve">Датой и временем приема заявки на </w:t>
            </w:r>
            <w:r>
              <w:rPr>
                <w:b/>
                <w:color w:val="auto"/>
              </w:rPr>
              <w:t>погашение</w:t>
            </w:r>
            <w:r w:rsidRPr="00DC0E33">
              <w:rPr>
                <w:b/>
                <w:color w:val="auto"/>
              </w:rPr>
              <w:t xml:space="preserve"> инвестиционных паев, поданной </w:t>
            </w:r>
            <w:r w:rsidRPr="00DC0E33">
              <w:rPr>
                <w:b/>
              </w:rPr>
              <w:t>посредством ЛКА и/или СРД</w:t>
            </w:r>
            <w:r w:rsidRPr="00DC0E33">
              <w:rPr>
                <w:b/>
                <w:color w:val="auto"/>
              </w:rPr>
              <w:t>, считается дата и время полу</w:t>
            </w:r>
            <w:r>
              <w:rPr>
                <w:b/>
                <w:color w:val="auto"/>
              </w:rPr>
              <w:t>чения электронного документа у</w:t>
            </w:r>
            <w:r w:rsidRPr="00DC0E33">
              <w:rPr>
                <w:b/>
                <w:color w:val="auto"/>
              </w:rPr>
              <w:t>правляющей компанией.</w:t>
            </w:r>
          </w:p>
          <w:p w:rsidR="00DC0E33" w:rsidRPr="00DC0E33" w:rsidRDefault="00DC0E33" w:rsidP="00DC0E33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 xml:space="preserve">Подача заявок на </w:t>
            </w:r>
            <w:r>
              <w:rPr>
                <w:b/>
                <w:color w:val="auto"/>
              </w:rPr>
              <w:t>погашение</w:t>
            </w:r>
            <w:r w:rsidRPr="00DC0E33">
              <w:rPr>
                <w:b/>
                <w:color w:val="auto"/>
              </w:rPr>
              <w:t xml:space="preserve"> инвестиционных паев</w:t>
            </w:r>
            <w:r w:rsidRPr="00DC0E33">
              <w:rPr>
                <w:b/>
              </w:rPr>
              <w:t xml:space="preserve"> посредством ЛКА и/или СРД</w:t>
            </w:r>
            <w:r w:rsidRPr="00DC0E33">
              <w:rPr>
                <w:b/>
                <w:color w:val="auto"/>
              </w:rPr>
              <w:t xml:space="preserve"> доступна только тем физическим лицам, которые успешно прошли процедуру идентификации или упрощенной идентификации, осуществляемую агентом. </w:t>
            </w:r>
          </w:p>
          <w:p w:rsidR="00DC0E33" w:rsidRDefault="00DC0E33" w:rsidP="00DC0E33">
            <w:pPr>
              <w:ind w:firstLine="467"/>
              <w:jc w:val="both"/>
            </w:pPr>
            <w:r w:rsidRPr="00DC0E33">
              <w:rPr>
                <w:b/>
              </w:rPr>
              <w:t xml:space="preserve">В случае отказа в приеме заявки на </w:t>
            </w:r>
            <w:r>
              <w:rPr>
                <w:b/>
              </w:rPr>
              <w:t>погашение</w:t>
            </w:r>
            <w:r w:rsidRPr="00DC0E33">
              <w:rPr>
                <w:b/>
              </w:rPr>
              <w:t xml:space="preserve"> инвестиционных паев, поданной с использованием ЛКА и/или СРД, на основаниях, предусмотренных настоящими Правилами или действующим законодательством, мотивированный отказ направляется физическому лицу.</w:t>
            </w:r>
          </w:p>
        </w:tc>
      </w:tr>
      <w:tr w:rsidR="002D720D" w:rsidRPr="0039614A" w:rsidTr="002E716F">
        <w:trPr>
          <w:trHeight w:val="1369"/>
        </w:trPr>
        <w:tc>
          <w:tcPr>
            <w:tcW w:w="4959" w:type="dxa"/>
          </w:tcPr>
          <w:p w:rsidR="0078426F" w:rsidRPr="009642D5" w:rsidRDefault="0078426F" w:rsidP="0078426F">
            <w:pPr>
              <w:spacing w:before="120" w:line="240" w:lineRule="atLeast"/>
              <w:ind w:firstLine="425"/>
              <w:jc w:val="both"/>
            </w:pPr>
            <w:r w:rsidRPr="009642D5">
              <w:t xml:space="preserve">84. Заявки на обмен инвестиционных паев подаются в следующем порядке: </w:t>
            </w:r>
          </w:p>
          <w:p w:rsidR="0078426F" w:rsidRDefault="0078426F" w:rsidP="0078426F">
            <w:pPr>
              <w:autoSpaceDE w:val="0"/>
              <w:autoSpaceDN w:val="0"/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>Заявка на обмен инвестиционных паев, оформленная в соответствии с приложением №5 к настоящим Правилам, подается в пунктах приема заявок владельцем инвестиционных паев или его уполномоченным представителем.</w:t>
            </w:r>
          </w:p>
          <w:p w:rsidR="0078426F" w:rsidRPr="009642D5" w:rsidRDefault="0078426F" w:rsidP="0078426F">
            <w:pPr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 xml:space="preserve">Заявка на обмен инвестиционных паев, </w:t>
            </w:r>
            <w:r w:rsidRPr="009642D5">
              <w:rPr>
                <w:lang w:eastAsia="zh-CN"/>
              </w:rPr>
              <w:lastRenderedPageBreak/>
              <w:t>оформленная в соответствии с приложением №6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8426F" w:rsidRPr="009642D5" w:rsidRDefault="0078426F" w:rsidP="0078426F">
            <w:pPr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 xml:space="preserve"> Заявки на обмен, поданные в пункты приема заявок управляющей компании и агентов в выходной (нерабочий) день, считаются принятыми управляющей компанией в первый рабочий день, следующий за днем их поступления в пункты приема заявок управляющей компании и агентов.</w:t>
            </w:r>
          </w:p>
          <w:p w:rsidR="002D720D" w:rsidRDefault="0078426F" w:rsidP="0078426F">
            <w:pPr>
              <w:spacing w:line="240" w:lineRule="atLeast"/>
              <w:ind w:firstLine="426"/>
              <w:jc w:val="both"/>
            </w:pPr>
            <w:r w:rsidRPr="009642D5">
              <w:t xml:space="preserve">Заявки на обмен инвестиционных паев, направленные почтой </w:t>
            </w:r>
            <w:r w:rsidRPr="00DC039A">
              <w:rPr>
                <w:b/>
              </w:rPr>
              <w:t>(в том числе</w:t>
            </w:r>
            <w:r w:rsidRPr="009642D5">
              <w:t xml:space="preserve"> электронной</w:t>
            </w:r>
            <w:r w:rsidRPr="00DC039A">
              <w:rPr>
                <w:b/>
              </w:rPr>
              <w:t>)</w:t>
            </w:r>
            <w:r w:rsidRPr="009642D5">
              <w:t>, факсом или курьером, не принимаются.</w:t>
            </w:r>
          </w:p>
        </w:tc>
        <w:tc>
          <w:tcPr>
            <w:tcW w:w="4959" w:type="dxa"/>
          </w:tcPr>
          <w:p w:rsidR="0078426F" w:rsidRPr="009642D5" w:rsidRDefault="0078426F" w:rsidP="0078426F">
            <w:pPr>
              <w:spacing w:before="120" w:line="240" w:lineRule="atLeast"/>
              <w:ind w:firstLine="425"/>
              <w:jc w:val="both"/>
            </w:pPr>
            <w:r w:rsidRPr="009642D5">
              <w:lastRenderedPageBreak/>
              <w:t xml:space="preserve">84. Заявки на обмен инвестиционных паев подаются в следующем порядке: </w:t>
            </w:r>
          </w:p>
          <w:p w:rsidR="0078426F" w:rsidRDefault="0078426F" w:rsidP="0078426F">
            <w:pPr>
              <w:autoSpaceDE w:val="0"/>
              <w:autoSpaceDN w:val="0"/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>Заявка на обмен инвестиционных паев, оформленная в соответствии с приложением №5 к настоящим Правилам, подается в пунктах приема заявок владельцем инвестиционных паев или его уполномоченным представителем.</w:t>
            </w:r>
          </w:p>
          <w:p w:rsidR="0078426F" w:rsidRPr="0078426F" w:rsidRDefault="0078426F" w:rsidP="0078426F">
            <w:pPr>
              <w:autoSpaceDE w:val="0"/>
              <w:autoSpaceDN w:val="0"/>
              <w:spacing w:line="240" w:lineRule="atLeast"/>
              <w:ind w:firstLine="426"/>
              <w:jc w:val="both"/>
              <w:rPr>
                <w:b/>
                <w:lang w:eastAsia="zh-CN"/>
              </w:rPr>
            </w:pPr>
            <w:r w:rsidRPr="0078426F">
              <w:rPr>
                <w:b/>
                <w:lang w:eastAsia="zh-CN"/>
              </w:rPr>
              <w:t xml:space="preserve">Заявки на обмен инвестиционных паев </w:t>
            </w:r>
            <w:r w:rsidRPr="0078426F">
              <w:rPr>
                <w:b/>
                <w:lang w:eastAsia="zh-CN"/>
              </w:rPr>
              <w:lastRenderedPageBreak/>
              <w:t>физическими лицами, которые подаются агентам, оформляются в виде электронного документа и подписываются простой электронной подписью физического лица.</w:t>
            </w:r>
          </w:p>
          <w:p w:rsidR="0078426F" w:rsidRPr="009642D5" w:rsidRDefault="0078426F" w:rsidP="0078426F">
            <w:pPr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>Заявка на обмен инвестиционных паев, оформленная в соответствии с приложением №6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8426F" w:rsidRPr="009642D5" w:rsidRDefault="0078426F" w:rsidP="0078426F">
            <w:pPr>
              <w:spacing w:line="240" w:lineRule="atLeast"/>
              <w:ind w:firstLine="426"/>
              <w:jc w:val="both"/>
              <w:rPr>
                <w:lang w:eastAsia="zh-CN"/>
              </w:rPr>
            </w:pPr>
            <w:r w:rsidRPr="009642D5">
              <w:rPr>
                <w:lang w:eastAsia="zh-CN"/>
              </w:rPr>
              <w:t xml:space="preserve"> Заявки на обмен, поданные в пункты приема заявок управляющей компании и агентов в выходной (нерабочий) день, считаются принятыми управляющей компанией в первый рабочий день, следующий за днем их поступления в пункты приема заявок управляющей компании и агентов.</w:t>
            </w:r>
          </w:p>
          <w:p w:rsidR="002D720D" w:rsidRDefault="0078426F" w:rsidP="00DC039A">
            <w:pPr>
              <w:spacing w:line="240" w:lineRule="atLeast"/>
              <w:ind w:firstLine="426"/>
              <w:jc w:val="both"/>
            </w:pPr>
            <w:r w:rsidRPr="009642D5">
              <w:t xml:space="preserve">Заявки на обмен инвестиционных паев, направленные </w:t>
            </w:r>
            <w:r w:rsidR="00DC039A">
              <w:t>электронной</w:t>
            </w:r>
            <w:r w:rsidR="00DC039A" w:rsidRPr="009642D5">
              <w:t xml:space="preserve"> </w:t>
            </w:r>
            <w:r w:rsidRPr="009642D5">
              <w:t>почтой, факсом или курьером, не принимаются.</w:t>
            </w:r>
          </w:p>
          <w:p w:rsidR="00DC039A" w:rsidRPr="00DC039A" w:rsidRDefault="00DC039A" w:rsidP="00DC039A">
            <w:pPr>
              <w:spacing w:line="240" w:lineRule="atLeast"/>
              <w:ind w:firstLine="426"/>
              <w:jc w:val="both"/>
              <w:rPr>
                <w:b/>
              </w:rPr>
            </w:pPr>
            <w:r w:rsidRPr="00DC039A">
              <w:rPr>
                <w:b/>
              </w:rPr>
              <w:t>Заявки на обмен инвестиционных паев, а также, при необходимости</w:t>
            </w:r>
            <w:r w:rsidR="00205AF5">
              <w:rPr>
                <w:b/>
              </w:rPr>
              <w:t>,</w:t>
            </w:r>
            <w:r w:rsidRPr="00DC039A">
              <w:rPr>
                <w:b/>
              </w:rPr>
              <w:t xml:space="preserve"> комплект документов, необходимых для обмена инвестиционных паев, могут быть направлены посредством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писем: </w:t>
            </w:r>
            <w:r w:rsidRPr="00DC039A">
              <w:rPr>
                <w:rFonts w:cs="Times New Roman CYR"/>
                <w:b/>
                <w:bCs/>
              </w:rPr>
              <w:t xml:space="preserve">195112, город Санкт-Петербург, </w:t>
            </w:r>
            <w:proofErr w:type="spellStart"/>
            <w:r w:rsidRPr="00DC039A">
              <w:rPr>
                <w:rFonts w:cs="Times New Roman CYR"/>
                <w:b/>
                <w:bCs/>
              </w:rPr>
              <w:t>Малоохтинский</w:t>
            </w:r>
            <w:proofErr w:type="spellEnd"/>
            <w:r w:rsidRPr="00DC039A">
              <w:rPr>
                <w:rFonts w:cs="Times New Roman CYR"/>
                <w:b/>
                <w:bCs/>
              </w:rPr>
              <w:t xml:space="preserve"> проспект, дом 64, литер А, часть пом. №541 (кабинет №623)</w:t>
            </w:r>
            <w:r w:rsidRPr="00DC039A">
              <w:rPr>
                <w:b/>
              </w:rPr>
              <w:t>, Общество с ограниченной ответственностью «БСПБ Капитал».</w:t>
            </w:r>
          </w:p>
          <w:p w:rsidR="00DC039A" w:rsidRPr="00DC039A" w:rsidRDefault="00DC039A" w:rsidP="00DC039A">
            <w:pPr>
              <w:adjustRightInd w:val="0"/>
              <w:spacing w:line="240" w:lineRule="atLeast"/>
              <w:ind w:firstLine="426"/>
              <w:jc w:val="both"/>
              <w:rPr>
                <w:b/>
              </w:rPr>
            </w:pPr>
            <w:r w:rsidRPr="00DC039A">
              <w:rPr>
                <w:b/>
              </w:rPr>
              <w:t>В случае направления лицом, желающим обменять инвестиционные паи</w:t>
            </w:r>
            <w:r w:rsidR="00205AF5">
              <w:rPr>
                <w:b/>
              </w:rPr>
              <w:t>,</w:t>
            </w:r>
            <w:r w:rsidRPr="00DC039A">
              <w:rPr>
                <w:b/>
              </w:rPr>
              <w:t xml:space="preserve"> заяв</w:t>
            </w:r>
            <w:r w:rsidR="00205AF5">
              <w:rPr>
                <w:b/>
              </w:rPr>
              <w:t>ки на обмен инвестиционных паев</w:t>
            </w:r>
            <w:r w:rsidRPr="00DC039A">
              <w:rPr>
                <w:b/>
              </w:rPr>
              <w:t xml:space="preserve"> посредством почтовой связи заказным письмом с уведомлением о вручении заказного письма управляющей компании, подпись лица, желающего обменять инвестиционные паи, на заявке на обмен инвестиционных паев должна быть удостоверена нотариально.</w:t>
            </w:r>
          </w:p>
          <w:p w:rsidR="00DC039A" w:rsidRPr="00DC039A" w:rsidRDefault="00DC039A" w:rsidP="00DC039A">
            <w:pPr>
              <w:adjustRightInd w:val="0"/>
              <w:spacing w:line="240" w:lineRule="atLeast"/>
              <w:ind w:firstLine="426"/>
              <w:jc w:val="both"/>
              <w:rPr>
                <w:b/>
              </w:rPr>
            </w:pPr>
            <w:r w:rsidRPr="00DC039A">
              <w:rPr>
                <w:b/>
              </w:rPr>
              <w:t>В случае направления лицом, желающим обменять инвестиционные паи, заявки на обмен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обмен инвестиционных паев считается дата и время получения заказного письма управляющей компанией.</w:t>
            </w:r>
          </w:p>
          <w:p w:rsidR="00DC039A" w:rsidRDefault="00DC039A" w:rsidP="00DC039A">
            <w:pPr>
              <w:spacing w:line="240" w:lineRule="atLeast"/>
              <w:ind w:firstLine="426"/>
              <w:jc w:val="both"/>
            </w:pPr>
            <w:r w:rsidRPr="00DC039A">
              <w:rPr>
                <w:b/>
              </w:rPr>
              <w:t xml:space="preserve">В случае отказа в приеме заявки на </w:t>
            </w:r>
            <w:r w:rsidRPr="00DC039A">
              <w:rPr>
                <w:b/>
              </w:rPr>
              <w:lastRenderedPageBreak/>
              <w:t>обмен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</w:t>
            </w:r>
            <w:r w:rsidR="00205AF5">
              <w:rPr>
                <w:b/>
              </w:rPr>
              <w:t>тиционных фондах» и настоящими Правилами</w:t>
            </w:r>
            <w:r w:rsidRPr="00DC039A">
              <w:rPr>
                <w:b/>
              </w:rPr>
              <w:t xml:space="preserve">, мотивированный отказ направляется управляющей компанией заказным письмом с уведомлением о вручении заказного письма лицу, желающему обменять инвестиционные паи, на </w:t>
            </w:r>
            <w:r w:rsidRPr="00DC039A">
              <w:rPr>
                <w:b/>
                <w:color w:val="000000"/>
              </w:rPr>
              <w:t>обратный почтовый адрес, указанный на почтовом отправлении.</w:t>
            </w:r>
          </w:p>
        </w:tc>
      </w:tr>
      <w:tr w:rsidR="00205AF5" w:rsidRPr="0039614A" w:rsidTr="00205AF5">
        <w:trPr>
          <w:trHeight w:val="393"/>
        </w:trPr>
        <w:tc>
          <w:tcPr>
            <w:tcW w:w="9918" w:type="dxa"/>
            <w:gridSpan w:val="2"/>
          </w:tcPr>
          <w:p w:rsidR="00205AF5" w:rsidRPr="009642D5" w:rsidRDefault="00205AF5" w:rsidP="0078426F">
            <w:pPr>
              <w:spacing w:before="120" w:line="240" w:lineRule="atLeast"/>
              <w:ind w:firstLine="425"/>
              <w:jc w:val="both"/>
            </w:pPr>
            <w:r>
              <w:rPr>
                <w:sz w:val="22"/>
                <w:szCs w:val="22"/>
              </w:rPr>
              <w:lastRenderedPageBreak/>
              <w:t>Считать пункт 86(1) пунктом 84(1).</w:t>
            </w:r>
          </w:p>
        </w:tc>
      </w:tr>
      <w:tr w:rsidR="0078426F" w:rsidRPr="0039614A" w:rsidTr="002E716F">
        <w:trPr>
          <w:trHeight w:val="1369"/>
        </w:trPr>
        <w:tc>
          <w:tcPr>
            <w:tcW w:w="4959" w:type="dxa"/>
          </w:tcPr>
          <w:p w:rsidR="0078426F" w:rsidRDefault="0078426F" w:rsidP="002D720D">
            <w:pPr>
              <w:spacing w:line="240" w:lineRule="atLeast"/>
              <w:ind w:firstLine="426"/>
              <w:jc w:val="both"/>
            </w:pPr>
          </w:p>
          <w:p w:rsidR="00DC0E33" w:rsidRPr="00674E7F" w:rsidRDefault="00DC0E33" w:rsidP="00DC0E33">
            <w:pPr>
              <w:tabs>
                <w:tab w:val="left" w:pos="9072"/>
              </w:tabs>
              <w:autoSpaceDE w:val="0"/>
              <w:autoSpaceDN w:val="0"/>
              <w:adjustRightInd w:val="0"/>
              <w:ind w:firstLine="321"/>
              <w:jc w:val="both"/>
            </w:pPr>
            <w:r w:rsidRPr="005A3726">
              <w:t xml:space="preserve">86(1). </w:t>
            </w:r>
            <w:r w:rsidRPr="00674E7F">
              <w:t>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кабинета. Доступ к личному кабинету является индивидуальным для каждого физического лица и предоставляется управляющей компанией в порядке, установленном управляющей компанией. Заявка на обмен, поданная в виде электронного документа, должна содержать электронную подпись физического лица – простую электронную подпись. Основанием для дистанционного взаимодействия с управляющей компанией является присоединение физического лица к соглашению об ЭДО. Датой и временем приема заявки на обмен инвестиционных паев, полученной с использованием личного кабинета, считается дата и время получения электронного документа управляющей компанией.</w:t>
            </w:r>
          </w:p>
          <w:p w:rsidR="00DC0E33" w:rsidRPr="00674E7F" w:rsidRDefault="00DC0E33" w:rsidP="00DC0E33">
            <w:pPr>
              <w:pStyle w:val="Default"/>
              <w:ind w:firstLine="426"/>
              <w:jc w:val="both"/>
            </w:pPr>
            <w:r w:rsidRPr="00674E7F">
              <w:t xml:space="preserve">Заявки на обмен инвестиционных паев могут подаваться агенту только в пунктах приема заявок. </w:t>
            </w:r>
          </w:p>
          <w:p w:rsidR="00DC0E33" w:rsidRDefault="00DC0E33" w:rsidP="00DC0E33">
            <w:pPr>
              <w:spacing w:line="240" w:lineRule="atLeast"/>
              <w:ind w:firstLine="426"/>
              <w:jc w:val="both"/>
            </w:pPr>
            <w:r w:rsidRPr="00674E7F">
              <w:t xml:space="preserve">Заявки на обмен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</w:t>
            </w:r>
            <w:r w:rsidRPr="00DC0E33">
              <w:rPr>
                <w:b/>
              </w:rPr>
              <w:t>информационного сервиса управляющей компании «Личный кабинет агента» и/или посредством специализированного программного обеспечения управляющей компании «Система регистрации договоров»</w:t>
            </w:r>
            <w:r w:rsidRPr="00674E7F">
              <w:t xml:space="preserve">. При подаче заявки в электронном виде физическое лицо </w:t>
            </w:r>
            <w:r w:rsidRPr="00674E7F">
              <w:lastRenderedPageBreak/>
              <w:t>подписывает электронный документ простой электронной подписью</w:t>
            </w:r>
            <w:r w:rsidRPr="005A3726">
              <w:t>.</w:t>
            </w:r>
          </w:p>
        </w:tc>
        <w:tc>
          <w:tcPr>
            <w:tcW w:w="4959" w:type="dxa"/>
          </w:tcPr>
          <w:p w:rsidR="0078426F" w:rsidRPr="009642D5" w:rsidRDefault="0078426F" w:rsidP="0078426F">
            <w:pPr>
              <w:tabs>
                <w:tab w:val="left" w:pos="9072"/>
              </w:tabs>
              <w:autoSpaceDE w:val="0"/>
              <w:autoSpaceDN w:val="0"/>
              <w:adjustRightInd w:val="0"/>
              <w:ind w:firstLine="321"/>
              <w:jc w:val="both"/>
            </w:pPr>
            <w:r w:rsidRPr="00DC0E33">
              <w:rPr>
                <w:b/>
                <w:sz w:val="22"/>
                <w:szCs w:val="22"/>
              </w:rPr>
              <w:lastRenderedPageBreak/>
              <w:t>84(1).</w:t>
            </w:r>
            <w:r w:rsidRPr="009642D5">
              <w:t xml:space="preserve">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кабинета. Доступ к личному кабинету является индивидуальным для каждого физического лица и предоставляется управляющей компанией в порядке, установленном управляющей компанией. Заявка на обмен, поданная в виде электронного документа, должна содержать электронную подпись физического лица – простую электронную подпись. Основанием для дистанционного взаимодействия с управляющей компанией является присоединение физического лица к соглашению об ЭДО. Датой и временем приема заявки на обмен инвестиционных паев, полученной с использованием личного кабинета, считается дата и время получения электронного документа управляющей компанией.</w:t>
            </w:r>
          </w:p>
          <w:p w:rsidR="0078426F" w:rsidRPr="009642D5" w:rsidRDefault="0078426F" w:rsidP="0078426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  <w:r w:rsidRPr="009642D5">
              <w:rPr>
                <w:color w:val="000000"/>
              </w:rPr>
              <w:t xml:space="preserve">Заявки на обмен инвестиционных паев могут подаваться агенту только в пунктах приема заявок. </w:t>
            </w:r>
          </w:p>
          <w:p w:rsidR="0078426F" w:rsidRDefault="0078426F" w:rsidP="0078426F">
            <w:pPr>
              <w:tabs>
                <w:tab w:val="left" w:pos="1134"/>
              </w:tabs>
              <w:spacing w:line="240" w:lineRule="atLeast"/>
              <w:ind w:firstLine="426"/>
              <w:jc w:val="both"/>
            </w:pPr>
            <w:r w:rsidRPr="009642D5">
              <w:t xml:space="preserve">Заявки на обмен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</w:t>
            </w:r>
            <w:r>
              <w:t>только</w:t>
            </w:r>
            <w:r w:rsidRPr="009642D5">
              <w:t xml:space="preserve"> в электронном виде посредством </w:t>
            </w:r>
            <w:r w:rsidR="00F03F48" w:rsidRPr="00C55DBE">
              <w:rPr>
                <w:b/>
              </w:rPr>
              <w:t>ЛКА и/или СРД</w:t>
            </w:r>
            <w:r w:rsidRPr="009642D5"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  <w:p w:rsidR="0078426F" w:rsidRPr="00DC0E33" w:rsidRDefault="0078426F" w:rsidP="0078426F">
            <w:pPr>
              <w:pStyle w:val="Default"/>
              <w:ind w:firstLine="426"/>
              <w:jc w:val="both"/>
              <w:rPr>
                <w:b/>
              </w:rPr>
            </w:pPr>
            <w:r w:rsidRPr="00DC0E33">
              <w:rPr>
                <w:b/>
              </w:rPr>
              <w:t xml:space="preserve">Подача заявки на обмен инвестиционных паев с использованием </w:t>
            </w:r>
            <w:r w:rsidR="00F03F48" w:rsidRPr="00DC0E33">
              <w:rPr>
                <w:b/>
              </w:rPr>
              <w:t>ЛКА и/или СРД</w:t>
            </w:r>
            <w:r w:rsidRPr="00DC0E33">
              <w:rPr>
                <w:b/>
              </w:rPr>
              <w:t xml:space="preserve"> возможна только в случае наличия у агента технической возможности по приему таких заявок на </w:t>
            </w:r>
            <w:r w:rsidRPr="00DC0E33">
              <w:rPr>
                <w:b/>
              </w:rPr>
              <w:lastRenderedPageBreak/>
              <w:t>обмен инвестиционных паев.</w:t>
            </w:r>
          </w:p>
          <w:p w:rsidR="0078426F" w:rsidRPr="00DC0E33" w:rsidRDefault="0078426F" w:rsidP="0078426F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 xml:space="preserve">Датой и временем приема заявки на обмен инвестиционных паев, поданной </w:t>
            </w:r>
            <w:r w:rsidRPr="00DC0E33">
              <w:rPr>
                <w:b/>
              </w:rPr>
              <w:t xml:space="preserve">посредством </w:t>
            </w:r>
            <w:r w:rsidR="00F03F48" w:rsidRPr="00DC0E33">
              <w:rPr>
                <w:b/>
              </w:rPr>
              <w:t>ЛКА и/или СРД</w:t>
            </w:r>
            <w:r w:rsidRPr="00DC0E33">
              <w:rPr>
                <w:b/>
                <w:color w:val="auto"/>
              </w:rPr>
              <w:t>, считается дата и время полу</w:t>
            </w:r>
            <w:r w:rsidR="00DC0E33">
              <w:rPr>
                <w:b/>
                <w:color w:val="auto"/>
              </w:rPr>
              <w:t>чения электронного документа у</w:t>
            </w:r>
            <w:r w:rsidRPr="00DC0E33">
              <w:rPr>
                <w:b/>
                <w:color w:val="auto"/>
              </w:rPr>
              <w:t>правляющей компанией.</w:t>
            </w:r>
          </w:p>
          <w:p w:rsidR="0078426F" w:rsidRPr="00DC0E33" w:rsidRDefault="0078426F" w:rsidP="0078426F">
            <w:pPr>
              <w:pStyle w:val="Default"/>
              <w:ind w:firstLine="426"/>
              <w:jc w:val="both"/>
              <w:rPr>
                <w:b/>
                <w:color w:val="auto"/>
              </w:rPr>
            </w:pPr>
            <w:r w:rsidRPr="00DC0E33">
              <w:rPr>
                <w:b/>
                <w:color w:val="auto"/>
              </w:rPr>
              <w:t>Подача заявок на обмен инвестиционных паев</w:t>
            </w:r>
            <w:r w:rsidRPr="00DC0E33">
              <w:rPr>
                <w:b/>
              </w:rPr>
              <w:t xml:space="preserve"> посредством </w:t>
            </w:r>
            <w:r w:rsidR="00F03F48" w:rsidRPr="00DC0E33">
              <w:rPr>
                <w:b/>
              </w:rPr>
              <w:t>ЛКА и/или СРД</w:t>
            </w:r>
            <w:r w:rsidRPr="00DC0E33">
              <w:rPr>
                <w:b/>
                <w:color w:val="auto"/>
              </w:rPr>
              <w:t xml:space="preserve"> доступна только тем физическим лицам, которые успешно прошли процедуру идентификации или упрощенной идентификации, осуществляемую агентом. </w:t>
            </w:r>
          </w:p>
          <w:p w:rsidR="0078426F" w:rsidRDefault="0078426F" w:rsidP="00F03F48">
            <w:pPr>
              <w:spacing w:line="240" w:lineRule="atLeast"/>
              <w:ind w:firstLine="426"/>
              <w:jc w:val="both"/>
            </w:pPr>
            <w:r w:rsidRPr="00DC0E33">
              <w:rPr>
                <w:b/>
              </w:rPr>
              <w:t xml:space="preserve">В случае отказа в приеме заявки на обмен инвестиционных паев, поданной с использованием </w:t>
            </w:r>
            <w:r w:rsidR="00F03F48" w:rsidRPr="00DC0E33">
              <w:rPr>
                <w:b/>
              </w:rPr>
              <w:t>ЛКА и/или СРД</w:t>
            </w:r>
            <w:r w:rsidRPr="00DC0E33">
              <w:rPr>
                <w:b/>
              </w:rPr>
              <w:t>, на основаниях, предусмотренных настоящими Правилами или действующим законодательством, мотивированный отказ направляется физическому лицу.</w:t>
            </w:r>
          </w:p>
        </w:tc>
      </w:tr>
      <w:tr w:rsidR="00AA27F8" w:rsidRPr="0039614A" w:rsidTr="002E716F">
        <w:trPr>
          <w:trHeight w:val="1369"/>
        </w:trPr>
        <w:tc>
          <w:tcPr>
            <w:tcW w:w="4959" w:type="dxa"/>
          </w:tcPr>
          <w:p w:rsidR="00AA27F8" w:rsidRDefault="00AA27F8" w:rsidP="002D720D">
            <w:pPr>
              <w:spacing w:line="240" w:lineRule="atLeast"/>
              <w:ind w:firstLine="426"/>
              <w:jc w:val="both"/>
            </w:pPr>
            <w:r w:rsidRPr="005A3726">
              <w:lastRenderedPageBreak/>
              <w:t>105. </w:t>
            </w:r>
            <w:bookmarkStart w:id="1" w:name="p_909"/>
            <w:bookmarkEnd w:id="1"/>
            <w:r w:rsidRPr="005A3726">
              <w:t>Управляющая компания обязана раскрывать информацию на сайте</w:t>
            </w:r>
            <w:bookmarkStart w:id="2" w:name="OLE_LINK1"/>
            <w:bookmarkStart w:id="3" w:name="OLE_LINK2"/>
            <w:r w:rsidRPr="005A3726">
              <w:t xml:space="preserve"> управляющей компании </w:t>
            </w:r>
            <w:hyperlink r:id="rId10" w:history="1">
              <w:r w:rsidRPr="005A3726">
                <w:rPr>
                  <w:rStyle w:val="ae"/>
                  <w:lang w:val="en-US"/>
                </w:rPr>
                <w:t>www</w:t>
              </w:r>
              <w:r w:rsidRPr="005A3726">
                <w:rPr>
                  <w:rStyle w:val="ae"/>
                </w:rPr>
                <w:t>.</w:t>
              </w:r>
              <w:proofErr w:type="spellStart"/>
              <w:r w:rsidRPr="005A3726">
                <w:rPr>
                  <w:rStyle w:val="ae"/>
                  <w:lang w:val="en-US"/>
                </w:rPr>
                <w:t>bspbcapital</w:t>
              </w:r>
              <w:proofErr w:type="spellEnd"/>
              <w:r w:rsidRPr="005A3726">
                <w:rPr>
                  <w:rStyle w:val="ae"/>
                </w:rPr>
                <w:t>.</w:t>
              </w:r>
              <w:proofErr w:type="spellStart"/>
              <w:r w:rsidRPr="005A3726">
                <w:rPr>
                  <w:rStyle w:val="ae"/>
                  <w:lang w:val="en-US"/>
                </w:rPr>
                <w:t>ru</w:t>
              </w:r>
              <w:proofErr w:type="spellEnd"/>
            </w:hyperlink>
            <w:r w:rsidRPr="005A3726">
              <w:t xml:space="preserve">. </w:t>
            </w:r>
            <w:bookmarkEnd w:id="2"/>
            <w:bookmarkEnd w:id="3"/>
            <w:r w:rsidRPr="00AA27F8">
              <w:rPr>
                <w:b/>
              </w:rPr>
              <w:t>Информация, подлежащая в соответствии с нормативными актами в сфере финансовых рынков</w:t>
            </w:r>
            <w:r w:rsidRPr="00AA27F8" w:rsidDel="005E5889">
              <w:rPr>
                <w:b/>
              </w:rPr>
              <w:t xml:space="preserve"> </w:t>
            </w:r>
            <w:r w:rsidRPr="00AA27F8">
              <w:rPr>
                <w:b/>
              </w:rPr>
              <w:t>опубликованию в печатном издании, публикуется в «Приложении к Вестнику Федеральной службы по финансовым рынкам».</w:t>
            </w:r>
          </w:p>
        </w:tc>
        <w:tc>
          <w:tcPr>
            <w:tcW w:w="4959" w:type="dxa"/>
          </w:tcPr>
          <w:p w:rsidR="00AA27F8" w:rsidRPr="00DC0E33" w:rsidRDefault="00AA27F8" w:rsidP="0078426F">
            <w:pPr>
              <w:tabs>
                <w:tab w:val="left" w:pos="9072"/>
              </w:tabs>
              <w:autoSpaceDE w:val="0"/>
              <w:autoSpaceDN w:val="0"/>
              <w:adjustRightInd w:val="0"/>
              <w:ind w:firstLine="321"/>
              <w:jc w:val="both"/>
              <w:rPr>
                <w:b/>
              </w:rPr>
            </w:pPr>
            <w:r w:rsidRPr="005A3726">
              <w:t xml:space="preserve">105. Управляющая компания обязана раскрывать информацию на сайте управляющей компании </w:t>
            </w:r>
            <w:hyperlink r:id="rId11" w:history="1">
              <w:r w:rsidRPr="005A3726">
                <w:rPr>
                  <w:rStyle w:val="ae"/>
                  <w:lang w:val="en-US"/>
                </w:rPr>
                <w:t>www</w:t>
              </w:r>
              <w:r w:rsidRPr="005A3726">
                <w:rPr>
                  <w:rStyle w:val="ae"/>
                </w:rPr>
                <w:t>.</w:t>
              </w:r>
              <w:proofErr w:type="spellStart"/>
              <w:r w:rsidRPr="005A3726">
                <w:rPr>
                  <w:rStyle w:val="ae"/>
                  <w:lang w:val="en-US"/>
                </w:rPr>
                <w:t>bspbcapital</w:t>
              </w:r>
              <w:proofErr w:type="spellEnd"/>
              <w:r w:rsidRPr="005A3726">
                <w:rPr>
                  <w:rStyle w:val="ae"/>
                </w:rPr>
                <w:t>.</w:t>
              </w:r>
              <w:proofErr w:type="spellStart"/>
              <w:r w:rsidRPr="005A3726">
                <w:rPr>
                  <w:rStyle w:val="ae"/>
                  <w:lang w:val="en-US"/>
                </w:rPr>
                <w:t>ru</w:t>
              </w:r>
              <w:proofErr w:type="spellEnd"/>
            </w:hyperlink>
            <w:r w:rsidRPr="005A3726">
              <w:t xml:space="preserve">. </w:t>
            </w:r>
          </w:p>
        </w:tc>
      </w:tr>
    </w:tbl>
    <w:p w:rsidR="0039318D" w:rsidRPr="00674E7F" w:rsidRDefault="0039318D" w:rsidP="0065640B">
      <w:pPr>
        <w:jc w:val="center"/>
      </w:pPr>
    </w:p>
    <w:p w:rsidR="003E7EF8" w:rsidRDefault="003E7EF8" w:rsidP="00133D78">
      <w:pPr>
        <w:spacing w:before="120"/>
      </w:pPr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2D720D">
      <w:headerReference w:type="default" r:id="rId12"/>
      <w:footerReference w:type="default" r:id="rId13"/>
      <w:pgSz w:w="11906" w:h="16838"/>
      <w:pgMar w:top="426" w:right="707" w:bottom="568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5D" w:rsidRDefault="006D195D" w:rsidP="002524B9">
      <w:r>
        <w:separator/>
      </w:r>
    </w:p>
  </w:endnote>
  <w:endnote w:type="continuationSeparator" w:id="0">
    <w:p w:rsidR="006D195D" w:rsidRDefault="006D195D" w:rsidP="0025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5D" w:rsidRDefault="006D195D" w:rsidP="002524B9">
      <w:r>
        <w:separator/>
      </w:r>
    </w:p>
  </w:footnote>
  <w:footnote w:type="continuationSeparator" w:id="0">
    <w:p w:rsidR="006D195D" w:rsidRDefault="006D195D" w:rsidP="0025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D1" w:rsidRDefault="000677A7" w:rsidP="004336D1">
    <w:pPr>
      <w:pStyle w:val="a8"/>
      <w:spacing w:after="120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1E783B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CBE53C8"/>
    <w:multiLevelType w:val="hybridMultilevel"/>
    <w:tmpl w:val="BF661C9A"/>
    <w:lvl w:ilvl="0" w:tplc="A8AA25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05AB"/>
    <w:rsid w:val="00004D8D"/>
    <w:rsid w:val="000114EC"/>
    <w:rsid w:val="00022D60"/>
    <w:rsid w:val="00037BAA"/>
    <w:rsid w:val="000452EF"/>
    <w:rsid w:val="000463B3"/>
    <w:rsid w:val="0005428D"/>
    <w:rsid w:val="00056B90"/>
    <w:rsid w:val="000677A7"/>
    <w:rsid w:val="00067AF9"/>
    <w:rsid w:val="00073C46"/>
    <w:rsid w:val="00077D56"/>
    <w:rsid w:val="00081AED"/>
    <w:rsid w:val="000A10B8"/>
    <w:rsid w:val="000A4E50"/>
    <w:rsid w:val="000B34E5"/>
    <w:rsid w:val="000B7D62"/>
    <w:rsid w:val="000C145B"/>
    <w:rsid w:val="000C2362"/>
    <w:rsid w:val="000C29D3"/>
    <w:rsid w:val="000C5F00"/>
    <w:rsid w:val="000D4A90"/>
    <w:rsid w:val="000D59BC"/>
    <w:rsid w:val="000F273D"/>
    <w:rsid w:val="00114DE1"/>
    <w:rsid w:val="00133D78"/>
    <w:rsid w:val="00165A90"/>
    <w:rsid w:val="0016751C"/>
    <w:rsid w:val="00174AB7"/>
    <w:rsid w:val="001943EC"/>
    <w:rsid w:val="0019598D"/>
    <w:rsid w:val="001A73C8"/>
    <w:rsid w:val="001B1D44"/>
    <w:rsid w:val="001C4AAE"/>
    <w:rsid w:val="001C4B16"/>
    <w:rsid w:val="001D109D"/>
    <w:rsid w:val="001D5126"/>
    <w:rsid w:val="001D5223"/>
    <w:rsid w:val="001E37A5"/>
    <w:rsid w:val="001E5234"/>
    <w:rsid w:val="001E68CD"/>
    <w:rsid w:val="001E783B"/>
    <w:rsid w:val="001F396B"/>
    <w:rsid w:val="001F5908"/>
    <w:rsid w:val="0020223D"/>
    <w:rsid w:val="00205AF5"/>
    <w:rsid w:val="00206A55"/>
    <w:rsid w:val="00214F65"/>
    <w:rsid w:val="002241C7"/>
    <w:rsid w:val="00224FE2"/>
    <w:rsid w:val="002475C5"/>
    <w:rsid w:val="00247B32"/>
    <w:rsid w:val="002524B9"/>
    <w:rsid w:val="0025258A"/>
    <w:rsid w:val="00252D45"/>
    <w:rsid w:val="00277D12"/>
    <w:rsid w:val="00282722"/>
    <w:rsid w:val="00292A3A"/>
    <w:rsid w:val="002A0F13"/>
    <w:rsid w:val="002A76C9"/>
    <w:rsid w:val="002B08CD"/>
    <w:rsid w:val="002B5195"/>
    <w:rsid w:val="002B73D3"/>
    <w:rsid w:val="002C266D"/>
    <w:rsid w:val="002C2AE6"/>
    <w:rsid w:val="002D2941"/>
    <w:rsid w:val="002D720D"/>
    <w:rsid w:val="002E2543"/>
    <w:rsid w:val="002E44A8"/>
    <w:rsid w:val="002E716F"/>
    <w:rsid w:val="002F505E"/>
    <w:rsid w:val="00302CC5"/>
    <w:rsid w:val="0030690D"/>
    <w:rsid w:val="00310107"/>
    <w:rsid w:val="00325948"/>
    <w:rsid w:val="00326732"/>
    <w:rsid w:val="00331E5D"/>
    <w:rsid w:val="003416CE"/>
    <w:rsid w:val="003457F7"/>
    <w:rsid w:val="003544FD"/>
    <w:rsid w:val="003570EB"/>
    <w:rsid w:val="0037106A"/>
    <w:rsid w:val="003761A6"/>
    <w:rsid w:val="0039318D"/>
    <w:rsid w:val="0039614A"/>
    <w:rsid w:val="003A7665"/>
    <w:rsid w:val="003A7AE6"/>
    <w:rsid w:val="003C2F4D"/>
    <w:rsid w:val="003E7EF8"/>
    <w:rsid w:val="003F5521"/>
    <w:rsid w:val="004105F5"/>
    <w:rsid w:val="004336D1"/>
    <w:rsid w:val="00434318"/>
    <w:rsid w:val="00465939"/>
    <w:rsid w:val="00471075"/>
    <w:rsid w:val="0048290E"/>
    <w:rsid w:val="004A4CD6"/>
    <w:rsid w:val="004B291C"/>
    <w:rsid w:val="004B374D"/>
    <w:rsid w:val="004C1DBD"/>
    <w:rsid w:val="004D7666"/>
    <w:rsid w:val="004E5390"/>
    <w:rsid w:val="004F2520"/>
    <w:rsid w:val="00505B1B"/>
    <w:rsid w:val="00527C1D"/>
    <w:rsid w:val="00534E98"/>
    <w:rsid w:val="0054305E"/>
    <w:rsid w:val="00556C27"/>
    <w:rsid w:val="0058075A"/>
    <w:rsid w:val="005938DA"/>
    <w:rsid w:val="0059435E"/>
    <w:rsid w:val="00597762"/>
    <w:rsid w:val="00597C0C"/>
    <w:rsid w:val="005A3726"/>
    <w:rsid w:val="005C062C"/>
    <w:rsid w:val="005C267D"/>
    <w:rsid w:val="005D5CA2"/>
    <w:rsid w:val="005E43F9"/>
    <w:rsid w:val="005F6DD5"/>
    <w:rsid w:val="00616F8B"/>
    <w:rsid w:val="00642913"/>
    <w:rsid w:val="006453BD"/>
    <w:rsid w:val="00653E29"/>
    <w:rsid w:val="0065640B"/>
    <w:rsid w:val="00664A66"/>
    <w:rsid w:val="0067487B"/>
    <w:rsid w:val="00674E7F"/>
    <w:rsid w:val="0068037A"/>
    <w:rsid w:val="00681DBD"/>
    <w:rsid w:val="00684EA7"/>
    <w:rsid w:val="00692029"/>
    <w:rsid w:val="006A0A6E"/>
    <w:rsid w:val="006B64F2"/>
    <w:rsid w:val="006B7876"/>
    <w:rsid w:val="006B7EF7"/>
    <w:rsid w:val="006C4005"/>
    <w:rsid w:val="006C4F3B"/>
    <w:rsid w:val="006C7B0C"/>
    <w:rsid w:val="006D195D"/>
    <w:rsid w:val="006D62D7"/>
    <w:rsid w:val="006D6C19"/>
    <w:rsid w:val="006E73B1"/>
    <w:rsid w:val="006F12CD"/>
    <w:rsid w:val="006F4E0C"/>
    <w:rsid w:val="006F569A"/>
    <w:rsid w:val="00703C16"/>
    <w:rsid w:val="007065B5"/>
    <w:rsid w:val="00723A7D"/>
    <w:rsid w:val="00726950"/>
    <w:rsid w:val="00751358"/>
    <w:rsid w:val="00756F45"/>
    <w:rsid w:val="00765366"/>
    <w:rsid w:val="00765E08"/>
    <w:rsid w:val="00776191"/>
    <w:rsid w:val="0078315C"/>
    <w:rsid w:val="0078426F"/>
    <w:rsid w:val="00792378"/>
    <w:rsid w:val="007946BF"/>
    <w:rsid w:val="007A469E"/>
    <w:rsid w:val="007B4327"/>
    <w:rsid w:val="007C2092"/>
    <w:rsid w:val="007F0B49"/>
    <w:rsid w:val="007F7AD9"/>
    <w:rsid w:val="0080467F"/>
    <w:rsid w:val="0081230A"/>
    <w:rsid w:val="00823856"/>
    <w:rsid w:val="00825F25"/>
    <w:rsid w:val="00833E7C"/>
    <w:rsid w:val="0084217A"/>
    <w:rsid w:val="00844168"/>
    <w:rsid w:val="00846C97"/>
    <w:rsid w:val="00847560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2F3B"/>
    <w:rsid w:val="008F3EFA"/>
    <w:rsid w:val="009030D6"/>
    <w:rsid w:val="009039AA"/>
    <w:rsid w:val="00913299"/>
    <w:rsid w:val="009349FC"/>
    <w:rsid w:val="009511E7"/>
    <w:rsid w:val="009667FA"/>
    <w:rsid w:val="00970052"/>
    <w:rsid w:val="009853B2"/>
    <w:rsid w:val="009B17EA"/>
    <w:rsid w:val="009B5689"/>
    <w:rsid w:val="009B6E7A"/>
    <w:rsid w:val="009C1C8B"/>
    <w:rsid w:val="009C4F43"/>
    <w:rsid w:val="009C776B"/>
    <w:rsid w:val="009D061E"/>
    <w:rsid w:val="009D55D3"/>
    <w:rsid w:val="009D5739"/>
    <w:rsid w:val="009F1D8E"/>
    <w:rsid w:val="009F42F6"/>
    <w:rsid w:val="00A0578D"/>
    <w:rsid w:val="00A06199"/>
    <w:rsid w:val="00A07717"/>
    <w:rsid w:val="00A1089A"/>
    <w:rsid w:val="00A12780"/>
    <w:rsid w:val="00A230D8"/>
    <w:rsid w:val="00A444C9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034F"/>
    <w:rsid w:val="00AA27F8"/>
    <w:rsid w:val="00AA3C96"/>
    <w:rsid w:val="00AB750F"/>
    <w:rsid w:val="00AC5D2A"/>
    <w:rsid w:val="00AE140E"/>
    <w:rsid w:val="00AF0244"/>
    <w:rsid w:val="00AF1A61"/>
    <w:rsid w:val="00B00AFB"/>
    <w:rsid w:val="00B00D04"/>
    <w:rsid w:val="00B021B4"/>
    <w:rsid w:val="00B156A3"/>
    <w:rsid w:val="00B20392"/>
    <w:rsid w:val="00B55307"/>
    <w:rsid w:val="00B63F9A"/>
    <w:rsid w:val="00B71831"/>
    <w:rsid w:val="00B9462F"/>
    <w:rsid w:val="00B95F74"/>
    <w:rsid w:val="00BB0D76"/>
    <w:rsid w:val="00BC278E"/>
    <w:rsid w:val="00BD3D2E"/>
    <w:rsid w:val="00BD4E6F"/>
    <w:rsid w:val="00BD59A3"/>
    <w:rsid w:val="00C14511"/>
    <w:rsid w:val="00C33848"/>
    <w:rsid w:val="00C4086A"/>
    <w:rsid w:val="00C41C62"/>
    <w:rsid w:val="00C55DBE"/>
    <w:rsid w:val="00C56C8B"/>
    <w:rsid w:val="00C97A56"/>
    <w:rsid w:val="00CB24AB"/>
    <w:rsid w:val="00CC3B10"/>
    <w:rsid w:val="00CE0F06"/>
    <w:rsid w:val="00CE5ED0"/>
    <w:rsid w:val="00CF3408"/>
    <w:rsid w:val="00CF78D9"/>
    <w:rsid w:val="00D01C8A"/>
    <w:rsid w:val="00D17E5C"/>
    <w:rsid w:val="00D201F0"/>
    <w:rsid w:val="00D2480A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7EA2"/>
    <w:rsid w:val="00DB5B57"/>
    <w:rsid w:val="00DC039A"/>
    <w:rsid w:val="00DC07FA"/>
    <w:rsid w:val="00DC0E33"/>
    <w:rsid w:val="00DD4617"/>
    <w:rsid w:val="00DD6801"/>
    <w:rsid w:val="00E05106"/>
    <w:rsid w:val="00E05A74"/>
    <w:rsid w:val="00E05C78"/>
    <w:rsid w:val="00E13C07"/>
    <w:rsid w:val="00E2271F"/>
    <w:rsid w:val="00E266E9"/>
    <w:rsid w:val="00E2674D"/>
    <w:rsid w:val="00E306D4"/>
    <w:rsid w:val="00E31508"/>
    <w:rsid w:val="00E54E00"/>
    <w:rsid w:val="00E62567"/>
    <w:rsid w:val="00E63EA7"/>
    <w:rsid w:val="00E742C2"/>
    <w:rsid w:val="00E75755"/>
    <w:rsid w:val="00E75AA8"/>
    <w:rsid w:val="00E9237F"/>
    <w:rsid w:val="00E93822"/>
    <w:rsid w:val="00EA5F10"/>
    <w:rsid w:val="00EA631D"/>
    <w:rsid w:val="00EB3DD5"/>
    <w:rsid w:val="00ED5DE4"/>
    <w:rsid w:val="00EE0BEB"/>
    <w:rsid w:val="00EE20BB"/>
    <w:rsid w:val="00EE2997"/>
    <w:rsid w:val="00EE3489"/>
    <w:rsid w:val="00EF08F7"/>
    <w:rsid w:val="00EF7364"/>
    <w:rsid w:val="00F03F48"/>
    <w:rsid w:val="00F06060"/>
    <w:rsid w:val="00F07A4C"/>
    <w:rsid w:val="00F11205"/>
    <w:rsid w:val="00F20EDA"/>
    <w:rsid w:val="00F2416F"/>
    <w:rsid w:val="00F34DFB"/>
    <w:rsid w:val="00F45BE3"/>
    <w:rsid w:val="00F46716"/>
    <w:rsid w:val="00F57AB8"/>
    <w:rsid w:val="00F62718"/>
    <w:rsid w:val="00F70011"/>
    <w:rsid w:val="00F81EFD"/>
    <w:rsid w:val="00F82DD6"/>
    <w:rsid w:val="00F86CE5"/>
    <w:rsid w:val="00FB503B"/>
    <w:rsid w:val="00FC3FE6"/>
    <w:rsid w:val="00FC71FC"/>
    <w:rsid w:val="00FE384D"/>
    <w:rsid w:val="00FE556A"/>
    <w:rsid w:val="00FF735F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544FD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4336D1"/>
    <w:pPr>
      <w:spacing w:after="120"/>
      <w:ind w:left="283"/>
    </w:pPr>
    <w:rPr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336D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pbcapital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spbcapita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032_действующая редакция</Статус_x0020_документа>
    <_EndDate xmlns="http://schemas.microsoft.com/sharepoint/v3/fields">25.11.2021</_EndDate>
  </documentManagement>
</p:properties>
</file>

<file path=customXml/itemProps1.xml><?xml version="1.0" encoding="utf-8"?>
<ds:datastoreItem xmlns:ds="http://schemas.openxmlformats.org/officeDocument/2006/customXml" ds:itemID="{F80CE60F-9544-4E0A-A258-84EB76D87B68}"/>
</file>

<file path=customXml/itemProps2.xml><?xml version="1.0" encoding="utf-8"?>
<ds:datastoreItem xmlns:ds="http://schemas.openxmlformats.org/officeDocument/2006/customXml" ds:itemID="{3845D39D-5A1A-4DCA-8354-8445E643C795}"/>
</file>

<file path=customXml/itemProps3.xml><?xml version="1.0" encoding="utf-8"?>
<ds:datastoreItem xmlns:ds="http://schemas.openxmlformats.org/officeDocument/2006/customXml" ds:itemID="{0C413289-9608-4D1D-9D0A-E2037BD98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10659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2021-06-15T12:57:00Z</cp:lastPrinted>
  <dcterms:created xsi:type="dcterms:W3CDTF">2021-11-25T12:53:00Z</dcterms:created>
  <dcterms:modified xsi:type="dcterms:W3CDTF">2021-11-25T12:53:00Z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