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500" w:rsidRDefault="006B2500" w:rsidP="006B2500">
      <w:pPr>
        <w:rPr>
          <w:b/>
          <w:bCs/>
        </w:rPr>
      </w:pPr>
    </w:p>
    <w:p w:rsidR="006B2500" w:rsidRDefault="006B2500" w:rsidP="006B2500">
      <w:pPr>
        <w:jc w:val="center"/>
        <w:rPr>
          <w:b/>
          <w:bCs/>
        </w:rPr>
      </w:pPr>
      <w:r>
        <w:rPr>
          <w:b/>
          <w:bCs/>
        </w:rPr>
        <w:t xml:space="preserve">ИЗМЕНЕНИЯ И ДОПОЛНЕНИЯ № </w:t>
      </w:r>
      <w:r w:rsidR="00651BBD">
        <w:rPr>
          <w:b/>
          <w:bCs/>
        </w:rPr>
        <w:t>10</w:t>
      </w:r>
    </w:p>
    <w:p w:rsidR="006B2500" w:rsidRDefault="006B2500" w:rsidP="006B2500">
      <w:pPr>
        <w:jc w:val="center"/>
        <w:rPr>
          <w:b/>
          <w:bCs/>
        </w:rPr>
      </w:pPr>
      <w:r>
        <w:rPr>
          <w:b/>
          <w:bCs/>
        </w:rPr>
        <w:t>В ПРАВИЛА ДОВЕРИТЕЛЬНОГО УПРАВЛЕНИЯ</w:t>
      </w:r>
    </w:p>
    <w:p w:rsidR="006B2500" w:rsidRDefault="006B2500" w:rsidP="006B2500">
      <w:pPr>
        <w:jc w:val="center"/>
        <w:rPr>
          <w:b/>
          <w:bCs/>
        </w:rPr>
      </w:pPr>
      <w:r>
        <w:rPr>
          <w:b/>
          <w:bCs/>
        </w:rPr>
        <w:t>ЗАКРЫТЫМ ПАЕВЫМ</w:t>
      </w:r>
    </w:p>
    <w:p w:rsidR="006B2500" w:rsidRDefault="006B2500" w:rsidP="006B2500">
      <w:pPr>
        <w:jc w:val="center"/>
        <w:rPr>
          <w:b/>
          <w:bCs/>
        </w:rPr>
      </w:pPr>
      <w:r>
        <w:rPr>
          <w:b/>
          <w:bCs/>
        </w:rPr>
        <w:t>ИНВЕСТИЦИОННЫМ ФОНДОМ НЕДВИЖИМОСТИ</w:t>
      </w:r>
    </w:p>
    <w:p w:rsidR="006B2500" w:rsidRDefault="006B2500" w:rsidP="006B2500">
      <w:pPr>
        <w:jc w:val="center"/>
        <w:rPr>
          <w:b/>
          <w:bCs/>
        </w:rPr>
      </w:pPr>
      <w:r>
        <w:rPr>
          <w:b/>
          <w:bCs/>
        </w:rPr>
        <w:t xml:space="preserve">«БАЙКАЛ СТАР» </w:t>
      </w:r>
    </w:p>
    <w:p w:rsidR="006B2500" w:rsidRDefault="006B2500" w:rsidP="006B2500">
      <w:pPr>
        <w:jc w:val="center"/>
        <w:rPr>
          <w:b/>
          <w:bCs/>
        </w:rPr>
      </w:pPr>
      <w:r>
        <w:rPr>
          <w:b/>
          <w:bCs/>
        </w:rPr>
        <w:t>ПОД УПРАВЛЕНИЕМ ОАО «УК «БАЙКАЛЬСКИЙ КАПИТАЛ»</w:t>
      </w:r>
    </w:p>
    <w:p w:rsidR="006B2500" w:rsidRDefault="006B2500" w:rsidP="006B2500">
      <w:pPr>
        <w:jc w:val="center"/>
        <w:rPr>
          <w:b/>
          <w:bCs/>
        </w:rPr>
      </w:pPr>
    </w:p>
    <w:p w:rsidR="006B2500" w:rsidRDefault="006B2500" w:rsidP="006B250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B2500" w:rsidTr="006B2500">
        <w:tc>
          <w:tcPr>
            <w:tcW w:w="4785" w:type="dxa"/>
            <w:tcBorders>
              <w:top w:val="single" w:sz="4" w:space="0" w:color="auto"/>
              <w:left w:val="single" w:sz="4" w:space="0" w:color="auto"/>
              <w:bottom w:val="single" w:sz="4" w:space="0" w:color="auto"/>
              <w:right w:val="single" w:sz="4" w:space="0" w:color="auto"/>
            </w:tcBorders>
            <w:hideMark/>
          </w:tcPr>
          <w:p w:rsidR="006B2500" w:rsidRDefault="006B2500">
            <w:pPr>
              <w:jc w:val="center"/>
            </w:pPr>
            <w:r>
              <w:t>СТАРАЯ РЕДАКЦИЯ</w:t>
            </w:r>
          </w:p>
        </w:tc>
        <w:tc>
          <w:tcPr>
            <w:tcW w:w="4786" w:type="dxa"/>
            <w:tcBorders>
              <w:top w:val="single" w:sz="4" w:space="0" w:color="auto"/>
              <w:left w:val="single" w:sz="4" w:space="0" w:color="auto"/>
              <w:bottom w:val="single" w:sz="4" w:space="0" w:color="auto"/>
              <w:right w:val="single" w:sz="4" w:space="0" w:color="auto"/>
            </w:tcBorders>
            <w:hideMark/>
          </w:tcPr>
          <w:p w:rsidR="006B2500" w:rsidRDefault="006B2500">
            <w:pPr>
              <w:jc w:val="center"/>
            </w:pPr>
            <w:r>
              <w:t>НОВАЯ РЕДАКЦИЯ</w:t>
            </w:r>
          </w:p>
        </w:tc>
      </w:tr>
      <w:tr w:rsidR="006B2500" w:rsidTr="006B2500">
        <w:tc>
          <w:tcPr>
            <w:tcW w:w="4785" w:type="dxa"/>
            <w:tcBorders>
              <w:top w:val="single" w:sz="4" w:space="0" w:color="auto"/>
              <w:left w:val="single" w:sz="4" w:space="0" w:color="auto"/>
              <w:bottom w:val="single" w:sz="4" w:space="0" w:color="auto"/>
              <w:right w:val="single" w:sz="4" w:space="0" w:color="auto"/>
            </w:tcBorders>
          </w:tcPr>
          <w:p w:rsidR="006B2500" w:rsidRDefault="006B2500" w:rsidP="005F2150">
            <w:pPr>
              <w:tabs>
                <w:tab w:val="left" w:pos="9072"/>
              </w:tabs>
              <w:jc w:val="both"/>
              <w:rPr>
                <w:color w:val="000000"/>
              </w:rPr>
            </w:pPr>
          </w:p>
          <w:p w:rsidR="00651BBD" w:rsidRDefault="00651BBD" w:rsidP="005F2150">
            <w:pPr>
              <w:tabs>
                <w:tab w:val="left" w:pos="9072"/>
              </w:tabs>
              <w:jc w:val="both"/>
            </w:pPr>
            <w:bookmarkStart w:id="0" w:name="p_17"/>
            <w:bookmarkEnd w:id="0"/>
            <w:r>
              <w:t xml:space="preserve">14. Полное фирменное наименование аудитора </w:t>
            </w:r>
            <w:r w:rsidRPr="00E13D46">
              <w:t>фонда</w:t>
            </w:r>
            <w:r w:rsidRPr="00B838F8">
              <w:rPr>
                <w:color w:val="000000"/>
              </w:rPr>
              <w:t xml:space="preserve">: Общество с ограниченной ответственностью </w:t>
            </w:r>
            <w:r w:rsidR="00A95A7F" w:rsidRPr="005F2150">
              <w:rPr>
                <w:color w:val="000000"/>
              </w:rPr>
              <w:t>«БДО Юникон ВостСибАудит»</w:t>
            </w:r>
            <w:r>
              <w:rPr>
                <w:color w:val="993300"/>
              </w:rPr>
              <w:t xml:space="preserve"> </w:t>
            </w:r>
            <w:r w:rsidRPr="00E13D46">
              <w:t>(</w:t>
            </w:r>
            <w:r>
              <w:t>далее - аудитор).</w:t>
            </w:r>
          </w:p>
          <w:p w:rsidR="006B2500" w:rsidRDefault="006B2500" w:rsidP="005F2150">
            <w:pPr>
              <w:tabs>
                <w:tab w:val="left" w:pos="9072"/>
              </w:tabs>
              <w:jc w:val="both"/>
              <w:rPr>
                <w:color w:val="000000"/>
              </w:rPr>
            </w:pPr>
          </w:p>
          <w:p w:rsidR="00651BBD" w:rsidRDefault="00651BBD" w:rsidP="005F2150">
            <w:pPr>
              <w:tabs>
                <w:tab w:val="left" w:pos="9072"/>
              </w:tabs>
              <w:jc w:val="both"/>
            </w:pPr>
            <w:r>
              <w:t>42. Инвестиционные паи свободно обращаются по завершении формирования фонда.</w:t>
            </w:r>
          </w:p>
          <w:p w:rsidR="006B2500" w:rsidRDefault="006B2500" w:rsidP="005F2150">
            <w:pPr>
              <w:autoSpaceDE w:val="0"/>
              <w:autoSpaceDN w:val="0"/>
              <w:adjustRightInd w:val="0"/>
              <w:jc w:val="both"/>
            </w:pPr>
          </w:p>
          <w:p w:rsidR="008F6BFD" w:rsidRDefault="008F6BFD" w:rsidP="005F2150">
            <w:pPr>
              <w:autoSpaceDE w:val="0"/>
              <w:autoSpaceDN w:val="0"/>
              <w:adjustRightInd w:val="0"/>
              <w:jc w:val="both"/>
            </w:pPr>
          </w:p>
          <w:p w:rsidR="008F6BFD" w:rsidRDefault="008F6BFD" w:rsidP="005F2150">
            <w:pPr>
              <w:autoSpaceDE w:val="0"/>
              <w:autoSpaceDN w:val="0"/>
              <w:adjustRightInd w:val="0"/>
              <w:jc w:val="both"/>
            </w:pPr>
          </w:p>
          <w:p w:rsidR="008F6BFD" w:rsidRDefault="008F6BFD" w:rsidP="005F2150">
            <w:pPr>
              <w:autoSpaceDE w:val="0"/>
              <w:autoSpaceDN w:val="0"/>
              <w:adjustRightInd w:val="0"/>
              <w:jc w:val="both"/>
            </w:pPr>
          </w:p>
          <w:p w:rsidR="008F6BFD" w:rsidRDefault="008F6BFD" w:rsidP="005F2150">
            <w:pPr>
              <w:autoSpaceDE w:val="0"/>
              <w:autoSpaceDN w:val="0"/>
              <w:adjustRightInd w:val="0"/>
              <w:jc w:val="both"/>
            </w:pPr>
          </w:p>
          <w:p w:rsidR="008F6BFD" w:rsidRDefault="008F6BFD" w:rsidP="005F2150">
            <w:pPr>
              <w:autoSpaceDE w:val="0"/>
              <w:autoSpaceDN w:val="0"/>
              <w:adjustRightInd w:val="0"/>
              <w:jc w:val="both"/>
            </w:pPr>
          </w:p>
          <w:p w:rsidR="008F6BFD" w:rsidRDefault="008F6BFD" w:rsidP="005F2150">
            <w:pPr>
              <w:jc w:val="both"/>
              <w:rPr>
                <w:szCs w:val="28"/>
              </w:rPr>
            </w:pPr>
          </w:p>
          <w:p w:rsidR="008F6BFD" w:rsidRPr="009C5ABA" w:rsidRDefault="008F6BFD" w:rsidP="005F2150">
            <w:pPr>
              <w:jc w:val="both"/>
            </w:pPr>
            <w:r w:rsidRPr="00945BF0">
              <w:rPr>
                <w:szCs w:val="28"/>
              </w:rPr>
              <w:t>110. </w:t>
            </w:r>
            <w:bookmarkStart w:id="1" w:name="p_81"/>
            <w:bookmarkStart w:id="2" w:name="p_82"/>
            <w:bookmarkEnd w:id="1"/>
            <w:bookmarkEnd w:id="2"/>
            <w:r w:rsidRPr="009C5ABA">
              <w:t xml:space="preserve">За счет имущества, составляющего фонд, выплачиваются вознаграждения управляющей </w:t>
            </w:r>
            <w:r w:rsidRPr="00A96228">
              <w:t xml:space="preserve">компании </w:t>
            </w:r>
            <w:r w:rsidRPr="00A96228">
              <w:rPr>
                <w:color w:val="000000"/>
              </w:rPr>
              <w:t xml:space="preserve">в размере 0,3 (ноль целых три десятых) процента </w:t>
            </w:r>
            <w:r w:rsidRPr="009C5ABA">
              <w:rPr>
                <w:color w:val="000000"/>
              </w:rPr>
              <w:t>(с учетом налога на добавленную стоимость) среднегодовой стоимости чистых активов фонда</w:t>
            </w:r>
            <w:r>
              <w:rPr>
                <w:color w:val="000000"/>
              </w:rPr>
              <w:t>,</w:t>
            </w:r>
            <w:r w:rsidRPr="009C5ABA">
              <w:rPr>
                <w:color w:val="000000"/>
              </w:rPr>
              <w:t xml:space="preserve"> </w:t>
            </w:r>
            <w:r w:rsidRPr="00535025">
              <w:rPr>
                <w:color w:val="000000"/>
              </w:rPr>
              <w:t xml:space="preserve"> если на последний рабочий день пред</w:t>
            </w:r>
            <w:r w:rsidRPr="00693C39">
              <w:rPr>
                <w:color w:val="000000"/>
              </w:rPr>
              <w:t>шествующего календарного месяца, стоимость чистых активов фонда составила</w:t>
            </w:r>
            <w:r w:rsidRPr="00693C39">
              <w:t xml:space="preserve"> менее 550 000 000 (пятисот пятидесяти миллионов) рублей;  в размере 0,5 (ноль целых пяти десятых) процента (с учетом налога на добавленную стоимость) среднегодовой стоимости чистых активов фонда,</w:t>
            </w:r>
            <w:r w:rsidRPr="00693C39">
              <w:rPr>
                <w:sz w:val="22"/>
                <w:szCs w:val="22"/>
              </w:rPr>
              <w:t xml:space="preserve">  </w:t>
            </w:r>
            <w:r w:rsidRPr="00693C39">
              <w:t xml:space="preserve">если на последний рабочий день предшествующего календарного месяца,  стоимость чистых активов фонда равна или более 550 000 000 (пятисот пятидесяти миллионов) рублей, но менее 750 000 000 (семисот пятидесяти миллионов) рублей; в размере 1 (одного) процента (с учетом налога на добавленную стоимость)  среднегодовой стоимости чистых активов фонда, если  на последний рабочий день предшествующего календарного месяца,  стоимость чистых активов фонда более или равна 750 000 000 (семистам пятидесяти миллионам) рублей; а также специализированному депозитарию, </w:t>
            </w:r>
            <w:r w:rsidRPr="00693C39">
              <w:lastRenderedPageBreak/>
              <w:t>регистратору, аудитору и оценщику в размере не более </w:t>
            </w:r>
            <w:r w:rsidR="00A95A7F" w:rsidRPr="005F2150">
              <w:t>1,5 (Одного целого пяти десятых)</w:t>
            </w:r>
            <w:r w:rsidRPr="00693C39">
              <w:t xml:space="preserve"> процента (с учетом налога на добавленную</w:t>
            </w:r>
            <w:r w:rsidRPr="00693C39">
              <w:rPr>
                <w:color w:val="000000"/>
              </w:rPr>
              <w:t xml:space="preserve"> стоимость) среднегодовой стоимости чистых активов фонда.</w:t>
            </w:r>
          </w:p>
          <w:p w:rsidR="008F6BFD" w:rsidRDefault="008F6BFD" w:rsidP="005F2150">
            <w:pPr>
              <w:autoSpaceDE w:val="0"/>
              <w:autoSpaceDN w:val="0"/>
              <w:adjustRightInd w:val="0"/>
              <w:jc w:val="both"/>
            </w:pPr>
          </w:p>
        </w:tc>
        <w:tc>
          <w:tcPr>
            <w:tcW w:w="4786" w:type="dxa"/>
            <w:tcBorders>
              <w:top w:val="single" w:sz="4" w:space="0" w:color="auto"/>
              <w:left w:val="single" w:sz="4" w:space="0" w:color="auto"/>
              <w:bottom w:val="single" w:sz="4" w:space="0" w:color="auto"/>
              <w:right w:val="single" w:sz="4" w:space="0" w:color="auto"/>
            </w:tcBorders>
          </w:tcPr>
          <w:p w:rsidR="006B2500" w:rsidRDefault="006B2500" w:rsidP="005F2150">
            <w:pPr>
              <w:jc w:val="both"/>
            </w:pPr>
          </w:p>
          <w:p w:rsidR="00651BBD" w:rsidRDefault="00651BBD" w:rsidP="005F2150">
            <w:pPr>
              <w:tabs>
                <w:tab w:val="left" w:pos="9072"/>
              </w:tabs>
              <w:jc w:val="both"/>
            </w:pPr>
            <w:r>
              <w:t xml:space="preserve">14. Полное фирменное наименование аудитора </w:t>
            </w:r>
            <w:r w:rsidRPr="00E13D46">
              <w:t>фонда</w:t>
            </w:r>
            <w:r w:rsidRPr="00B838F8">
              <w:rPr>
                <w:color w:val="000000"/>
              </w:rPr>
              <w:t xml:space="preserve">: Общество с ограниченной ответственностью </w:t>
            </w:r>
            <w:r w:rsidR="00A95A7F" w:rsidRPr="005F2150">
              <w:rPr>
                <w:color w:val="000000"/>
              </w:rPr>
              <w:t>«ВостСибАудит»</w:t>
            </w:r>
            <w:r>
              <w:rPr>
                <w:color w:val="993300"/>
              </w:rPr>
              <w:t xml:space="preserve"> </w:t>
            </w:r>
            <w:r w:rsidRPr="00E13D46">
              <w:t>(</w:t>
            </w:r>
            <w:r>
              <w:t>далее - аудитор).</w:t>
            </w:r>
          </w:p>
          <w:p w:rsidR="006B2500" w:rsidRDefault="006B2500" w:rsidP="005F2150">
            <w:pPr>
              <w:tabs>
                <w:tab w:val="left" w:pos="9072"/>
              </w:tabs>
              <w:jc w:val="both"/>
              <w:rPr>
                <w:color w:val="000000"/>
              </w:rPr>
            </w:pPr>
          </w:p>
          <w:p w:rsidR="00651BBD" w:rsidRDefault="00651BBD" w:rsidP="005F2150">
            <w:pPr>
              <w:jc w:val="both"/>
            </w:pPr>
            <w:r>
              <w:t>42. Инвестиционные паи свободно обращаются по завершении формирования фонда.</w:t>
            </w:r>
          </w:p>
          <w:p w:rsidR="00651BBD" w:rsidRPr="005F2150" w:rsidRDefault="00A95A7F" w:rsidP="005F2150">
            <w:pPr>
              <w:jc w:val="both"/>
            </w:pPr>
            <w:r w:rsidRPr="005F2150">
              <w:t xml:space="preserve">Инвестиционные паи могут обращаться на организованных торгах. </w:t>
            </w:r>
          </w:p>
          <w:p w:rsidR="00651BBD" w:rsidRDefault="00A95A7F" w:rsidP="005F2150">
            <w:pPr>
              <w:jc w:val="both"/>
            </w:pPr>
            <w:r w:rsidRPr="005F2150">
              <w:t xml:space="preserve">Специализированный депозитарий, регистратор, </w:t>
            </w:r>
            <w:r w:rsidR="00E30329">
              <w:t>аудитор</w:t>
            </w:r>
            <w:r w:rsidRPr="005F2150">
              <w:t>, оценщик не могут являться владельцами инвестиционных паев.</w:t>
            </w:r>
            <w:r w:rsidR="00651BBD">
              <w:t xml:space="preserve"> </w:t>
            </w:r>
          </w:p>
          <w:p w:rsidR="006B2500" w:rsidRDefault="006B2500" w:rsidP="005F2150">
            <w:pPr>
              <w:autoSpaceDE w:val="0"/>
              <w:autoSpaceDN w:val="0"/>
              <w:adjustRightInd w:val="0"/>
              <w:jc w:val="both"/>
            </w:pPr>
          </w:p>
          <w:p w:rsidR="008F6BFD" w:rsidRDefault="008F6BFD" w:rsidP="005F2150">
            <w:pPr>
              <w:jc w:val="both"/>
            </w:pPr>
            <w:r w:rsidRPr="00945BF0">
              <w:rPr>
                <w:szCs w:val="28"/>
              </w:rPr>
              <w:t>110. </w:t>
            </w:r>
            <w:r w:rsidRPr="009C5ABA">
              <w:t xml:space="preserve">За счет имущества, составляющего фонд, выплачиваются вознаграждения управляющей </w:t>
            </w:r>
            <w:r w:rsidRPr="00A96228">
              <w:t xml:space="preserve">компании </w:t>
            </w:r>
            <w:r w:rsidRPr="00A96228">
              <w:rPr>
                <w:color w:val="000000"/>
              </w:rPr>
              <w:t xml:space="preserve">в размере 0,3 (ноль целых три десятых) процента </w:t>
            </w:r>
            <w:r w:rsidRPr="009C5ABA">
              <w:rPr>
                <w:color w:val="000000"/>
              </w:rPr>
              <w:t xml:space="preserve"> среднегодовой стоимости чистых активов фонда</w:t>
            </w:r>
            <w:r>
              <w:rPr>
                <w:color w:val="000000"/>
              </w:rPr>
              <w:t>,</w:t>
            </w:r>
            <w:r w:rsidRPr="009C5ABA">
              <w:rPr>
                <w:color w:val="000000"/>
              </w:rPr>
              <w:t xml:space="preserve"> </w:t>
            </w:r>
            <w:r w:rsidRPr="00535025">
              <w:rPr>
                <w:color w:val="000000"/>
              </w:rPr>
              <w:t xml:space="preserve"> если на последний рабочий день пред</w:t>
            </w:r>
            <w:r w:rsidRPr="00693C39">
              <w:rPr>
                <w:color w:val="000000"/>
              </w:rPr>
              <w:t>шествующего календарного месяца, стоимость чистых активов фонда составила</w:t>
            </w:r>
            <w:r w:rsidRPr="00693C39">
              <w:t xml:space="preserve"> менее 550 000 000 (пятисот пятидесяти миллионов) рублей;  в размере 0,5 (ноль целых пяти десятых) процента  среднегодовой стоимости чистых активов фонда,</w:t>
            </w:r>
            <w:r w:rsidRPr="00693C39">
              <w:rPr>
                <w:sz w:val="22"/>
                <w:szCs w:val="22"/>
              </w:rPr>
              <w:t xml:space="preserve">  </w:t>
            </w:r>
            <w:r w:rsidRPr="00693C39">
              <w:t>если на последний рабочий день предшествующего календарного месяца,  стоимость чистых активов фонда равна или более 550 000 000 (пятисот пятидесяти миллионов) рублей, но менее 750 000 000 (семисот пятидесяти миллионов) рублей; в размере 1 (одного) процента   среднегодовой стоимости чистых активов фонда, если  на последний рабочий день предшествующего календарного месяца,  стоимость чистых активов фонда более или равна 750 000 000 (семистам пятидесяти миллионам) рублей; а также специализированному депозитарию, регистратору, аудитору и оценщику в размере не более </w:t>
            </w:r>
            <w:r w:rsidR="00A95A7F" w:rsidRPr="005F2150">
              <w:t>1,35 (Одного целого тридцати пяти сотых)</w:t>
            </w:r>
            <w:r w:rsidRPr="00693C39">
              <w:t xml:space="preserve"> процента (с учетом </w:t>
            </w:r>
            <w:r w:rsidRPr="00693C39">
              <w:lastRenderedPageBreak/>
              <w:t>налога на добавленную</w:t>
            </w:r>
            <w:r w:rsidRPr="00693C39">
              <w:rPr>
                <w:color w:val="000000"/>
              </w:rPr>
              <w:t xml:space="preserve"> стоимость) среднегодовой стоимости чистых активов фонда.</w:t>
            </w:r>
          </w:p>
        </w:tc>
      </w:tr>
    </w:tbl>
    <w:p w:rsidR="006B2500" w:rsidRDefault="006B2500" w:rsidP="006B2500">
      <w:pPr>
        <w:jc w:val="center"/>
      </w:pPr>
    </w:p>
    <w:p w:rsidR="006B2500" w:rsidRDefault="006B2500" w:rsidP="006B2500">
      <w:pPr>
        <w:jc w:val="center"/>
      </w:pPr>
    </w:p>
    <w:p w:rsidR="006B2500" w:rsidRDefault="006B2500" w:rsidP="006B2500">
      <w:r>
        <w:t xml:space="preserve">Генеральный директор </w:t>
      </w:r>
    </w:p>
    <w:p w:rsidR="006B2500" w:rsidRDefault="006B2500" w:rsidP="006B2500">
      <w:pPr>
        <w:rPr>
          <w:sz w:val="22"/>
          <w:szCs w:val="22"/>
        </w:rPr>
      </w:pPr>
      <w:r>
        <w:t>ОАО «УК «Байкальский капитал»                                                                          С.Ю. Малых</w:t>
      </w:r>
      <w:r>
        <w:rPr>
          <w:sz w:val="22"/>
          <w:szCs w:val="22"/>
        </w:rPr>
        <w:t xml:space="preserve">                                                                                              </w:t>
      </w:r>
    </w:p>
    <w:p w:rsidR="00F523D6" w:rsidRDefault="00F523D6">
      <w:pPr>
        <w:jc w:val="right"/>
      </w:pPr>
    </w:p>
    <w:sectPr w:rsidR="00F523D6" w:rsidSect="00A95A7F">
      <w:pgSz w:w="11906" w:h="16838"/>
      <w:pgMar w:top="36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357"/>
  <w:characterSpacingControl w:val="doNotCompress"/>
  <w:compat/>
  <w:rsids>
    <w:rsidRoot w:val="005F0EF5"/>
    <w:rsid w:val="000536E2"/>
    <w:rsid w:val="0044747D"/>
    <w:rsid w:val="00497830"/>
    <w:rsid w:val="005A50D0"/>
    <w:rsid w:val="005B78A5"/>
    <w:rsid w:val="005F0EF5"/>
    <w:rsid w:val="005F2150"/>
    <w:rsid w:val="006036E2"/>
    <w:rsid w:val="00651BBD"/>
    <w:rsid w:val="006B2500"/>
    <w:rsid w:val="007D6E6C"/>
    <w:rsid w:val="008031D4"/>
    <w:rsid w:val="008F6BFD"/>
    <w:rsid w:val="00926F62"/>
    <w:rsid w:val="009B67FF"/>
    <w:rsid w:val="00A95A7F"/>
    <w:rsid w:val="00B46AAA"/>
    <w:rsid w:val="00B82693"/>
    <w:rsid w:val="00CB01F3"/>
    <w:rsid w:val="00D204FD"/>
    <w:rsid w:val="00D50D83"/>
    <w:rsid w:val="00E21A63"/>
    <w:rsid w:val="00E30329"/>
    <w:rsid w:val="00F523D6"/>
    <w:rsid w:val="00F85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A7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A95A7F"/>
    <w:pPr>
      <w:tabs>
        <w:tab w:val="center" w:pos="4677"/>
        <w:tab w:val="right" w:pos="9355"/>
      </w:tabs>
    </w:pPr>
  </w:style>
  <w:style w:type="character" w:styleId="a4">
    <w:name w:val="Hyperlink"/>
    <w:basedOn w:val="a0"/>
    <w:semiHidden/>
    <w:rsid w:val="00A95A7F"/>
    <w:rPr>
      <w:color w:val="0000FF"/>
      <w:u w:val="single"/>
    </w:rPr>
  </w:style>
  <w:style w:type="paragraph" w:styleId="a5">
    <w:name w:val="Body Text Indent"/>
    <w:basedOn w:val="a"/>
    <w:link w:val="a6"/>
    <w:semiHidden/>
    <w:unhideWhenUsed/>
    <w:rsid w:val="005F0EF5"/>
    <w:pPr>
      <w:spacing w:after="120"/>
      <w:ind w:left="283"/>
    </w:pPr>
  </w:style>
  <w:style w:type="character" w:customStyle="1" w:styleId="a6">
    <w:name w:val="Основной текст с отступом Знак"/>
    <w:basedOn w:val="a0"/>
    <w:link w:val="a5"/>
    <w:semiHidden/>
    <w:rsid w:val="005F0EF5"/>
    <w:rPr>
      <w:sz w:val="24"/>
      <w:szCs w:val="24"/>
    </w:rPr>
  </w:style>
  <w:style w:type="paragraph" w:customStyle="1" w:styleId="ConsPlusNonformat">
    <w:name w:val="ConsPlusNonformat"/>
    <w:rsid w:val="005F0EF5"/>
    <w:pPr>
      <w:autoSpaceDE w:val="0"/>
      <w:autoSpaceDN w:val="0"/>
      <w:adjustRightInd w:val="0"/>
    </w:pPr>
    <w:rPr>
      <w:rFonts w:ascii="Courier New" w:hAnsi="Courier New" w:cs="Courier New"/>
    </w:rPr>
  </w:style>
  <w:style w:type="paragraph" w:customStyle="1" w:styleId="fieldcomment">
    <w:name w:val="field_comment"/>
    <w:basedOn w:val="a"/>
    <w:rsid w:val="005F0EF5"/>
    <w:pPr>
      <w:spacing w:before="45" w:after="45"/>
    </w:pPr>
    <w:rPr>
      <w:rFonts w:ascii="Arial" w:hAnsi="Arial" w:cs="Arial"/>
      <w:sz w:val="9"/>
      <w:szCs w:val="9"/>
      <w:lang w:val="en-US" w:eastAsia="en-US"/>
    </w:rPr>
  </w:style>
  <w:style w:type="paragraph" w:styleId="a7">
    <w:name w:val="Balloon Text"/>
    <w:basedOn w:val="a"/>
    <w:link w:val="a8"/>
    <w:uiPriority w:val="99"/>
    <w:semiHidden/>
    <w:unhideWhenUsed/>
    <w:rsid w:val="00651BBD"/>
    <w:rPr>
      <w:rFonts w:ascii="Tahoma" w:hAnsi="Tahoma" w:cs="Tahoma"/>
      <w:sz w:val="16"/>
      <w:szCs w:val="16"/>
    </w:rPr>
  </w:style>
  <w:style w:type="character" w:customStyle="1" w:styleId="a8">
    <w:name w:val="Текст выноски Знак"/>
    <w:basedOn w:val="a0"/>
    <w:link w:val="a7"/>
    <w:uiPriority w:val="99"/>
    <w:semiHidden/>
    <w:rsid w:val="00651B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7857332">
      <w:bodyDiv w:val="1"/>
      <w:marLeft w:val="0"/>
      <w:marRight w:val="0"/>
      <w:marTop w:val="0"/>
      <w:marBottom w:val="0"/>
      <w:divBdr>
        <w:top w:val="none" w:sz="0" w:space="0" w:color="auto"/>
        <w:left w:val="none" w:sz="0" w:space="0" w:color="auto"/>
        <w:bottom w:val="none" w:sz="0" w:space="0" w:color="auto"/>
        <w:right w:val="none" w:sz="0" w:space="0" w:color="auto"/>
      </w:divBdr>
    </w:div>
    <w:div w:id="1448810144">
      <w:bodyDiv w:val="1"/>
      <w:marLeft w:val="0"/>
      <w:marRight w:val="0"/>
      <w:marTop w:val="0"/>
      <w:marBottom w:val="0"/>
      <w:divBdr>
        <w:top w:val="none" w:sz="0" w:space="0" w:color="auto"/>
        <w:left w:val="none" w:sz="0" w:space="0" w:color="auto"/>
        <w:bottom w:val="none" w:sz="0" w:space="0" w:color="auto"/>
        <w:right w:val="none" w:sz="0" w:space="0" w:color="auto"/>
      </w:divBdr>
    </w:div>
    <w:div w:id="203719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010_частично действующая редакция</Статус_x0020_документа>
    <_EndDate xmlns="http://schemas.microsoft.com/sharepoint/v3/fields">2013-09-16T20:00:00+00:00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D8882-33EC-45D0-BBBC-B1452AA1FB0C}"/>
</file>

<file path=customXml/itemProps2.xml><?xml version="1.0" encoding="utf-8"?>
<ds:datastoreItem xmlns:ds="http://schemas.openxmlformats.org/officeDocument/2006/customXml" ds:itemID="{20A6A99D-14BC-4579-AC8F-B613363C5E45}"/>
</file>

<file path=customXml/itemProps3.xml><?xml version="1.0" encoding="utf-8"?>
<ds:datastoreItem xmlns:ds="http://schemas.openxmlformats.org/officeDocument/2006/customXml" ds:itemID="{F659CE27-A4A0-44CB-8220-4A38271C2A9B}"/>
</file>

<file path=customXml/itemProps4.xml><?xml version="1.0" encoding="utf-8"?>
<ds:datastoreItem xmlns:ds="http://schemas.openxmlformats.org/officeDocument/2006/customXml" ds:itemID="{9A0508D0-FC1C-4EB6-9D93-A5B548F3028B}"/>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3073</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Irkutsk region</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dc:creator>
  <cp:lastModifiedBy>Семенова</cp:lastModifiedBy>
  <cp:revision>2</cp:revision>
  <cp:lastPrinted>2013-07-22T05:26:00Z</cp:lastPrinted>
  <dcterms:created xsi:type="dcterms:W3CDTF">2013-08-14T05:12:00Z</dcterms:created>
  <dcterms:modified xsi:type="dcterms:W3CDTF">2013-08-14T05:12:00Z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