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2" w:rsidRDefault="00D12D62" w:rsidP="00D12D62">
      <w:pPr>
        <w:jc w:val="center"/>
      </w:pPr>
    </w:p>
    <w:tbl>
      <w:tblPr>
        <w:tblW w:w="4501" w:type="dxa"/>
        <w:tblInd w:w="5328" w:type="dxa"/>
        <w:tblLayout w:type="fixed"/>
        <w:tblLook w:val="0000"/>
      </w:tblPr>
      <w:tblGrid>
        <w:gridCol w:w="4501"/>
      </w:tblGrid>
      <w:tr w:rsidR="00D12D62" w:rsidRPr="00D04125">
        <w:tblPrEx>
          <w:tblCellMar>
            <w:top w:w="0" w:type="dxa"/>
            <w:bottom w:w="0" w:type="dxa"/>
          </w:tblCellMar>
        </w:tblPrEx>
        <w:tc>
          <w:tcPr>
            <w:tcW w:w="4501" w:type="dxa"/>
            <w:tcBorders>
              <w:top w:val="nil"/>
              <w:left w:val="nil"/>
              <w:bottom w:val="nil"/>
              <w:right w:val="nil"/>
            </w:tcBorders>
          </w:tcPr>
          <w:p w:rsidR="00D12D62" w:rsidRDefault="00D12D62" w:rsidP="0047058C">
            <w:pPr>
              <w:keepNext/>
              <w:widowControl w:val="0"/>
              <w:suppressLineNumbers/>
              <w:suppressAutoHyphens/>
              <w:autoSpaceDE w:val="0"/>
              <w:autoSpaceDN w:val="0"/>
              <w:adjustRightInd w:val="0"/>
              <w:jc w:val="right"/>
              <w:rPr>
                <w:rFonts w:ascii="Times New Roman CYR" w:hAnsi="Times New Roman CYR" w:cs="Times New Roman CYR"/>
                <w:b/>
                <w:bCs/>
                <w:sz w:val="22"/>
                <w:szCs w:val="22"/>
              </w:rPr>
            </w:pPr>
            <w:r w:rsidRPr="00BA68FF">
              <w:rPr>
                <w:rFonts w:ascii="Times New Roman CYR" w:hAnsi="Times New Roman CYR" w:cs="Times New Roman CYR"/>
                <w:b/>
                <w:bCs/>
                <w:sz w:val="22"/>
                <w:szCs w:val="22"/>
              </w:rPr>
              <w:t>УТВЕРЖДЕНЫ</w:t>
            </w:r>
          </w:p>
          <w:p w:rsidR="0047058C" w:rsidRPr="0047058C" w:rsidRDefault="0047058C" w:rsidP="0047058C">
            <w:pPr>
              <w:jc w:val="right"/>
              <w:rPr>
                <w:rFonts w:ascii="Times New Roman CYR" w:hAnsi="Times New Roman CYR" w:cs="Times New Roman CYR"/>
                <w:sz w:val="22"/>
                <w:szCs w:val="22"/>
              </w:rPr>
            </w:pPr>
            <w:r w:rsidRPr="0047058C">
              <w:rPr>
                <w:rFonts w:ascii="Times New Roman CYR" w:hAnsi="Times New Roman CYR" w:cs="Times New Roman CYR"/>
                <w:sz w:val="22"/>
                <w:szCs w:val="22"/>
              </w:rPr>
              <w:t xml:space="preserve">Решением общего собрания владельцев инвестиционных паев </w:t>
            </w:r>
          </w:p>
          <w:p w:rsidR="0047058C" w:rsidRPr="0047058C" w:rsidRDefault="0047058C" w:rsidP="0047058C">
            <w:pPr>
              <w:jc w:val="right"/>
              <w:rPr>
                <w:rFonts w:ascii="Times New Roman CYR" w:hAnsi="Times New Roman CYR" w:cs="Times New Roman CYR"/>
                <w:sz w:val="22"/>
                <w:szCs w:val="22"/>
              </w:rPr>
            </w:pPr>
            <w:r w:rsidRPr="0047058C">
              <w:rPr>
                <w:rFonts w:ascii="Times New Roman CYR" w:hAnsi="Times New Roman CYR" w:cs="Times New Roman CYR"/>
                <w:sz w:val="22"/>
                <w:szCs w:val="22"/>
              </w:rPr>
              <w:t>(</w:t>
            </w:r>
            <w:proofErr w:type="gramStart"/>
            <w:r w:rsidRPr="0047058C">
              <w:rPr>
                <w:rFonts w:ascii="Times New Roman CYR" w:hAnsi="Times New Roman CYR" w:cs="Times New Roman CYR"/>
                <w:sz w:val="22"/>
                <w:szCs w:val="22"/>
              </w:rPr>
              <w:t>протокол б</w:t>
            </w:r>
            <w:proofErr w:type="gramEnd"/>
            <w:r w:rsidRPr="0047058C">
              <w:rPr>
                <w:rFonts w:ascii="Times New Roman CYR" w:hAnsi="Times New Roman CYR" w:cs="Times New Roman CYR"/>
                <w:sz w:val="22"/>
                <w:szCs w:val="22"/>
              </w:rPr>
              <w:t>/н от «17» мая 2018 года)</w:t>
            </w:r>
          </w:p>
          <w:p w:rsidR="0047058C" w:rsidRPr="00BA68FF" w:rsidRDefault="0047058C" w:rsidP="0047058C">
            <w:pPr>
              <w:jc w:val="right"/>
              <w:rPr>
                <w:rFonts w:ascii="Times New Roman CYR" w:hAnsi="Times New Roman CYR" w:cs="Times New Roman CYR"/>
                <w:sz w:val="22"/>
                <w:szCs w:val="22"/>
              </w:rPr>
            </w:pPr>
            <w:r>
              <w:rPr>
                <w:rFonts w:ascii="Times New Roman CYR" w:hAnsi="Times New Roman CYR" w:cs="Times New Roman CYR"/>
                <w:sz w:val="22"/>
                <w:szCs w:val="22"/>
              </w:rPr>
              <w:t xml:space="preserve">                          </w:t>
            </w:r>
            <w:r w:rsidRPr="0047058C">
              <w:rPr>
                <w:rFonts w:ascii="Times New Roman CYR" w:hAnsi="Times New Roman CYR" w:cs="Times New Roman CYR"/>
                <w:sz w:val="22"/>
                <w:szCs w:val="22"/>
              </w:rPr>
              <w:t>и</w:t>
            </w:r>
          </w:p>
        </w:tc>
      </w:tr>
      <w:tr w:rsidR="00D12D62" w:rsidRPr="00D04125">
        <w:tblPrEx>
          <w:tblCellMar>
            <w:top w:w="0" w:type="dxa"/>
            <w:bottom w:w="0" w:type="dxa"/>
          </w:tblCellMar>
        </w:tblPrEx>
        <w:tc>
          <w:tcPr>
            <w:tcW w:w="4501" w:type="dxa"/>
            <w:tcBorders>
              <w:top w:val="nil"/>
              <w:left w:val="nil"/>
              <w:bottom w:val="nil"/>
              <w:right w:val="nil"/>
            </w:tcBorders>
          </w:tcPr>
          <w:p w:rsidR="00D12D62" w:rsidRPr="00BA68FF" w:rsidRDefault="00D12D62" w:rsidP="0047058C">
            <w:pPr>
              <w:keepNext/>
              <w:widowControl w:val="0"/>
              <w:suppressLineNumbers/>
              <w:suppressAutoHyphens/>
              <w:autoSpaceDE w:val="0"/>
              <w:autoSpaceDN w:val="0"/>
              <w:adjustRightInd w:val="0"/>
              <w:jc w:val="right"/>
              <w:rPr>
                <w:rFonts w:ascii="Times New Roman CYR" w:hAnsi="Times New Roman CYR" w:cs="Times New Roman CYR"/>
                <w:sz w:val="22"/>
                <w:szCs w:val="22"/>
              </w:rPr>
            </w:pPr>
            <w:r w:rsidRPr="00BA68FF">
              <w:rPr>
                <w:rFonts w:ascii="Times New Roman CYR" w:hAnsi="Times New Roman CYR" w:cs="Times New Roman CYR"/>
                <w:sz w:val="22"/>
                <w:szCs w:val="22"/>
              </w:rPr>
              <w:t xml:space="preserve">Приказом Генерального директора </w:t>
            </w:r>
          </w:p>
          <w:p w:rsidR="00D12D62" w:rsidRPr="00BA68FF" w:rsidRDefault="00D12D62" w:rsidP="0047058C">
            <w:pPr>
              <w:keepNext/>
              <w:widowControl w:val="0"/>
              <w:suppressLineNumbers/>
              <w:suppressAutoHyphens/>
              <w:autoSpaceDE w:val="0"/>
              <w:autoSpaceDN w:val="0"/>
              <w:adjustRightInd w:val="0"/>
              <w:jc w:val="right"/>
              <w:rPr>
                <w:rFonts w:ascii="Times New Roman CYR" w:hAnsi="Times New Roman CYR" w:cs="Times New Roman CYR"/>
                <w:sz w:val="22"/>
                <w:szCs w:val="22"/>
              </w:rPr>
            </w:pPr>
            <w:r w:rsidRPr="00BA68FF">
              <w:rPr>
                <w:rFonts w:ascii="Times New Roman CYR" w:hAnsi="Times New Roman CYR" w:cs="Times New Roman CYR"/>
                <w:sz w:val="22"/>
                <w:szCs w:val="22"/>
              </w:rPr>
              <w:t>О</w:t>
            </w:r>
            <w:r w:rsidR="003339EE" w:rsidRPr="00BA68FF">
              <w:rPr>
                <w:rFonts w:ascii="Times New Roman CYR" w:hAnsi="Times New Roman CYR" w:cs="Times New Roman CYR"/>
                <w:sz w:val="22"/>
                <w:szCs w:val="22"/>
              </w:rPr>
              <w:t>О</w:t>
            </w:r>
            <w:r w:rsidRPr="00BA68FF">
              <w:rPr>
                <w:rFonts w:ascii="Times New Roman CYR" w:hAnsi="Times New Roman CYR" w:cs="Times New Roman CYR"/>
                <w:sz w:val="22"/>
                <w:szCs w:val="22"/>
              </w:rPr>
              <w:t>О «</w:t>
            </w:r>
            <w:r w:rsidR="00BE0B2C">
              <w:rPr>
                <w:rFonts w:ascii="Times New Roman CYR" w:hAnsi="Times New Roman CYR" w:cs="Times New Roman CYR"/>
                <w:sz w:val="22"/>
                <w:szCs w:val="22"/>
              </w:rPr>
              <w:t>УК «</w:t>
            </w:r>
            <w:r w:rsidR="003339EE" w:rsidRPr="00BA68FF">
              <w:rPr>
                <w:rFonts w:ascii="Times New Roman CYR" w:hAnsi="Times New Roman CYR" w:cs="Times New Roman CYR"/>
                <w:sz w:val="22"/>
                <w:szCs w:val="22"/>
              </w:rPr>
              <w:t>ФОРТИС-Инвест</w:t>
            </w:r>
            <w:r w:rsidRPr="00BA68FF">
              <w:rPr>
                <w:rFonts w:ascii="Times New Roman CYR" w:hAnsi="Times New Roman CYR" w:cs="Times New Roman CYR"/>
                <w:sz w:val="22"/>
                <w:szCs w:val="22"/>
              </w:rPr>
              <w:t>»</w:t>
            </w:r>
          </w:p>
          <w:p w:rsidR="00D12D62" w:rsidRPr="00BA68FF" w:rsidRDefault="00D12D62" w:rsidP="00B877A8">
            <w:pPr>
              <w:keepNext/>
              <w:widowControl w:val="0"/>
              <w:suppressLineNumbers/>
              <w:suppressAutoHyphens/>
              <w:autoSpaceDE w:val="0"/>
              <w:autoSpaceDN w:val="0"/>
              <w:adjustRightInd w:val="0"/>
              <w:jc w:val="right"/>
              <w:rPr>
                <w:sz w:val="22"/>
                <w:szCs w:val="22"/>
              </w:rPr>
            </w:pPr>
            <w:r w:rsidRPr="00BA68FF">
              <w:rPr>
                <w:rFonts w:ascii="Times New Roman CYR" w:hAnsi="Times New Roman CYR" w:cs="Times New Roman CYR"/>
                <w:sz w:val="22"/>
                <w:szCs w:val="22"/>
              </w:rPr>
              <w:t>(</w:t>
            </w:r>
            <w:r w:rsidR="008C32AF" w:rsidRPr="00BA68FF">
              <w:rPr>
                <w:rFonts w:ascii="Times New Roman CYR" w:hAnsi="Times New Roman CYR" w:cs="Times New Roman CYR"/>
                <w:sz w:val="22"/>
                <w:szCs w:val="22"/>
              </w:rPr>
              <w:t xml:space="preserve">Приказ от </w:t>
            </w:r>
            <w:r w:rsidR="006E51AA">
              <w:rPr>
                <w:rFonts w:ascii="Times New Roman CYR" w:hAnsi="Times New Roman CYR" w:cs="Times New Roman CYR"/>
                <w:sz w:val="22"/>
                <w:szCs w:val="22"/>
              </w:rPr>
              <w:t>18</w:t>
            </w:r>
            <w:r w:rsidR="008C32AF" w:rsidRPr="00BA68FF">
              <w:rPr>
                <w:rFonts w:ascii="Times New Roman CYR" w:hAnsi="Times New Roman CYR" w:cs="Times New Roman CYR"/>
                <w:sz w:val="22"/>
                <w:szCs w:val="22"/>
              </w:rPr>
              <w:t>.</w:t>
            </w:r>
            <w:r w:rsidR="009D1558">
              <w:rPr>
                <w:rFonts w:ascii="Times New Roman CYR" w:hAnsi="Times New Roman CYR" w:cs="Times New Roman CYR"/>
                <w:sz w:val="22"/>
                <w:szCs w:val="22"/>
              </w:rPr>
              <w:t>0</w:t>
            </w:r>
            <w:r w:rsidR="006E51AA">
              <w:rPr>
                <w:rFonts w:ascii="Times New Roman CYR" w:hAnsi="Times New Roman CYR" w:cs="Times New Roman CYR"/>
                <w:sz w:val="22"/>
                <w:szCs w:val="22"/>
              </w:rPr>
              <w:t>5</w:t>
            </w:r>
            <w:r w:rsidR="008C32AF" w:rsidRPr="00BA68FF">
              <w:rPr>
                <w:rFonts w:ascii="Times New Roman CYR" w:hAnsi="Times New Roman CYR" w:cs="Times New Roman CYR"/>
                <w:sz w:val="22"/>
                <w:szCs w:val="22"/>
              </w:rPr>
              <w:t>.201</w:t>
            </w:r>
            <w:r w:rsidR="009D1558">
              <w:rPr>
                <w:rFonts w:ascii="Times New Roman CYR" w:hAnsi="Times New Roman CYR" w:cs="Times New Roman CYR"/>
                <w:sz w:val="22"/>
                <w:szCs w:val="22"/>
              </w:rPr>
              <w:t>8</w:t>
            </w:r>
            <w:r w:rsidR="008C32AF" w:rsidRPr="00BA68FF">
              <w:rPr>
                <w:rFonts w:ascii="Times New Roman CYR" w:hAnsi="Times New Roman CYR" w:cs="Times New Roman CYR"/>
                <w:sz w:val="22"/>
                <w:szCs w:val="22"/>
              </w:rPr>
              <w:t xml:space="preserve"> г</w:t>
            </w:r>
            <w:r w:rsidR="008C32AF" w:rsidRPr="00223B28">
              <w:rPr>
                <w:rFonts w:ascii="Times New Roman CYR" w:hAnsi="Times New Roman CYR" w:cs="Times New Roman CYR"/>
                <w:sz w:val="22"/>
                <w:szCs w:val="22"/>
              </w:rPr>
              <w:t xml:space="preserve">. № </w:t>
            </w:r>
            <w:r w:rsidR="009D1558">
              <w:t>1</w:t>
            </w:r>
            <w:r w:rsidR="009D1558" w:rsidRPr="00013EFD">
              <w:t>-</w:t>
            </w:r>
            <w:r w:rsidR="006E51AA">
              <w:t>18</w:t>
            </w:r>
            <w:r w:rsidR="009D1558" w:rsidRPr="00013EFD">
              <w:t>/</w:t>
            </w:r>
            <w:r w:rsidR="009D1558">
              <w:t>0</w:t>
            </w:r>
            <w:r w:rsidR="006E51AA">
              <w:t>5</w:t>
            </w:r>
            <w:r w:rsidR="008C32AF" w:rsidRPr="00223B28">
              <w:rPr>
                <w:rFonts w:ascii="Times New Roman CYR" w:hAnsi="Times New Roman CYR" w:cs="Times New Roman CYR"/>
                <w:sz w:val="22"/>
                <w:szCs w:val="22"/>
              </w:rPr>
              <w:t>.</w:t>
            </w:r>
            <w:r w:rsidRPr="00223B28">
              <w:rPr>
                <w:rFonts w:ascii="Times New Roman CYR" w:hAnsi="Times New Roman CYR" w:cs="Times New Roman CYR"/>
                <w:sz w:val="22"/>
                <w:szCs w:val="22"/>
              </w:rPr>
              <w:t>)</w:t>
            </w:r>
          </w:p>
        </w:tc>
      </w:tr>
      <w:tr w:rsidR="00D12D62" w:rsidRPr="00D04125">
        <w:tblPrEx>
          <w:tblCellMar>
            <w:top w:w="0" w:type="dxa"/>
            <w:bottom w:w="0" w:type="dxa"/>
          </w:tblCellMar>
        </w:tblPrEx>
        <w:tc>
          <w:tcPr>
            <w:tcW w:w="4501" w:type="dxa"/>
            <w:tcBorders>
              <w:top w:val="nil"/>
              <w:left w:val="nil"/>
              <w:bottom w:val="nil"/>
              <w:right w:val="nil"/>
            </w:tcBorders>
          </w:tcPr>
          <w:p w:rsidR="00D12D62" w:rsidRPr="00BA68FF" w:rsidRDefault="00D12D62" w:rsidP="00B877A8">
            <w:pPr>
              <w:keepNext/>
              <w:keepLines/>
              <w:widowControl w:val="0"/>
              <w:suppressLineNumbers/>
              <w:suppressAutoHyphens/>
              <w:autoSpaceDE w:val="0"/>
              <w:autoSpaceDN w:val="0"/>
              <w:adjustRightInd w:val="0"/>
              <w:spacing w:before="200"/>
              <w:jc w:val="right"/>
              <w:rPr>
                <w:rFonts w:ascii="Times New Roman CYR" w:hAnsi="Times New Roman CYR" w:cs="Times New Roman CYR"/>
                <w:sz w:val="22"/>
                <w:szCs w:val="22"/>
              </w:rPr>
            </w:pPr>
          </w:p>
        </w:tc>
      </w:tr>
      <w:tr w:rsidR="00D12D62" w:rsidRPr="00D04125">
        <w:tblPrEx>
          <w:tblCellMar>
            <w:top w:w="0" w:type="dxa"/>
            <w:bottom w:w="0" w:type="dxa"/>
          </w:tblCellMar>
        </w:tblPrEx>
        <w:tc>
          <w:tcPr>
            <w:tcW w:w="4501" w:type="dxa"/>
            <w:tcBorders>
              <w:top w:val="nil"/>
              <w:left w:val="nil"/>
              <w:bottom w:val="nil"/>
              <w:right w:val="nil"/>
            </w:tcBorders>
          </w:tcPr>
          <w:p w:rsidR="00D12D62" w:rsidRPr="00BA68FF" w:rsidRDefault="00D12D62" w:rsidP="00B877A8">
            <w:pPr>
              <w:keepNext/>
              <w:widowControl w:val="0"/>
              <w:suppressLineNumbers/>
              <w:suppressAutoHyphens/>
              <w:autoSpaceDE w:val="0"/>
              <w:autoSpaceDN w:val="0"/>
              <w:adjustRightInd w:val="0"/>
              <w:jc w:val="right"/>
              <w:rPr>
                <w:rFonts w:ascii="Times New Roman CYR" w:hAnsi="Times New Roman CYR" w:cs="Times New Roman CYR"/>
                <w:sz w:val="22"/>
                <w:szCs w:val="22"/>
              </w:rPr>
            </w:pPr>
            <w:r w:rsidRPr="00BA68FF">
              <w:rPr>
                <w:rFonts w:ascii="Times New Roman CYR" w:hAnsi="Times New Roman CYR" w:cs="Times New Roman CYR"/>
                <w:sz w:val="22"/>
                <w:szCs w:val="22"/>
              </w:rPr>
              <w:t xml:space="preserve">____________________ </w:t>
            </w:r>
            <w:r w:rsidR="003339EE" w:rsidRPr="00BA68FF">
              <w:rPr>
                <w:rFonts w:ascii="Times New Roman CYR" w:hAnsi="Times New Roman CYR" w:cs="Times New Roman CYR"/>
                <w:sz w:val="22"/>
                <w:szCs w:val="22"/>
              </w:rPr>
              <w:t>В</w:t>
            </w:r>
            <w:r w:rsidRPr="00BA68FF">
              <w:rPr>
                <w:rFonts w:ascii="Times New Roman CYR" w:hAnsi="Times New Roman CYR" w:cs="Times New Roman CYR"/>
                <w:sz w:val="22"/>
                <w:szCs w:val="22"/>
              </w:rPr>
              <w:t>.</w:t>
            </w:r>
            <w:r w:rsidR="003339EE" w:rsidRPr="00BA68FF">
              <w:rPr>
                <w:rFonts w:ascii="Times New Roman CYR" w:hAnsi="Times New Roman CYR" w:cs="Times New Roman CYR"/>
                <w:sz w:val="22"/>
                <w:szCs w:val="22"/>
              </w:rPr>
              <w:t>М</w:t>
            </w:r>
            <w:r w:rsidRPr="00BA68FF">
              <w:rPr>
                <w:rFonts w:ascii="Times New Roman CYR" w:hAnsi="Times New Roman CYR" w:cs="Times New Roman CYR"/>
                <w:sz w:val="22"/>
                <w:szCs w:val="22"/>
              </w:rPr>
              <w:t xml:space="preserve">. </w:t>
            </w:r>
            <w:r w:rsidR="003339EE" w:rsidRPr="00BA68FF">
              <w:rPr>
                <w:rFonts w:ascii="Times New Roman CYR" w:hAnsi="Times New Roman CYR" w:cs="Times New Roman CYR"/>
                <w:sz w:val="22"/>
                <w:szCs w:val="22"/>
              </w:rPr>
              <w:t>Кучинский</w:t>
            </w:r>
          </w:p>
        </w:tc>
      </w:tr>
      <w:tr w:rsidR="00D12D62" w:rsidRPr="00D04125">
        <w:tblPrEx>
          <w:tblCellMar>
            <w:top w:w="0" w:type="dxa"/>
            <w:bottom w:w="0" w:type="dxa"/>
          </w:tblCellMar>
        </w:tblPrEx>
        <w:tc>
          <w:tcPr>
            <w:tcW w:w="4501" w:type="dxa"/>
            <w:tcBorders>
              <w:top w:val="nil"/>
              <w:left w:val="nil"/>
              <w:bottom w:val="nil"/>
              <w:right w:val="nil"/>
            </w:tcBorders>
          </w:tcPr>
          <w:p w:rsidR="00D12D62" w:rsidRPr="00BA68FF" w:rsidRDefault="00D12D62" w:rsidP="00B877A8">
            <w:pPr>
              <w:keepNext/>
              <w:widowControl w:val="0"/>
              <w:suppressLineNumbers/>
              <w:suppressAutoHyphens/>
              <w:autoSpaceDE w:val="0"/>
              <w:autoSpaceDN w:val="0"/>
              <w:adjustRightInd w:val="0"/>
              <w:jc w:val="both"/>
              <w:rPr>
                <w:rFonts w:ascii="Times New Roman CYR" w:hAnsi="Times New Roman CYR" w:cs="Times New Roman CYR"/>
                <w:sz w:val="22"/>
                <w:szCs w:val="22"/>
              </w:rPr>
            </w:pPr>
            <w:r w:rsidRPr="00BA68FF">
              <w:rPr>
                <w:rFonts w:ascii="Times New Roman CYR" w:hAnsi="Times New Roman CYR" w:cs="Times New Roman CYR"/>
                <w:sz w:val="22"/>
                <w:szCs w:val="22"/>
              </w:rPr>
              <w:t xml:space="preserve">  </w:t>
            </w:r>
            <w:r w:rsidR="00B877A8">
              <w:rPr>
                <w:rFonts w:ascii="Times New Roman CYR" w:hAnsi="Times New Roman CYR" w:cs="Times New Roman CYR"/>
                <w:sz w:val="22"/>
                <w:szCs w:val="22"/>
              </w:rPr>
              <w:t xml:space="preserve">                      </w:t>
            </w:r>
            <w:r w:rsidRPr="00BA68FF">
              <w:rPr>
                <w:rFonts w:ascii="Times New Roman CYR" w:hAnsi="Times New Roman CYR" w:cs="Times New Roman CYR"/>
                <w:sz w:val="22"/>
                <w:szCs w:val="22"/>
              </w:rPr>
              <w:t xml:space="preserve">  м.п.       </w:t>
            </w:r>
          </w:p>
          <w:p w:rsidR="00D12D62" w:rsidRPr="00BA68FF" w:rsidRDefault="00D12D62" w:rsidP="00B877A8">
            <w:pPr>
              <w:keepNext/>
              <w:widowControl w:val="0"/>
              <w:suppressLineNumbers/>
              <w:suppressAutoHyphens/>
              <w:autoSpaceDE w:val="0"/>
              <w:autoSpaceDN w:val="0"/>
              <w:adjustRightInd w:val="0"/>
              <w:jc w:val="both"/>
              <w:rPr>
                <w:rFonts w:ascii="Times New Roman CYR" w:hAnsi="Times New Roman CYR" w:cs="Times New Roman CYR"/>
                <w:sz w:val="22"/>
                <w:szCs w:val="22"/>
              </w:rPr>
            </w:pPr>
            <w:r w:rsidRPr="00BA68FF">
              <w:rPr>
                <w:rFonts w:ascii="Times New Roman CYR" w:hAnsi="Times New Roman CYR" w:cs="Times New Roman CYR"/>
                <w:sz w:val="22"/>
                <w:szCs w:val="22"/>
              </w:rPr>
              <w:t xml:space="preserve"> </w:t>
            </w:r>
            <w:r w:rsidR="00C970CC">
              <w:rPr>
                <w:rFonts w:ascii="Times New Roman CYR" w:hAnsi="Times New Roman CYR" w:cs="Times New Roman CYR"/>
                <w:sz w:val="22"/>
                <w:szCs w:val="22"/>
              </w:rPr>
              <w:t xml:space="preserve">   </w:t>
            </w:r>
            <w:r w:rsidR="007702F2">
              <w:rPr>
                <w:rFonts w:ascii="Times New Roman CYR" w:hAnsi="Times New Roman CYR" w:cs="Times New Roman CYR"/>
                <w:sz w:val="22"/>
                <w:szCs w:val="22"/>
              </w:rPr>
              <w:t xml:space="preserve">  </w:t>
            </w:r>
            <w:r w:rsidR="00B877A8">
              <w:rPr>
                <w:rFonts w:ascii="Times New Roman CYR" w:hAnsi="Times New Roman CYR" w:cs="Times New Roman CYR"/>
                <w:sz w:val="22"/>
                <w:szCs w:val="22"/>
              </w:rPr>
              <w:t xml:space="preserve">                                    </w:t>
            </w:r>
            <w:r w:rsidRPr="00BA68FF">
              <w:rPr>
                <w:rFonts w:ascii="Times New Roman CYR" w:hAnsi="Times New Roman CYR" w:cs="Times New Roman CYR"/>
                <w:sz w:val="22"/>
                <w:szCs w:val="22"/>
              </w:rPr>
              <w:t>«</w:t>
            </w:r>
            <w:r w:rsidR="006E51AA">
              <w:rPr>
                <w:rFonts w:ascii="Times New Roman CYR" w:hAnsi="Times New Roman CYR" w:cs="Times New Roman CYR"/>
                <w:sz w:val="22"/>
                <w:szCs w:val="22"/>
              </w:rPr>
              <w:t>18</w:t>
            </w:r>
            <w:r w:rsidR="008C32AF" w:rsidRPr="00BA68FF">
              <w:rPr>
                <w:rFonts w:ascii="Times New Roman CYR" w:hAnsi="Times New Roman CYR" w:cs="Times New Roman CYR"/>
                <w:sz w:val="22"/>
                <w:szCs w:val="22"/>
              </w:rPr>
              <w:t xml:space="preserve">» </w:t>
            </w:r>
            <w:r w:rsidR="009D1558">
              <w:rPr>
                <w:rFonts w:ascii="Times New Roman CYR" w:hAnsi="Times New Roman CYR" w:cs="Times New Roman CYR"/>
                <w:sz w:val="22"/>
                <w:szCs w:val="22"/>
              </w:rPr>
              <w:t>ма</w:t>
            </w:r>
            <w:r w:rsidR="006E51AA">
              <w:rPr>
                <w:rFonts w:ascii="Times New Roman CYR" w:hAnsi="Times New Roman CYR" w:cs="Times New Roman CYR"/>
                <w:sz w:val="22"/>
                <w:szCs w:val="22"/>
              </w:rPr>
              <w:t>я</w:t>
            </w:r>
            <w:r w:rsidR="008C32AF">
              <w:rPr>
                <w:rFonts w:ascii="Times New Roman CYR" w:hAnsi="Times New Roman CYR" w:cs="Times New Roman CYR"/>
                <w:sz w:val="22"/>
                <w:szCs w:val="22"/>
              </w:rPr>
              <w:t xml:space="preserve"> </w:t>
            </w:r>
            <w:r w:rsidRPr="00BA68FF">
              <w:rPr>
                <w:rFonts w:ascii="Times New Roman CYR" w:hAnsi="Times New Roman CYR" w:cs="Times New Roman CYR"/>
                <w:sz w:val="22"/>
                <w:szCs w:val="22"/>
              </w:rPr>
              <w:t>20</w:t>
            </w:r>
            <w:r w:rsidR="00957E39" w:rsidRPr="00BA68FF">
              <w:rPr>
                <w:rFonts w:ascii="Times New Roman CYR" w:hAnsi="Times New Roman CYR" w:cs="Times New Roman CYR"/>
                <w:sz w:val="22"/>
                <w:szCs w:val="22"/>
              </w:rPr>
              <w:t>1</w:t>
            </w:r>
            <w:r w:rsidR="009D1558">
              <w:rPr>
                <w:rFonts w:ascii="Times New Roman CYR" w:hAnsi="Times New Roman CYR" w:cs="Times New Roman CYR"/>
                <w:sz w:val="22"/>
                <w:szCs w:val="22"/>
              </w:rPr>
              <w:t>8</w:t>
            </w:r>
            <w:r w:rsidRPr="00BA68FF">
              <w:rPr>
                <w:rFonts w:ascii="Times New Roman CYR" w:hAnsi="Times New Roman CYR" w:cs="Times New Roman CYR"/>
                <w:sz w:val="22"/>
                <w:szCs w:val="22"/>
              </w:rPr>
              <w:t xml:space="preserve"> года</w:t>
            </w:r>
          </w:p>
        </w:tc>
      </w:tr>
    </w:tbl>
    <w:p w:rsidR="00BA68FF" w:rsidRDefault="00BA68FF" w:rsidP="00D12D62">
      <w:pPr>
        <w:jc w:val="center"/>
        <w:rPr>
          <w:sz w:val="28"/>
          <w:szCs w:val="28"/>
          <w:lang w:val="en-US"/>
        </w:rPr>
      </w:pPr>
    </w:p>
    <w:p w:rsidR="00931CFB" w:rsidRPr="00931CFB" w:rsidRDefault="00931CFB" w:rsidP="00D12D62">
      <w:pPr>
        <w:jc w:val="center"/>
        <w:rPr>
          <w:sz w:val="28"/>
          <w:szCs w:val="28"/>
          <w:lang w:val="en-US"/>
        </w:rPr>
      </w:pPr>
    </w:p>
    <w:p w:rsidR="00D12D62" w:rsidRPr="00D12D62" w:rsidRDefault="001126D4" w:rsidP="00D12D62">
      <w:pPr>
        <w:jc w:val="center"/>
        <w:rPr>
          <w:sz w:val="28"/>
          <w:szCs w:val="28"/>
        </w:rPr>
      </w:pPr>
      <w:r>
        <w:rPr>
          <w:sz w:val="28"/>
          <w:szCs w:val="28"/>
        </w:rPr>
        <w:t>И</w:t>
      </w:r>
      <w:r w:rsidRPr="00D12D62">
        <w:rPr>
          <w:sz w:val="28"/>
          <w:szCs w:val="28"/>
        </w:rPr>
        <w:t xml:space="preserve">зменения и дополнения </w:t>
      </w:r>
    </w:p>
    <w:p w:rsidR="00BA67B3" w:rsidRDefault="001126D4" w:rsidP="00D12D62">
      <w:pPr>
        <w:jc w:val="center"/>
        <w:rPr>
          <w:sz w:val="28"/>
          <w:szCs w:val="28"/>
        </w:rPr>
      </w:pPr>
      <w:r w:rsidRPr="00D12D62">
        <w:rPr>
          <w:sz w:val="28"/>
          <w:szCs w:val="28"/>
        </w:rPr>
        <w:t>в правила довери</w:t>
      </w:r>
      <w:r>
        <w:rPr>
          <w:sz w:val="28"/>
          <w:szCs w:val="28"/>
        </w:rPr>
        <w:t>тельного управления З</w:t>
      </w:r>
      <w:r w:rsidRPr="00D12D62">
        <w:rPr>
          <w:sz w:val="28"/>
          <w:szCs w:val="28"/>
        </w:rPr>
        <w:t xml:space="preserve">акрытым паевым инвестиционным фондом </w:t>
      </w:r>
      <w:r>
        <w:rPr>
          <w:sz w:val="28"/>
          <w:szCs w:val="28"/>
        </w:rPr>
        <w:t xml:space="preserve">недвижимости </w:t>
      </w:r>
      <w:r w:rsidRPr="00D12D62">
        <w:rPr>
          <w:sz w:val="28"/>
          <w:szCs w:val="28"/>
        </w:rPr>
        <w:t>«</w:t>
      </w:r>
      <w:r>
        <w:rPr>
          <w:sz w:val="28"/>
          <w:szCs w:val="28"/>
        </w:rPr>
        <w:t>КОВЧЕГ</w:t>
      </w:r>
      <w:r w:rsidRPr="00D12D62">
        <w:rPr>
          <w:sz w:val="28"/>
          <w:szCs w:val="28"/>
        </w:rPr>
        <w:t>»</w:t>
      </w:r>
    </w:p>
    <w:p w:rsidR="00D12D62" w:rsidRPr="00F3012D" w:rsidRDefault="00D12D62" w:rsidP="00D12D62">
      <w:pPr>
        <w:jc w:val="center"/>
        <w:rPr>
          <w:sz w:val="22"/>
          <w:szCs w:val="22"/>
        </w:rPr>
      </w:pPr>
      <w:r w:rsidRPr="00F3012D">
        <w:rPr>
          <w:sz w:val="22"/>
          <w:szCs w:val="22"/>
        </w:rPr>
        <w:t xml:space="preserve"> </w:t>
      </w:r>
      <w:proofErr w:type="gramStart"/>
      <w:r w:rsidRPr="00F3012D">
        <w:rPr>
          <w:sz w:val="22"/>
          <w:szCs w:val="22"/>
        </w:rPr>
        <w:t xml:space="preserve">(правила доверительного управления фондом зарегистрированы </w:t>
      </w:r>
      <w:proofErr w:type="gramEnd"/>
    </w:p>
    <w:p w:rsidR="00D12D62" w:rsidRPr="00F3012D" w:rsidRDefault="00A86835" w:rsidP="00D12D62">
      <w:pPr>
        <w:jc w:val="center"/>
        <w:rPr>
          <w:color w:val="FF6600"/>
          <w:sz w:val="22"/>
          <w:szCs w:val="22"/>
        </w:rPr>
      </w:pPr>
      <w:proofErr w:type="gramStart"/>
      <w:r w:rsidRPr="00F3012D">
        <w:rPr>
          <w:color w:val="000000"/>
          <w:sz w:val="22"/>
          <w:szCs w:val="22"/>
        </w:rPr>
        <w:t>«</w:t>
      </w:r>
      <w:r w:rsidR="00BA67B3" w:rsidRPr="00F3012D">
        <w:rPr>
          <w:color w:val="000000"/>
          <w:sz w:val="22"/>
          <w:szCs w:val="22"/>
        </w:rPr>
        <w:t>19</w:t>
      </w:r>
      <w:r w:rsidR="00B30CB0" w:rsidRPr="00F3012D">
        <w:rPr>
          <w:color w:val="000000"/>
          <w:sz w:val="22"/>
          <w:szCs w:val="22"/>
        </w:rPr>
        <w:t xml:space="preserve">» </w:t>
      </w:r>
      <w:r w:rsidR="00BA67B3" w:rsidRPr="00F3012D">
        <w:rPr>
          <w:color w:val="000000"/>
          <w:sz w:val="22"/>
          <w:szCs w:val="22"/>
        </w:rPr>
        <w:t>ноября</w:t>
      </w:r>
      <w:r w:rsidR="00B30CB0" w:rsidRPr="00F3012D">
        <w:rPr>
          <w:color w:val="000000"/>
          <w:sz w:val="22"/>
          <w:szCs w:val="22"/>
        </w:rPr>
        <w:t xml:space="preserve"> 200</w:t>
      </w:r>
      <w:r w:rsidRPr="00F3012D">
        <w:rPr>
          <w:color w:val="000000"/>
          <w:sz w:val="22"/>
          <w:szCs w:val="22"/>
        </w:rPr>
        <w:t>9</w:t>
      </w:r>
      <w:r w:rsidR="00B30CB0" w:rsidRPr="00F3012D">
        <w:rPr>
          <w:color w:val="000000"/>
          <w:sz w:val="22"/>
          <w:szCs w:val="22"/>
        </w:rPr>
        <w:t xml:space="preserve"> г. № </w:t>
      </w:r>
      <w:r w:rsidR="00BA67B3" w:rsidRPr="00F3012D">
        <w:rPr>
          <w:sz w:val="22"/>
          <w:szCs w:val="22"/>
        </w:rPr>
        <w:t>1640-94163702</w:t>
      </w:r>
      <w:r w:rsidR="00D12D62" w:rsidRPr="00F3012D">
        <w:rPr>
          <w:sz w:val="22"/>
          <w:szCs w:val="22"/>
        </w:rPr>
        <w:t>)</w:t>
      </w:r>
      <w:proofErr w:type="gramEnd"/>
    </w:p>
    <w:p w:rsidR="00D12D62" w:rsidRDefault="00D12D62" w:rsidP="00B81837">
      <w:pPr>
        <w:ind w:firstLine="708"/>
      </w:pPr>
    </w:p>
    <w:p w:rsidR="008C32AF" w:rsidRPr="00FC02EA" w:rsidRDefault="00A54878" w:rsidP="008C32AF">
      <w:pPr>
        <w:ind w:firstLine="720"/>
        <w:jc w:val="both"/>
        <w:rPr>
          <w:b/>
          <w:bCs/>
          <w:sz w:val="22"/>
          <w:szCs w:val="22"/>
        </w:rPr>
      </w:pPr>
      <w:r>
        <w:rPr>
          <w:b/>
          <w:bCs/>
          <w:sz w:val="22"/>
          <w:szCs w:val="22"/>
        </w:rPr>
        <w:t>1</w:t>
      </w:r>
      <w:r w:rsidR="008C32AF" w:rsidRPr="00FC02EA">
        <w:rPr>
          <w:b/>
          <w:bCs/>
          <w:sz w:val="22"/>
          <w:szCs w:val="22"/>
        </w:rPr>
        <w:t xml:space="preserve">. Пункт </w:t>
      </w:r>
      <w:r w:rsidR="00AC1AFE">
        <w:rPr>
          <w:b/>
          <w:bCs/>
          <w:sz w:val="22"/>
          <w:szCs w:val="22"/>
        </w:rPr>
        <w:t>25</w:t>
      </w:r>
      <w:r w:rsidR="008C32AF" w:rsidRPr="00FC02EA">
        <w:rPr>
          <w:b/>
          <w:bCs/>
          <w:sz w:val="22"/>
          <w:szCs w:val="22"/>
        </w:rPr>
        <w:t xml:space="preserve"> Правил Фонда изложить в следующей редакции: </w:t>
      </w:r>
    </w:p>
    <w:p w:rsidR="00AC1AFE" w:rsidRDefault="008C32AF" w:rsidP="00AC1AFE">
      <w:pPr>
        <w:pStyle w:val="Iauiue0"/>
        <w:ind w:firstLine="568"/>
        <w:jc w:val="both"/>
        <w:rPr>
          <w:color w:val="000000"/>
          <w:sz w:val="22"/>
          <w:szCs w:val="22"/>
        </w:rPr>
      </w:pPr>
      <w:r w:rsidRPr="00FC02EA">
        <w:rPr>
          <w:sz w:val="22"/>
          <w:szCs w:val="22"/>
        </w:rPr>
        <w:t>«</w:t>
      </w:r>
      <w:r w:rsidR="00AC1AFE" w:rsidRPr="00411268">
        <w:rPr>
          <w:color w:val="000000"/>
          <w:sz w:val="22"/>
          <w:szCs w:val="22"/>
        </w:rPr>
        <w:t xml:space="preserve">25. Объекты инвестирования, их состав и описание. </w:t>
      </w:r>
    </w:p>
    <w:p w:rsidR="00853D7A" w:rsidRPr="00411268" w:rsidRDefault="00853D7A" w:rsidP="00853D7A">
      <w:pPr>
        <w:pStyle w:val="Iauiue0"/>
        <w:ind w:firstLine="568"/>
        <w:jc w:val="both"/>
        <w:rPr>
          <w:color w:val="000000"/>
          <w:sz w:val="22"/>
          <w:szCs w:val="22"/>
        </w:rPr>
      </w:pPr>
      <w:r w:rsidRPr="006E51AA">
        <w:rPr>
          <w:color w:val="000000"/>
          <w:sz w:val="22"/>
          <w:szCs w:val="22"/>
        </w:rPr>
        <w:t xml:space="preserve">25.1. Имущество, составляющее Фонд, может быть инвестировано </w:t>
      </w:r>
      <w:proofErr w:type="gramStart"/>
      <w:r w:rsidRPr="006E51AA">
        <w:rPr>
          <w:color w:val="000000"/>
          <w:sz w:val="22"/>
          <w:szCs w:val="22"/>
        </w:rPr>
        <w:t>в</w:t>
      </w:r>
      <w:proofErr w:type="gramEnd"/>
      <w:r w:rsidRPr="006E51AA">
        <w:rPr>
          <w:color w:val="000000"/>
          <w:sz w:val="22"/>
          <w:szCs w:val="22"/>
        </w:rPr>
        <w:t>:</w:t>
      </w:r>
      <w:r w:rsidRPr="00411268">
        <w:rPr>
          <w:color w:val="000000"/>
          <w:sz w:val="22"/>
          <w:szCs w:val="22"/>
        </w:rPr>
        <w:t xml:space="preserve"> </w:t>
      </w:r>
    </w:p>
    <w:p w:rsidR="00306F70" w:rsidRPr="00EE338E" w:rsidRDefault="00306F70" w:rsidP="00306F70">
      <w:pPr>
        <w:pStyle w:val="Iauiue0"/>
        <w:ind w:firstLine="541"/>
        <w:jc w:val="both"/>
        <w:rPr>
          <w:sz w:val="22"/>
          <w:szCs w:val="22"/>
        </w:rPr>
      </w:pPr>
      <w:r w:rsidRPr="00EE338E">
        <w:rPr>
          <w:sz w:val="22"/>
          <w:szCs w:val="22"/>
        </w:rPr>
        <w:t xml:space="preserve">1) </w:t>
      </w:r>
      <w:r w:rsidRPr="00EE338E">
        <w:rPr>
          <w:sz w:val="23"/>
          <w:szCs w:val="23"/>
        </w:rPr>
        <w:t xml:space="preserve">денежные средства в рублях и в иностранной валюте на счетах и во вкладах </w:t>
      </w:r>
      <w:proofErr w:type="gramStart"/>
      <w:r w:rsidRPr="00EE338E">
        <w:rPr>
          <w:sz w:val="23"/>
          <w:szCs w:val="23"/>
        </w:rPr>
        <w:t>(депозитах)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proofErr w:type="gramEnd"/>
    </w:p>
    <w:p w:rsidR="00306F70" w:rsidRPr="00EE338E" w:rsidRDefault="00306F70" w:rsidP="00306F70">
      <w:pPr>
        <w:autoSpaceDE w:val="0"/>
        <w:autoSpaceDN w:val="0"/>
        <w:adjustRightInd w:val="0"/>
        <w:ind w:firstLine="540"/>
        <w:jc w:val="both"/>
        <w:rPr>
          <w:sz w:val="22"/>
          <w:szCs w:val="22"/>
        </w:rPr>
      </w:pPr>
      <w:r w:rsidRPr="00EE338E">
        <w:rPr>
          <w:sz w:val="22"/>
          <w:szCs w:val="22"/>
        </w:rPr>
        <w:t>2) недвижимое имущество:</w:t>
      </w:r>
    </w:p>
    <w:p w:rsidR="00306F70" w:rsidRPr="00EE338E" w:rsidRDefault="00306F70" w:rsidP="00306F70">
      <w:pPr>
        <w:autoSpaceDE w:val="0"/>
        <w:autoSpaceDN w:val="0"/>
        <w:adjustRightInd w:val="0"/>
        <w:ind w:firstLine="540"/>
        <w:jc w:val="both"/>
        <w:rPr>
          <w:sz w:val="22"/>
          <w:szCs w:val="22"/>
        </w:rPr>
      </w:pPr>
      <w:r w:rsidRPr="00EE338E">
        <w:rPr>
          <w:sz w:val="22"/>
          <w:szCs w:val="22"/>
        </w:rPr>
        <w:t>- нежилые здания, введенные в эксплуатацию в установленном порядке и соответствующие требованиям настоящих Правил, в том числе находящиеся в общей собственности с определением доли Управляющей компании Фонда в праве собственности;</w:t>
      </w:r>
    </w:p>
    <w:p w:rsidR="00306F70" w:rsidRPr="00EE338E" w:rsidRDefault="00306F70" w:rsidP="00306F70">
      <w:pPr>
        <w:autoSpaceDE w:val="0"/>
        <w:autoSpaceDN w:val="0"/>
        <w:adjustRightInd w:val="0"/>
        <w:ind w:firstLine="540"/>
        <w:jc w:val="both"/>
        <w:rPr>
          <w:sz w:val="22"/>
          <w:szCs w:val="22"/>
        </w:rPr>
      </w:pPr>
      <w:r w:rsidRPr="00EE338E">
        <w:rPr>
          <w:sz w:val="22"/>
          <w:szCs w:val="22"/>
        </w:rPr>
        <w:t>- помещения в нежилых зданиях, в том числе находящиеся в общей собственности с определением доли Управляющей компании Фонда в праве собственности;</w:t>
      </w:r>
    </w:p>
    <w:p w:rsidR="00306F70" w:rsidRPr="00EE338E" w:rsidRDefault="00306F70" w:rsidP="00306F70">
      <w:pPr>
        <w:autoSpaceDE w:val="0"/>
        <w:autoSpaceDN w:val="0"/>
        <w:adjustRightInd w:val="0"/>
        <w:ind w:firstLine="540"/>
        <w:jc w:val="both"/>
        <w:rPr>
          <w:sz w:val="22"/>
          <w:szCs w:val="22"/>
        </w:rPr>
      </w:pPr>
      <w:r w:rsidRPr="00EE338E">
        <w:rPr>
          <w:sz w:val="22"/>
          <w:szCs w:val="22"/>
        </w:rPr>
        <w:t>-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 Правил;</w:t>
      </w:r>
    </w:p>
    <w:p w:rsidR="00306F70" w:rsidRPr="00EE338E" w:rsidRDefault="00306F70" w:rsidP="00306F70">
      <w:pPr>
        <w:autoSpaceDE w:val="0"/>
        <w:autoSpaceDN w:val="0"/>
        <w:adjustRightInd w:val="0"/>
        <w:ind w:firstLine="540"/>
        <w:jc w:val="both"/>
        <w:rPr>
          <w:sz w:val="22"/>
          <w:szCs w:val="22"/>
        </w:rPr>
      </w:pPr>
      <w:r w:rsidRPr="00EE338E">
        <w:rPr>
          <w:sz w:val="22"/>
          <w:szCs w:val="22"/>
        </w:rPr>
        <w:t>-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rsidR="00306F70" w:rsidRPr="00EE338E" w:rsidRDefault="00306F70" w:rsidP="00306F70">
      <w:pPr>
        <w:autoSpaceDE w:val="0"/>
        <w:autoSpaceDN w:val="0"/>
        <w:adjustRightInd w:val="0"/>
        <w:ind w:firstLine="540"/>
        <w:jc w:val="both"/>
        <w:rPr>
          <w:sz w:val="22"/>
          <w:szCs w:val="22"/>
        </w:rPr>
      </w:pPr>
      <w:r w:rsidRPr="00EE338E">
        <w:rPr>
          <w:sz w:val="22"/>
          <w:szCs w:val="22"/>
        </w:rPr>
        <w:t>- 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Фонда в праве собственности;</w:t>
      </w:r>
    </w:p>
    <w:p w:rsidR="00306F70" w:rsidRDefault="00306F70" w:rsidP="00306F70">
      <w:pPr>
        <w:autoSpaceDE w:val="0"/>
        <w:autoSpaceDN w:val="0"/>
        <w:adjustRightInd w:val="0"/>
        <w:ind w:firstLine="540"/>
        <w:jc w:val="both"/>
        <w:rPr>
          <w:sz w:val="22"/>
          <w:szCs w:val="22"/>
        </w:rPr>
      </w:pPr>
      <w:r>
        <w:rPr>
          <w:sz w:val="22"/>
          <w:szCs w:val="22"/>
        </w:rPr>
        <w:t>3) права аренды земельного участка, на котором расположено недвижимое имущество, составляющее Фонд;</w:t>
      </w:r>
    </w:p>
    <w:p w:rsidR="00306F70" w:rsidRDefault="00306F70" w:rsidP="00306F70">
      <w:pPr>
        <w:autoSpaceDE w:val="0"/>
        <w:autoSpaceDN w:val="0"/>
        <w:adjustRightInd w:val="0"/>
        <w:ind w:firstLine="540"/>
        <w:jc w:val="both"/>
        <w:rPr>
          <w:sz w:val="22"/>
          <w:szCs w:val="22"/>
        </w:rPr>
      </w:pPr>
      <w:r>
        <w:rPr>
          <w:sz w:val="22"/>
          <w:szCs w:val="22"/>
        </w:rPr>
        <w:t xml:space="preserve">4) имущественные права из договоров участия в долевом строительстве жилых и многоквартирных домов, заключенных в соответствии с </w:t>
      </w:r>
      <w:r w:rsidRPr="00F20034">
        <w:rPr>
          <w:sz w:val="22"/>
          <w:szCs w:val="22"/>
        </w:rPr>
        <w:t>Федеральным законом</w:t>
      </w:r>
      <w:r>
        <w:rPr>
          <w:sz w:val="22"/>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06F70" w:rsidRDefault="00306F70" w:rsidP="00306F70">
      <w:pPr>
        <w:autoSpaceDE w:val="0"/>
        <w:autoSpaceDN w:val="0"/>
        <w:adjustRightInd w:val="0"/>
        <w:ind w:firstLine="540"/>
        <w:jc w:val="both"/>
        <w:rPr>
          <w:sz w:val="22"/>
          <w:szCs w:val="22"/>
        </w:rPr>
      </w:pPr>
      <w:r>
        <w:rPr>
          <w:sz w:val="22"/>
          <w:szCs w:val="22"/>
        </w:rPr>
        <w:t>5) Права требования из договоров, заключенных для целей доверительного управления в отношении активов, указанных в настоящем пункте;</w:t>
      </w:r>
    </w:p>
    <w:p w:rsidR="00306F70" w:rsidRDefault="00306F70" w:rsidP="00306F70">
      <w:pPr>
        <w:autoSpaceDE w:val="0"/>
        <w:autoSpaceDN w:val="0"/>
        <w:adjustRightInd w:val="0"/>
        <w:ind w:firstLine="540"/>
        <w:jc w:val="both"/>
        <w:rPr>
          <w:sz w:val="22"/>
          <w:szCs w:val="22"/>
        </w:rPr>
      </w:pPr>
      <w:r>
        <w:rPr>
          <w:sz w:val="22"/>
          <w:szCs w:val="22"/>
        </w:rPr>
        <w:lastRenderedPageBreak/>
        <w:t>6)</w:t>
      </w:r>
      <w:r w:rsidRPr="00F20034">
        <w:rPr>
          <w:sz w:val="22"/>
          <w:szCs w:val="22"/>
        </w:rPr>
        <w:t xml:space="preserve"> </w:t>
      </w:r>
      <w:r>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AC1AFE" w:rsidRDefault="00AC1AFE" w:rsidP="00AC1AFE">
      <w:pPr>
        <w:autoSpaceDE w:val="0"/>
        <w:autoSpaceDN w:val="0"/>
        <w:adjustRightInd w:val="0"/>
        <w:ind w:firstLine="540"/>
        <w:jc w:val="both"/>
        <w:rPr>
          <w:sz w:val="22"/>
          <w:szCs w:val="22"/>
        </w:rPr>
      </w:pPr>
      <w:r w:rsidRPr="00411268">
        <w:rPr>
          <w:color w:val="000000"/>
          <w:sz w:val="22"/>
          <w:szCs w:val="22"/>
        </w:rPr>
        <w:t>25.</w:t>
      </w:r>
      <w:r>
        <w:rPr>
          <w:color w:val="000000"/>
          <w:sz w:val="22"/>
          <w:szCs w:val="22"/>
        </w:rPr>
        <w:t>2</w:t>
      </w:r>
      <w:r w:rsidRPr="00411268">
        <w:rPr>
          <w:color w:val="000000"/>
          <w:sz w:val="22"/>
          <w:szCs w:val="22"/>
        </w:rPr>
        <w:t>.</w:t>
      </w:r>
      <w:r>
        <w:rPr>
          <w:color w:val="000000"/>
          <w:sz w:val="22"/>
          <w:szCs w:val="22"/>
        </w:rPr>
        <w:t xml:space="preserve"> </w:t>
      </w:r>
      <w:r>
        <w:rPr>
          <w:sz w:val="23"/>
          <w:szCs w:val="23"/>
        </w:rPr>
        <w:t>Активы, предусмотренные абзацами вторым – четвертым подпункта 2 пункта 25.1. настоящих Правил могут входить в состав активов Фонда только при одновременном соблюдении следующих условий:</w:t>
      </w:r>
    </w:p>
    <w:p w:rsidR="00306F70" w:rsidRPr="00EE338E" w:rsidRDefault="00306F70" w:rsidP="00306F70">
      <w:pPr>
        <w:pStyle w:val="Default0"/>
        <w:ind w:firstLine="568"/>
        <w:jc w:val="both"/>
        <w:rPr>
          <w:color w:val="auto"/>
          <w:sz w:val="23"/>
          <w:szCs w:val="23"/>
        </w:rPr>
      </w:pPr>
      <w:proofErr w:type="gramStart"/>
      <w:r w:rsidRPr="006E51AA">
        <w:rPr>
          <w:color w:val="auto"/>
          <w:sz w:val="23"/>
          <w:szCs w:val="23"/>
        </w:rPr>
        <w:t xml:space="preserve">- за предыдущий календарный год средняя доля фактически сданной в аренду полезной площади </w:t>
      </w:r>
      <w:r w:rsidR="00FA0F82" w:rsidRPr="006E51AA">
        <w:rPr>
          <w:color w:val="auto"/>
          <w:sz w:val="23"/>
          <w:szCs w:val="23"/>
        </w:rPr>
        <w:t>нежилого здания, помещений в нежилом здании</w:t>
      </w:r>
      <w:r w:rsidRPr="006E51AA">
        <w:rPr>
          <w:color w:val="auto"/>
          <w:sz w:val="23"/>
          <w:szCs w:val="23"/>
        </w:rPr>
        <w:t xml:space="preserve">, единого недвижимого комплекса (площадь помещений, непосредственно предназначенных для использования собственниками или арендаторами </w:t>
      </w:r>
      <w:r w:rsidR="006E51AA" w:rsidRPr="006E51AA">
        <w:rPr>
          <w:color w:val="auto"/>
          <w:sz w:val="23"/>
          <w:szCs w:val="23"/>
        </w:rPr>
        <w:t xml:space="preserve">нежилого </w:t>
      </w:r>
      <w:r w:rsidRPr="006E51AA">
        <w:rPr>
          <w:color w:val="auto"/>
          <w:sz w:val="23"/>
          <w:szCs w:val="23"/>
        </w:rPr>
        <w:t>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w:t>
      </w:r>
      <w:proofErr w:type="gramEnd"/>
      <w:r w:rsidRPr="006E51AA">
        <w:rPr>
          <w:color w:val="auto"/>
          <w:sz w:val="23"/>
          <w:szCs w:val="23"/>
        </w:rPr>
        <w:t xml:space="preserve"> </w:t>
      </w:r>
      <w:proofErr w:type="gramStart"/>
      <w:r w:rsidRPr="006E51AA">
        <w:rPr>
          <w:color w:val="auto"/>
          <w:sz w:val="23"/>
          <w:szCs w:val="23"/>
        </w:rPr>
        <w:t xml:space="preserve">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w:t>
      </w:r>
      <w:r w:rsidR="006E51AA" w:rsidRPr="006E51AA">
        <w:rPr>
          <w:color w:val="auto"/>
          <w:sz w:val="23"/>
          <w:szCs w:val="23"/>
        </w:rPr>
        <w:t xml:space="preserve">нежилое </w:t>
      </w:r>
      <w:r w:rsidRPr="006E51AA">
        <w:rPr>
          <w:color w:val="auto"/>
          <w:sz w:val="23"/>
          <w:szCs w:val="23"/>
        </w:rPr>
        <w:t xml:space="preserve">здание либо его часть) от общего размера полезной площади </w:t>
      </w:r>
      <w:r w:rsidR="007454F8" w:rsidRPr="006E51AA">
        <w:rPr>
          <w:color w:val="auto"/>
          <w:sz w:val="23"/>
          <w:szCs w:val="23"/>
        </w:rPr>
        <w:t xml:space="preserve">нежилого </w:t>
      </w:r>
      <w:r w:rsidRPr="006E51AA">
        <w:rPr>
          <w:color w:val="auto"/>
          <w:sz w:val="23"/>
          <w:szCs w:val="23"/>
        </w:rPr>
        <w:t>здания, помещени</w:t>
      </w:r>
      <w:r w:rsidR="007454F8" w:rsidRPr="006E51AA">
        <w:rPr>
          <w:color w:val="auto"/>
          <w:sz w:val="23"/>
          <w:szCs w:val="23"/>
        </w:rPr>
        <w:t>й в нежилом здании</w:t>
      </w:r>
      <w:r w:rsidRPr="006E51AA">
        <w:rPr>
          <w:color w:val="auto"/>
          <w:sz w:val="23"/>
          <w:szCs w:val="23"/>
        </w:rPr>
        <w:t xml:space="preserve">, единого недвижимого комплекса составляет не менее 40 процентов полезной площади </w:t>
      </w:r>
      <w:r w:rsidR="006E51AA" w:rsidRPr="006E51AA">
        <w:rPr>
          <w:color w:val="auto"/>
          <w:sz w:val="23"/>
          <w:szCs w:val="23"/>
        </w:rPr>
        <w:t xml:space="preserve">нежилого </w:t>
      </w:r>
      <w:r w:rsidRPr="006E51AA">
        <w:rPr>
          <w:color w:val="auto"/>
          <w:sz w:val="23"/>
          <w:szCs w:val="23"/>
        </w:rPr>
        <w:t>здания, помещения, единого недвижимого комплекса</w:t>
      </w:r>
      <w:r w:rsidRPr="00EE338E">
        <w:rPr>
          <w:color w:val="auto"/>
          <w:sz w:val="23"/>
          <w:szCs w:val="23"/>
        </w:rPr>
        <w:t>;</w:t>
      </w:r>
      <w:proofErr w:type="gramEnd"/>
    </w:p>
    <w:p w:rsidR="00306F70" w:rsidRPr="00EE338E" w:rsidRDefault="00306F70" w:rsidP="00306F70">
      <w:pPr>
        <w:pStyle w:val="Default0"/>
        <w:ind w:firstLine="568"/>
        <w:jc w:val="both"/>
        <w:rPr>
          <w:color w:val="auto"/>
          <w:sz w:val="23"/>
          <w:szCs w:val="23"/>
        </w:rPr>
      </w:pPr>
      <w:proofErr w:type="gramStart"/>
      <w:r w:rsidRPr="00EE338E">
        <w:rPr>
          <w:color w:val="auto"/>
          <w:sz w:val="23"/>
          <w:szCs w:val="23"/>
        </w:rPr>
        <w:t>- 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roofErr w:type="gramEnd"/>
    </w:p>
    <w:p w:rsidR="00306F70" w:rsidRPr="00EE338E" w:rsidRDefault="00306F70" w:rsidP="00306F70">
      <w:pPr>
        <w:pStyle w:val="Default0"/>
        <w:ind w:firstLine="568"/>
        <w:jc w:val="both"/>
        <w:rPr>
          <w:color w:val="auto"/>
          <w:sz w:val="23"/>
          <w:szCs w:val="23"/>
        </w:rPr>
      </w:pPr>
      <w:r w:rsidRPr="00EE338E">
        <w:rPr>
          <w:color w:val="auto"/>
          <w:sz w:val="23"/>
          <w:szCs w:val="23"/>
        </w:rPr>
        <w:t>Объекты недвижимого имущества, в которые (в права на которые) может быть инвестировано имущество, составляющее Фонд, могут располагаться на территории Российской Федерации или следующих иностранных государств:</w:t>
      </w:r>
    </w:p>
    <w:p w:rsidR="008C32AF" w:rsidRPr="00EE338E" w:rsidRDefault="00306F70" w:rsidP="00306F70">
      <w:pPr>
        <w:pStyle w:val="Default0"/>
        <w:ind w:firstLine="568"/>
        <w:jc w:val="both"/>
        <w:rPr>
          <w:color w:val="auto"/>
          <w:sz w:val="23"/>
          <w:szCs w:val="23"/>
        </w:rPr>
      </w:pPr>
      <w:proofErr w:type="gramStart"/>
      <w:r w:rsidRPr="00EE338E">
        <w:rPr>
          <w:color w:val="auto"/>
          <w:sz w:val="23"/>
          <w:szCs w:val="23"/>
        </w:rPr>
        <w:t>Австралийский союз, Австрийская республика, Азербайджанская республика, Соединенные Штаты Америки, Республика Армения, Республика Беларусь, Королевство Бельгия, Республика Болгария, Соединенное Королевство Великобритании и Северной Ирландии, Венгерская республика, Федеративная Республика Германия, Греческая республика, Королевство Дания, Республика Ирландия, Республика Исландия, Королевство Испания, Итальянская республика, Республика Казахстан, Канада, Республика Кипр, Республика Корея, Кыргызская республика, Латвийская республика, Литовская республика, Великое Герцогство Люксембург, Республика Мальта, Мексиканские Соединенные</w:t>
      </w:r>
      <w:proofErr w:type="gramEnd"/>
      <w:r w:rsidRPr="00EE338E">
        <w:rPr>
          <w:color w:val="auto"/>
          <w:sz w:val="23"/>
          <w:szCs w:val="23"/>
        </w:rPr>
        <w:t xml:space="preserve"> </w:t>
      </w:r>
      <w:proofErr w:type="gramStart"/>
      <w:r w:rsidRPr="00EE338E">
        <w:rPr>
          <w:color w:val="auto"/>
          <w:sz w:val="23"/>
          <w:szCs w:val="23"/>
        </w:rPr>
        <w:t>Штаты, Республика Молдова, Королевство Нидерланды, Новая Зеландия, Королевство Норвегия, Республика Польша, Португальская республика, Румыния, Словацкая республика, Республика Словения, Республика Таджикистан, Турецкая республика, Туркменистан, Республика Узбекистан, Украина, Финляндская республика, Французская республика, Чешская республика, Швейцарская конфедерация, Королевство Швеция, Эстонская республика, Япония.</w:t>
      </w:r>
      <w:r w:rsidR="008C32AF" w:rsidRPr="00EE338E">
        <w:rPr>
          <w:color w:val="auto"/>
          <w:sz w:val="22"/>
          <w:szCs w:val="22"/>
        </w:rPr>
        <w:t>».</w:t>
      </w:r>
      <w:proofErr w:type="gramEnd"/>
    </w:p>
    <w:p w:rsidR="001737DA" w:rsidRDefault="001737DA" w:rsidP="008C32AF">
      <w:pPr>
        <w:ind w:firstLine="720"/>
        <w:jc w:val="both"/>
        <w:rPr>
          <w:b/>
          <w:bCs/>
          <w:sz w:val="22"/>
          <w:szCs w:val="22"/>
        </w:rPr>
      </w:pPr>
    </w:p>
    <w:p w:rsidR="008C32AF" w:rsidRPr="00FC02EA" w:rsidRDefault="00671551" w:rsidP="008C32AF">
      <w:pPr>
        <w:ind w:firstLine="720"/>
        <w:jc w:val="both"/>
        <w:rPr>
          <w:sz w:val="22"/>
          <w:szCs w:val="22"/>
        </w:rPr>
      </w:pPr>
      <w:r>
        <w:rPr>
          <w:b/>
          <w:bCs/>
          <w:sz w:val="22"/>
          <w:szCs w:val="22"/>
        </w:rPr>
        <w:t>2</w:t>
      </w:r>
      <w:r w:rsidR="008C32AF" w:rsidRPr="00FC02EA">
        <w:rPr>
          <w:b/>
          <w:bCs/>
          <w:sz w:val="22"/>
          <w:szCs w:val="22"/>
        </w:rPr>
        <w:t xml:space="preserve">. Пункт </w:t>
      </w:r>
      <w:r w:rsidR="00AC1AFE">
        <w:rPr>
          <w:b/>
          <w:bCs/>
          <w:sz w:val="22"/>
          <w:szCs w:val="22"/>
        </w:rPr>
        <w:t>26</w:t>
      </w:r>
      <w:r w:rsidR="008C32AF" w:rsidRPr="00FC02EA">
        <w:rPr>
          <w:b/>
          <w:bCs/>
          <w:sz w:val="22"/>
          <w:szCs w:val="22"/>
        </w:rPr>
        <w:t xml:space="preserve"> Правил Фонда изложить в следующей редакции:</w:t>
      </w:r>
    </w:p>
    <w:p w:rsidR="00AC1AFE" w:rsidRPr="00411268" w:rsidRDefault="008C32AF" w:rsidP="00AC1AFE">
      <w:pPr>
        <w:pStyle w:val="Iauiue0"/>
        <w:ind w:firstLine="568"/>
        <w:jc w:val="both"/>
        <w:rPr>
          <w:color w:val="000000"/>
          <w:sz w:val="22"/>
          <w:szCs w:val="22"/>
        </w:rPr>
      </w:pPr>
      <w:r w:rsidRPr="00FC02EA">
        <w:rPr>
          <w:sz w:val="22"/>
          <w:szCs w:val="22"/>
        </w:rPr>
        <w:t>«</w:t>
      </w:r>
      <w:r w:rsidR="00AC1AFE" w:rsidRPr="00411268">
        <w:rPr>
          <w:color w:val="000000"/>
          <w:sz w:val="22"/>
          <w:szCs w:val="22"/>
        </w:rPr>
        <w:t xml:space="preserve">26. Структура активов Фонда. </w:t>
      </w:r>
    </w:p>
    <w:p w:rsidR="00306F70" w:rsidRPr="00EE338E" w:rsidRDefault="00AC1AFE" w:rsidP="00306F70">
      <w:pPr>
        <w:pStyle w:val="Iauiue0"/>
        <w:ind w:firstLine="568"/>
        <w:jc w:val="both"/>
        <w:rPr>
          <w:sz w:val="22"/>
          <w:szCs w:val="22"/>
        </w:rPr>
      </w:pPr>
      <w:r w:rsidRPr="00EE338E">
        <w:rPr>
          <w:sz w:val="22"/>
          <w:szCs w:val="22"/>
        </w:rPr>
        <w:t xml:space="preserve">26.1. </w:t>
      </w:r>
      <w:r w:rsidR="00306F70" w:rsidRPr="00EE338E">
        <w:rPr>
          <w:sz w:val="22"/>
          <w:szCs w:val="22"/>
        </w:rPr>
        <w:t xml:space="preserve">Структура активов Фонда должна соответствовать одновременно следующим требованиям: </w:t>
      </w:r>
    </w:p>
    <w:p w:rsidR="00306F70" w:rsidRPr="00EE338E" w:rsidRDefault="00306F70" w:rsidP="00306F70">
      <w:pPr>
        <w:pStyle w:val="Default0"/>
        <w:ind w:firstLine="541"/>
        <w:jc w:val="both"/>
        <w:rPr>
          <w:color w:val="auto"/>
          <w:sz w:val="23"/>
          <w:szCs w:val="23"/>
        </w:rPr>
      </w:pPr>
      <w:r w:rsidRPr="00EE338E">
        <w:rPr>
          <w:color w:val="auto"/>
          <w:sz w:val="23"/>
          <w:szCs w:val="23"/>
        </w:rPr>
        <w:t xml:space="preserve">- денежные средства в рублях и в иностранной валюте на счетах и во вкладах (депозитах) в одной кредитной организации или в одном иностранном банке иностранного государства, в совокупности не должны превышать 15 (пятнадцати) процентов стоимости активов Фонда. </w:t>
      </w:r>
    </w:p>
    <w:p w:rsidR="00306F70" w:rsidRPr="004C3CAA" w:rsidRDefault="00306F70" w:rsidP="00306F70">
      <w:pPr>
        <w:pStyle w:val="Default0"/>
        <w:ind w:firstLine="541"/>
        <w:jc w:val="both"/>
        <w:rPr>
          <w:strike/>
          <w:color w:val="auto"/>
          <w:sz w:val="23"/>
          <w:szCs w:val="23"/>
        </w:rPr>
      </w:pPr>
      <w:r w:rsidRPr="00EE338E">
        <w:rPr>
          <w:color w:val="auto"/>
          <w:sz w:val="23"/>
          <w:szCs w:val="23"/>
        </w:rPr>
        <w:t>Для целей расчета ограничения, указанного в настоящем пункте, сумме денежных сре</w:t>
      </w:r>
      <w:proofErr w:type="gramStart"/>
      <w:r w:rsidRPr="00EE338E">
        <w:rPr>
          <w:color w:val="auto"/>
          <w:sz w:val="23"/>
          <w:szCs w:val="23"/>
        </w:rPr>
        <w:t>дств в р</w:t>
      </w:r>
      <w:proofErr w:type="gramEnd"/>
      <w:r w:rsidRPr="00EE338E">
        <w:rPr>
          <w:color w:val="auto"/>
          <w:sz w:val="23"/>
          <w:szCs w:val="23"/>
        </w:rPr>
        <w:t>ублях и в иностранной валюте на счетах в одной кредитной организации или в одном иностранном банке иностранного государства, составляющей Фонд, не учитывается сумма (или ее часть) денежных средств, подлежащих выплате в связи с погашением. При этом общая сумма денежных средств, которая не учитывается при расчете указанного ограничения, в отношении всех денежных сре</w:t>
      </w:r>
      <w:proofErr w:type="gramStart"/>
      <w:r w:rsidRPr="00EE338E">
        <w:rPr>
          <w:color w:val="auto"/>
          <w:sz w:val="23"/>
          <w:szCs w:val="23"/>
        </w:rPr>
        <w:t>дств в р</w:t>
      </w:r>
      <w:proofErr w:type="gramEnd"/>
      <w:r w:rsidRPr="00EE338E">
        <w:rPr>
          <w:color w:val="auto"/>
          <w:sz w:val="23"/>
          <w:szCs w:val="23"/>
        </w:rPr>
        <w:t>ублях и в иностранной валюте на всех счетах, составляющих Фонд, не может превышать общую сумму денежных средств, подлежащих выплате в связи с погашением</w:t>
      </w:r>
      <w:r w:rsidR="00E90451" w:rsidRPr="00E90451">
        <w:t xml:space="preserve"> </w:t>
      </w:r>
      <w:r w:rsidR="00E90451" w:rsidRPr="00E90451">
        <w:rPr>
          <w:color w:val="auto"/>
          <w:sz w:val="23"/>
          <w:szCs w:val="23"/>
        </w:rPr>
        <w:t>инвестиционных паев Фонда</w:t>
      </w:r>
      <w:r w:rsidR="008369F2">
        <w:rPr>
          <w:color w:val="auto"/>
          <w:sz w:val="23"/>
          <w:szCs w:val="23"/>
        </w:rPr>
        <w:t>.</w:t>
      </w:r>
      <w:r w:rsidRPr="00EE338E">
        <w:rPr>
          <w:color w:val="auto"/>
          <w:sz w:val="23"/>
          <w:szCs w:val="23"/>
        </w:rPr>
        <w:t xml:space="preserve"> </w:t>
      </w:r>
    </w:p>
    <w:p w:rsidR="008C32AF" w:rsidRDefault="00AC1AFE" w:rsidP="00306F70">
      <w:pPr>
        <w:pStyle w:val="Iauiue0"/>
        <w:ind w:firstLine="568"/>
        <w:jc w:val="both"/>
        <w:rPr>
          <w:sz w:val="22"/>
          <w:szCs w:val="22"/>
        </w:rPr>
      </w:pPr>
      <w:r>
        <w:rPr>
          <w:sz w:val="23"/>
          <w:szCs w:val="23"/>
        </w:rPr>
        <w:lastRenderedPageBreak/>
        <w:t>26.2. Требования пп. 1 п. 26.1 настоящих Правил не применяются после даты возникновения основания прекращения Фонда</w:t>
      </w:r>
      <w:proofErr w:type="gramStart"/>
      <w:r>
        <w:rPr>
          <w:sz w:val="23"/>
          <w:szCs w:val="23"/>
        </w:rPr>
        <w:t>.</w:t>
      </w:r>
      <w:r w:rsidR="008C32AF" w:rsidRPr="00FC02EA">
        <w:rPr>
          <w:sz w:val="22"/>
          <w:szCs w:val="22"/>
        </w:rPr>
        <w:t>».</w:t>
      </w:r>
      <w:proofErr w:type="gramEnd"/>
    </w:p>
    <w:p w:rsidR="00306F70" w:rsidRDefault="00306F70" w:rsidP="00306F70">
      <w:pPr>
        <w:ind w:firstLine="720"/>
        <w:jc w:val="both"/>
        <w:rPr>
          <w:b/>
          <w:bCs/>
          <w:sz w:val="22"/>
          <w:szCs w:val="22"/>
        </w:rPr>
      </w:pPr>
    </w:p>
    <w:p w:rsidR="00306F70" w:rsidRDefault="00306F70" w:rsidP="00306F70">
      <w:pPr>
        <w:ind w:firstLine="720"/>
        <w:jc w:val="both"/>
        <w:rPr>
          <w:b/>
          <w:bCs/>
          <w:sz w:val="22"/>
          <w:szCs w:val="22"/>
        </w:rPr>
      </w:pPr>
      <w:r>
        <w:rPr>
          <w:b/>
          <w:bCs/>
          <w:sz w:val="22"/>
          <w:szCs w:val="22"/>
        </w:rPr>
        <w:t>3</w:t>
      </w:r>
      <w:r w:rsidRPr="00FC02EA">
        <w:rPr>
          <w:b/>
          <w:bCs/>
          <w:sz w:val="22"/>
          <w:szCs w:val="22"/>
        </w:rPr>
        <w:t xml:space="preserve">. Пункт </w:t>
      </w:r>
      <w:r>
        <w:rPr>
          <w:b/>
          <w:bCs/>
          <w:sz w:val="22"/>
          <w:szCs w:val="22"/>
        </w:rPr>
        <w:t>29</w:t>
      </w:r>
      <w:r w:rsidRPr="00FC02EA">
        <w:rPr>
          <w:b/>
          <w:bCs/>
          <w:sz w:val="22"/>
          <w:szCs w:val="22"/>
        </w:rPr>
        <w:t xml:space="preserve"> Правил Фонда изложить в следующей редакции:</w:t>
      </w:r>
    </w:p>
    <w:p w:rsidR="00306F70" w:rsidRPr="00EE338E" w:rsidRDefault="00306F70" w:rsidP="00306F70">
      <w:pPr>
        <w:pStyle w:val="Iauiue0"/>
        <w:ind w:firstLine="568"/>
        <w:jc w:val="both"/>
        <w:rPr>
          <w:sz w:val="22"/>
          <w:szCs w:val="22"/>
        </w:rPr>
      </w:pPr>
      <w:r w:rsidRPr="00EE338E">
        <w:rPr>
          <w:b/>
          <w:bCs/>
          <w:sz w:val="22"/>
          <w:szCs w:val="22"/>
        </w:rPr>
        <w:t>«</w:t>
      </w:r>
      <w:r w:rsidRPr="00EE338E">
        <w:rPr>
          <w:sz w:val="22"/>
          <w:szCs w:val="22"/>
        </w:rPr>
        <w:t xml:space="preserve">29. Управляющая компания: </w:t>
      </w:r>
    </w:p>
    <w:p w:rsidR="00306F70" w:rsidRPr="00EE338E" w:rsidRDefault="00306F70" w:rsidP="00306F70">
      <w:pPr>
        <w:pStyle w:val="Iauiue0"/>
        <w:ind w:firstLine="568"/>
        <w:jc w:val="both"/>
        <w:rPr>
          <w:sz w:val="22"/>
          <w:szCs w:val="22"/>
        </w:rPr>
      </w:pPr>
      <w:r w:rsidRPr="00EE338E">
        <w:rPr>
          <w:sz w:val="22"/>
          <w:szCs w:val="22"/>
        </w:rPr>
        <w:t xml:space="preserve">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 </w:t>
      </w:r>
    </w:p>
    <w:p w:rsidR="00306F70" w:rsidRPr="00EE338E" w:rsidRDefault="00306F70" w:rsidP="00306F70">
      <w:pPr>
        <w:pStyle w:val="Iauiue0"/>
        <w:ind w:firstLine="568"/>
        <w:jc w:val="both"/>
        <w:rPr>
          <w:sz w:val="22"/>
          <w:szCs w:val="22"/>
        </w:rPr>
      </w:pPr>
      <w:r w:rsidRPr="00EE338E">
        <w:rPr>
          <w:sz w:val="22"/>
          <w:szCs w:val="22"/>
        </w:rPr>
        <w:t xml:space="preserve">2) предъявляет иски и выступает ответчиком по искам в суде в связи с осуществлением деятельности по доверительному управлению Фондом; </w:t>
      </w:r>
    </w:p>
    <w:p w:rsidR="00306F70" w:rsidRPr="00EE338E" w:rsidRDefault="00306F70" w:rsidP="00306F70">
      <w:pPr>
        <w:pStyle w:val="Iauiue0"/>
        <w:ind w:firstLine="568"/>
        <w:jc w:val="both"/>
        <w:rPr>
          <w:sz w:val="22"/>
          <w:szCs w:val="22"/>
        </w:rPr>
      </w:pPr>
      <w:r w:rsidRPr="00EE338E">
        <w:rPr>
          <w:sz w:val="22"/>
          <w:szCs w:val="22"/>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w:t>
      </w:r>
      <w:proofErr w:type="gramStart"/>
      <w:r w:rsidRPr="00EE338E">
        <w:rPr>
          <w:sz w:val="22"/>
          <w:szCs w:val="22"/>
        </w:rPr>
        <w:t>принятия соответствующего решения общего собрания владельцев инвестиционных паев</w:t>
      </w:r>
      <w:proofErr w:type="gramEnd"/>
      <w:r w:rsidRPr="00EE338E">
        <w:rPr>
          <w:sz w:val="22"/>
          <w:szCs w:val="22"/>
        </w:rPr>
        <w:t xml:space="preserve">; </w:t>
      </w:r>
    </w:p>
    <w:p w:rsidR="00306F70" w:rsidRPr="00EE338E" w:rsidRDefault="00306F70" w:rsidP="00306F70">
      <w:pPr>
        <w:pStyle w:val="Iauiue0"/>
        <w:ind w:firstLine="568"/>
        <w:jc w:val="both"/>
        <w:rPr>
          <w:sz w:val="22"/>
          <w:szCs w:val="22"/>
        </w:rPr>
      </w:pPr>
      <w:r w:rsidRPr="00EE338E">
        <w:rPr>
          <w:sz w:val="22"/>
          <w:szCs w:val="22"/>
        </w:rPr>
        <w:t xml:space="preserve">4) вправе выдать дополнительные инвестиционные паи в порядке и сроки, предусмотренные настоящими Правилами; </w:t>
      </w:r>
    </w:p>
    <w:p w:rsidR="00306F70" w:rsidRPr="00EE338E" w:rsidRDefault="00306F70" w:rsidP="00306F70">
      <w:pPr>
        <w:pStyle w:val="Iauiue0"/>
        <w:ind w:firstLine="568"/>
        <w:jc w:val="both"/>
      </w:pPr>
      <w:r w:rsidRPr="00EE338E">
        <w:rPr>
          <w:sz w:val="22"/>
          <w:szCs w:val="22"/>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roofErr w:type="gramStart"/>
      <w:r w:rsidRPr="00EE338E">
        <w:rPr>
          <w:sz w:val="22"/>
          <w:szCs w:val="22"/>
        </w:rPr>
        <w:t>.»</w:t>
      </w:r>
      <w:proofErr w:type="gramEnd"/>
    </w:p>
    <w:p w:rsidR="001737DA" w:rsidRDefault="001737DA" w:rsidP="00705609">
      <w:pPr>
        <w:ind w:firstLine="720"/>
        <w:jc w:val="both"/>
        <w:rPr>
          <w:b/>
          <w:bCs/>
          <w:sz w:val="22"/>
          <w:szCs w:val="22"/>
        </w:rPr>
      </w:pPr>
    </w:p>
    <w:p w:rsidR="002905B6" w:rsidRDefault="00306F70" w:rsidP="00705609">
      <w:pPr>
        <w:ind w:firstLine="720"/>
        <w:jc w:val="both"/>
        <w:rPr>
          <w:b/>
          <w:bCs/>
          <w:sz w:val="22"/>
          <w:szCs w:val="22"/>
        </w:rPr>
      </w:pPr>
      <w:r>
        <w:rPr>
          <w:b/>
          <w:bCs/>
          <w:sz w:val="22"/>
          <w:szCs w:val="22"/>
        </w:rPr>
        <w:t>4</w:t>
      </w:r>
      <w:r w:rsidR="00361124" w:rsidRPr="00FC02EA">
        <w:rPr>
          <w:b/>
          <w:bCs/>
          <w:sz w:val="22"/>
          <w:szCs w:val="22"/>
        </w:rPr>
        <w:t xml:space="preserve">. Пункт </w:t>
      </w:r>
      <w:r w:rsidR="00361124">
        <w:rPr>
          <w:b/>
          <w:bCs/>
          <w:sz w:val="22"/>
          <w:szCs w:val="22"/>
        </w:rPr>
        <w:t>36</w:t>
      </w:r>
      <w:r w:rsidR="00361124" w:rsidRPr="00FC02EA">
        <w:rPr>
          <w:b/>
          <w:bCs/>
          <w:sz w:val="22"/>
          <w:szCs w:val="22"/>
        </w:rPr>
        <w:t xml:space="preserve"> Правил Фонда изложить в следующей редакции:</w:t>
      </w:r>
    </w:p>
    <w:p w:rsidR="00361124" w:rsidRPr="00411268" w:rsidRDefault="00361124" w:rsidP="00361124">
      <w:pPr>
        <w:pStyle w:val="Iauiue0"/>
        <w:ind w:firstLine="541"/>
        <w:jc w:val="both"/>
        <w:rPr>
          <w:color w:val="000000"/>
          <w:sz w:val="22"/>
          <w:szCs w:val="22"/>
        </w:rPr>
      </w:pPr>
      <w:r>
        <w:rPr>
          <w:b/>
          <w:bCs/>
          <w:sz w:val="22"/>
          <w:szCs w:val="22"/>
        </w:rPr>
        <w:t>«</w:t>
      </w:r>
      <w:r w:rsidRPr="00411268">
        <w:rPr>
          <w:color w:val="000000"/>
          <w:sz w:val="22"/>
          <w:szCs w:val="22"/>
        </w:rPr>
        <w:t xml:space="preserve">36. Инвестиционный пай является именной ценной бумагой, удостоверяющей: </w:t>
      </w:r>
    </w:p>
    <w:p w:rsidR="00361124" w:rsidRPr="00411268" w:rsidRDefault="00361124" w:rsidP="00361124">
      <w:pPr>
        <w:pStyle w:val="Iauiue0"/>
        <w:ind w:firstLine="541"/>
        <w:jc w:val="both"/>
        <w:rPr>
          <w:color w:val="000000"/>
          <w:sz w:val="22"/>
          <w:szCs w:val="22"/>
        </w:rPr>
      </w:pPr>
      <w:r w:rsidRPr="00411268">
        <w:rPr>
          <w:color w:val="000000"/>
          <w:sz w:val="22"/>
          <w:szCs w:val="22"/>
        </w:rPr>
        <w:t xml:space="preserve">1) долю его владельца в праве собственности на имущество, составляющее Фонд; </w:t>
      </w:r>
    </w:p>
    <w:p w:rsidR="00361124" w:rsidRPr="00411268" w:rsidRDefault="00361124" w:rsidP="00361124">
      <w:pPr>
        <w:pStyle w:val="Iauiue0"/>
        <w:ind w:firstLine="541"/>
        <w:jc w:val="both"/>
        <w:rPr>
          <w:color w:val="000000"/>
          <w:sz w:val="22"/>
          <w:szCs w:val="22"/>
        </w:rPr>
      </w:pPr>
      <w:r w:rsidRPr="00411268">
        <w:rPr>
          <w:color w:val="000000"/>
          <w:sz w:val="22"/>
          <w:szCs w:val="22"/>
        </w:rPr>
        <w:t xml:space="preserve">2) право требовать от Управляющей компании надлежащего доверительного управления Фондом; </w:t>
      </w:r>
    </w:p>
    <w:p w:rsidR="00361124" w:rsidRPr="00411268" w:rsidRDefault="00361124" w:rsidP="00361124">
      <w:pPr>
        <w:pStyle w:val="Iauiue0"/>
        <w:ind w:firstLine="541"/>
        <w:jc w:val="both"/>
        <w:rPr>
          <w:color w:val="000000"/>
          <w:sz w:val="22"/>
          <w:szCs w:val="22"/>
        </w:rPr>
      </w:pPr>
      <w:r w:rsidRPr="00411268">
        <w:rPr>
          <w:color w:val="000000"/>
          <w:sz w:val="22"/>
          <w:szCs w:val="22"/>
        </w:rPr>
        <w:t xml:space="preserve">3) право на участие в общем собрании владельцев инвестиционных паев; </w:t>
      </w:r>
    </w:p>
    <w:p w:rsidR="00361124" w:rsidRPr="00411268" w:rsidRDefault="00361124" w:rsidP="00361124">
      <w:pPr>
        <w:pStyle w:val="Iauiue0"/>
        <w:ind w:firstLine="541"/>
        <w:jc w:val="both"/>
        <w:rPr>
          <w:color w:val="000000"/>
          <w:sz w:val="22"/>
          <w:szCs w:val="22"/>
        </w:rPr>
      </w:pPr>
      <w:r>
        <w:rPr>
          <w:color w:val="000000"/>
          <w:sz w:val="22"/>
          <w:szCs w:val="22"/>
        </w:rPr>
        <w:t>4</w:t>
      </w:r>
      <w:r w:rsidRPr="00411268">
        <w:rPr>
          <w:color w:val="000000"/>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 </w:t>
      </w:r>
    </w:p>
    <w:p w:rsidR="00361124" w:rsidRDefault="00361124" w:rsidP="00361124">
      <w:pPr>
        <w:pStyle w:val="Iauiue0"/>
        <w:ind w:firstLine="541"/>
        <w:jc w:val="both"/>
        <w:rPr>
          <w:color w:val="000000"/>
          <w:sz w:val="22"/>
          <w:szCs w:val="22"/>
        </w:rPr>
      </w:pPr>
      <w:r>
        <w:rPr>
          <w:color w:val="000000"/>
          <w:sz w:val="22"/>
          <w:szCs w:val="22"/>
        </w:rPr>
        <w:t>5</w:t>
      </w:r>
      <w:r w:rsidRPr="00411268">
        <w:rPr>
          <w:color w:val="000000"/>
          <w:sz w:val="22"/>
          <w:szCs w:val="22"/>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roofErr w:type="gramStart"/>
      <w:r>
        <w:rPr>
          <w:color w:val="000000"/>
          <w:sz w:val="22"/>
          <w:szCs w:val="22"/>
        </w:rPr>
        <w:t>.».</w:t>
      </w:r>
      <w:r w:rsidRPr="00411268">
        <w:rPr>
          <w:color w:val="000000"/>
          <w:sz w:val="22"/>
          <w:szCs w:val="22"/>
        </w:rPr>
        <w:t xml:space="preserve"> </w:t>
      </w:r>
      <w:proofErr w:type="gramEnd"/>
    </w:p>
    <w:p w:rsidR="00306F70" w:rsidRDefault="00306F70" w:rsidP="00306F70">
      <w:pPr>
        <w:ind w:firstLine="720"/>
        <w:jc w:val="both"/>
        <w:rPr>
          <w:b/>
          <w:bCs/>
          <w:sz w:val="22"/>
          <w:szCs w:val="22"/>
        </w:rPr>
      </w:pPr>
    </w:p>
    <w:p w:rsidR="00306F70" w:rsidRDefault="00306F70" w:rsidP="00306F70">
      <w:pPr>
        <w:ind w:firstLine="720"/>
        <w:jc w:val="both"/>
        <w:rPr>
          <w:b/>
          <w:bCs/>
          <w:sz w:val="22"/>
          <w:szCs w:val="22"/>
        </w:rPr>
      </w:pPr>
      <w:r>
        <w:rPr>
          <w:b/>
          <w:bCs/>
          <w:sz w:val="22"/>
          <w:szCs w:val="22"/>
        </w:rPr>
        <w:t>5</w:t>
      </w:r>
      <w:r w:rsidRPr="00FC02EA">
        <w:rPr>
          <w:b/>
          <w:bCs/>
          <w:sz w:val="22"/>
          <w:szCs w:val="22"/>
        </w:rPr>
        <w:t xml:space="preserve">. Пункт </w:t>
      </w:r>
      <w:r>
        <w:rPr>
          <w:b/>
          <w:bCs/>
          <w:sz w:val="22"/>
          <w:szCs w:val="22"/>
        </w:rPr>
        <w:t>78</w:t>
      </w:r>
      <w:r w:rsidRPr="00FC02EA">
        <w:rPr>
          <w:b/>
          <w:bCs/>
          <w:sz w:val="22"/>
          <w:szCs w:val="22"/>
        </w:rPr>
        <w:t xml:space="preserve"> Правил Фонда изложить в следующей редакции:</w:t>
      </w:r>
    </w:p>
    <w:p w:rsidR="00306F70" w:rsidRPr="00EE338E" w:rsidRDefault="00306F70" w:rsidP="00306F70">
      <w:pPr>
        <w:pStyle w:val="Iauiue0"/>
        <w:ind w:firstLine="541"/>
        <w:jc w:val="both"/>
        <w:rPr>
          <w:sz w:val="22"/>
          <w:szCs w:val="22"/>
        </w:rPr>
      </w:pPr>
      <w:r w:rsidRPr="00EE338E">
        <w:rPr>
          <w:sz w:val="22"/>
          <w:szCs w:val="22"/>
        </w:rPr>
        <w:t>«78. Выдача дополнительных инвестиционных паев осуществляется при условии передачи в их оплату денежных сре</w:t>
      </w:r>
      <w:proofErr w:type="gramStart"/>
      <w:r w:rsidRPr="00EE338E">
        <w:rPr>
          <w:sz w:val="22"/>
          <w:szCs w:val="22"/>
        </w:rPr>
        <w:t>дств в р</w:t>
      </w:r>
      <w:proofErr w:type="gramEnd"/>
      <w:r w:rsidRPr="00EE338E">
        <w:rPr>
          <w:sz w:val="22"/>
          <w:szCs w:val="22"/>
        </w:rPr>
        <w:t xml:space="preserve">азмере и (или) иного имущества стоимостью не менее 300 000 (Триста тысяч) рублей. </w:t>
      </w:r>
    </w:p>
    <w:p w:rsidR="00306F70" w:rsidRDefault="00306F70" w:rsidP="00306F70">
      <w:pPr>
        <w:pStyle w:val="Iauiue0"/>
        <w:ind w:firstLine="541"/>
        <w:jc w:val="both"/>
        <w:rPr>
          <w:color w:val="000000"/>
          <w:sz w:val="22"/>
          <w:szCs w:val="22"/>
        </w:rPr>
      </w:pPr>
      <w:r w:rsidRPr="00EE338E">
        <w:rPr>
          <w:sz w:val="22"/>
          <w:szCs w:val="22"/>
        </w:rPr>
        <w:t>Условие, предусмотренное настоящим</w:t>
      </w:r>
      <w:r w:rsidRPr="00411268">
        <w:rPr>
          <w:color w:val="000000"/>
          <w:sz w:val="22"/>
          <w:szCs w:val="22"/>
        </w:rPr>
        <w:t xml:space="preserve"> пунктом, не распространяется на лиц, являющихся владельцами инвестиционных </w:t>
      </w:r>
      <w:proofErr w:type="gramStart"/>
      <w:r w:rsidRPr="00411268">
        <w:rPr>
          <w:color w:val="000000"/>
          <w:sz w:val="22"/>
          <w:szCs w:val="22"/>
        </w:rPr>
        <w:t>паев</w:t>
      </w:r>
      <w:proofErr w:type="gramEnd"/>
      <w:r w:rsidRPr="00411268">
        <w:rPr>
          <w:color w:val="000000"/>
          <w:sz w:val="22"/>
          <w:szCs w:val="22"/>
        </w:rPr>
        <w:t xml:space="preserve"> на дату принятия Управляющей компанией решения о выдаче дополнительных инвестиционных паев.</w:t>
      </w:r>
      <w:r>
        <w:rPr>
          <w:color w:val="000000"/>
          <w:sz w:val="22"/>
          <w:szCs w:val="22"/>
        </w:rPr>
        <w:t>»</w:t>
      </w:r>
    </w:p>
    <w:p w:rsidR="00306F70" w:rsidRDefault="00306F70" w:rsidP="00306F70">
      <w:pPr>
        <w:pStyle w:val="Iauiue0"/>
        <w:ind w:firstLine="541"/>
        <w:jc w:val="both"/>
        <w:rPr>
          <w:color w:val="000000"/>
          <w:sz w:val="22"/>
          <w:szCs w:val="22"/>
        </w:rPr>
      </w:pPr>
      <w:r w:rsidRPr="00411268">
        <w:rPr>
          <w:color w:val="000000"/>
          <w:sz w:val="22"/>
          <w:szCs w:val="22"/>
        </w:rPr>
        <w:t xml:space="preserve"> </w:t>
      </w:r>
    </w:p>
    <w:p w:rsidR="00EE338E" w:rsidRDefault="00EE338E" w:rsidP="00EE338E">
      <w:pPr>
        <w:ind w:firstLine="720"/>
        <w:jc w:val="both"/>
        <w:rPr>
          <w:b/>
          <w:bCs/>
          <w:sz w:val="22"/>
          <w:szCs w:val="22"/>
        </w:rPr>
      </w:pPr>
      <w:r>
        <w:rPr>
          <w:b/>
          <w:bCs/>
          <w:sz w:val="22"/>
          <w:szCs w:val="22"/>
        </w:rPr>
        <w:t>6</w:t>
      </w:r>
      <w:r w:rsidRPr="00FC02EA">
        <w:rPr>
          <w:b/>
          <w:bCs/>
          <w:sz w:val="22"/>
          <w:szCs w:val="22"/>
        </w:rPr>
        <w:t xml:space="preserve">. Пункт </w:t>
      </w:r>
      <w:r>
        <w:rPr>
          <w:b/>
          <w:bCs/>
          <w:sz w:val="22"/>
          <w:szCs w:val="22"/>
        </w:rPr>
        <w:t>106 исключить</w:t>
      </w:r>
      <w:r w:rsidRPr="00FC02EA">
        <w:rPr>
          <w:b/>
          <w:bCs/>
          <w:sz w:val="22"/>
          <w:szCs w:val="22"/>
        </w:rPr>
        <w:t xml:space="preserve"> </w:t>
      </w:r>
      <w:r>
        <w:rPr>
          <w:b/>
          <w:bCs/>
          <w:sz w:val="22"/>
          <w:szCs w:val="22"/>
        </w:rPr>
        <w:t xml:space="preserve">из </w:t>
      </w:r>
      <w:r w:rsidRPr="00FC02EA">
        <w:rPr>
          <w:b/>
          <w:bCs/>
          <w:sz w:val="22"/>
          <w:szCs w:val="22"/>
        </w:rPr>
        <w:t>Правил Фонда</w:t>
      </w:r>
      <w:r>
        <w:rPr>
          <w:b/>
          <w:bCs/>
          <w:sz w:val="22"/>
          <w:szCs w:val="22"/>
        </w:rPr>
        <w:t>.</w:t>
      </w:r>
    </w:p>
    <w:p w:rsidR="00EE338E" w:rsidRDefault="00EE338E" w:rsidP="00EE338E">
      <w:pPr>
        <w:ind w:firstLine="720"/>
        <w:jc w:val="both"/>
        <w:rPr>
          <w:b/>
          <w:bCs/>
          <w:sz w:val="22"/>
          <w:szCs w:val="22"/>
        </w:rPr>
      </w:pPr>
    </w:p>
    <w:p w:rsidR="00306F70" w:rsidRPr="001C6A75" w:rsidRDefault="00EE338E" w:rsidP="001C6A75">
      <w:pPr>
        <w:ind w:firstLine="720"/>
        <w:jc w:val="both"/>
        <w:rPr>
          <w:b/>
          <w:bCs/>
          <w:sz w:val="22"/>
          <w:szCs w:val="22"/>
        </w:rPr>
      </w:pPr>
      <w:r>
        <w:rPr>
          <w:b/>
          <w:bCs/>
          <w:sz w:val="22"/>
          <w:szCs w:val="22"/>
        </w:rPr>
        <w:t>7</w:t>
      </w:r>
      <w:r w:rsidRPr="00FC02EA">
        <w:rPr>
          <w:b/>
          <w:bCs/>
          <w:sz w:val="22"/>
          <w:szCs w:val="22"/>
        </w:rPr>
        <w:t>. Пункт</w:t>
      </w:r>
      <w:r>
        <w:rPr>
          <w:b/>
          <w:bCs/>
          <w:sz w:val="22"/>
          <w:szCs w:val="22"/>
        </w:rPr>
        <w:t xml:space="preserve">ы </w:t>
      </w:r>
      <w:r w:rsidR="001C6A75">
        <w:rPr>
          <w:b/>
          <w:bCs/>
          <w:sz w:val="22"/>
          <w:szCs w:val="22"/>
        </w:rPr>
        <w:t xml:space="preserve">107 – 113 </w:t>
      </w:r>
      <w:r>
        <w:rPr>
          <w:b/>
          <w:bCs/>
          <w:sz w:val="22"/>
          <w:szCs w:val="22"/>
        </w:rPr>
        <w:t xml:space="preserve"> </w:t>
      </w:r>
      <w:r w:rsidRPr="00FC02EA">
        <w:rPr>
          <w:b/>
          <w:bCs/>
          <w:sz w:val="22"/>
          <w:szCs w:val="22"/>
        </w:rPr>
        <w:t xml:space="preserve">Правил Фонда </w:t>
      </w:r>
      <w:r>
        <w:rPr>
          <w:b/>
          <w:bCs/>
          <w:sz w:val="22"/>
          <w:szCs w:val="22"/>
        </w:rPr>
        <w:t>считать пунктами 106-112 Правил Фонда.</w:t>
      </w:r>
    </w:p>
    <w:p w:rsidR="00306F70" w:rsidRPr="00306F70" w:rsidRDefault="00306F70" w:rsidP="00306F70">
      <w:pPr>
        <w:pStyle w:val="default"/>
      </w:pPr>
    </w:p>
    <w:p w:rsidR="00361124" w:rsidRPr="00361124" w:rsidRDefault="00361124" w:rsidP="00705609">
      <w:pPr>
        <w:ind w:firstLine="720"/>
        <w:jc w:val="both"/>
        <w:rPr>
          <w:sz w:val="22"/>
          <w:szCs w:val="22"/>
        </w:rPr>
      </w:pPr>
    </w:p>
    <w:p w:rsidR="00CA2411" w:rsidRDefault="00CA2411" w:rsidP="00CA2411">
      <w:pPr>
        <w:rPr>
          <w:color w:val="000000"/>
        </w:rPr>
      </w:pPr>
    </w:p>
    <w:p w:rsidR="00615E9A" w:rsidRDefault="00615E9A" w:rsidP="00D12D62">
      <w:pPr>
        <w:rPr>
          <w:color w:val="000000"/>
        </w:rPr>
      </w:pPr>
    </w:p>
    <w:p w:rsidR="0081278B" w:rsidRDefault="00CA2411" w:rsidP="001737DA">
      <w:r>
        <w:rPr>
          <w:color w:val="000000"/>
        </w:rPr>
        <w:t>Генеральный директор</w:t>
      </w:r>
      <w:r>
        <w:rPr>
          <w:color w:val="000000"/>
        </w:rPr>
        <w:tab/>
      </w:r>
      <w:r>
        <w:rPr>
          <w:color w:val="000000"/>
        </w:rPr>
        <w:tab/>
        <w:t xml:space="preserve">                 </w:t>
      </w:r>
      <w:r>
        <w:rPr>
          <w:color w:val="000000"/>
        </w:rPr>
        <w:tab/>
      </w:r>
      <w:r>
        <w:rPr>
          <w:color w:val="000000"/>
        </w:rPr>
        <w:tab/>
      </w:r>
      <w:r>
        <w:rPr>
          <w:color w:val="000000"/>
        </w:rPr>
        <w:tab/>
      </w:r>
      <w:r w:rsidR="00DF32AB">
        <w:rPr>
          <w:color w:val="000000"/>
        </w:rPr>
        <w:t>В</w:t>
      </w:r>
      <w:r w:rsidRPr="008E501B">
        <w:rPr>
          <w:color w:val="000000"/>
        </w:rPr>
        <w:t>.</w:t>
      </w:r>
      <w:r w:rsidR="00DF32AB">
        <w:rPr>
          <w:color w:val="000000"/>
        </w:rPr>
        <w:t>М</w:t>
      </w:r>
      <w:r w:rsidRPr="008E501B">
        <w:rPr>
          <w:color w:val="000000"/>
        </w:rPr>
        <w:t xml:space="preserve">. </w:t>
      </w:r>
      <w:r w:rsidR="00DF32AB">
        <w:t>Кучинский</w:t>
      </w:r>
    </w:p>
    <w:p w:rsidR="00B81837" w:rsidRPr="0081278B" w:rsidRDefault="00B81837" w:rsidP="0081278B"/>
    <w:sectPr w:rsidR="00B81837" w:rsidRPr="0081278B" w:rsidSect="008F06C5">
      <w:footerReference w:type="default" r:id="rId7"/>
      <w:pgSz w:w="11906" w:h="16838"/>
      <w:pgMar w:top="719"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AC" w:rsidRDefault="00C217AC">
      <w:r>
        <w:separator/>
      </w:r>
    </w:p>
  </w:endnote>
  <w:endnote w:type="continuationSeparator" w:id="0">
    <w:p w:rsidR="00C217AC" w:rsidRDefault="00C217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85" w:rsidRDefault="002A2885">
    <w:pPr>
      <w:pStyle w:val="a7"/>
      <w:jc w:val="right"/>
    </w:pPr>
    <w:fldSimple w:instr="PAGE   \* MERGEFORMAT">
      <w:r w:rsidR="006109C7">
        <w:rPr>
          <w:noProof/>
        </w:rPr>
        <w:t>1</w:t>
      </w:r>
    </w:fldSimple>
  </w:p>
  <w:p w:rsidR="002A2885" w:rsidRDefault="002A2885" w:rsidP="00E345B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AC" w:rsidRDefault="00C217AC">
      <w:r>
        <w:separator/>
      </w:r>
    </w:p>
  </w:footnote>
  <w:footnote w:type="continuationSeparator" w:id="0">
    <w:p w:rsidR="00C217AC" w:rsidRDefault="00C21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5D3"/>
    <w:multiLevelType w:val="hybridMultilevel"/>
    <w:tmpl w:val="EA9047D8"/>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0BBB475E"/>
    <w:multiLevelType w:val="hybridMultilevel"/>
    <w:tmpl w:val="A34623AE"/>
    <w:lvl w:ilvl="0" w:tplc="D318C2C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A41027B"/>
    <w:multiLevelType w:val="singleLevel"/>
    <w:tmpl w:val="AD2C06B0"/>
    <w:lvl w:ilvl="0">
      <w:numFmt w:val="bullet"/>
      <w:lvlText w:val="-"/>
      <w:lvlJc w:val="left"/>
      <w:pPr>
        <w:tabs>
          <w:tab w:val="num" w:pos="1069"/>
        </w:tabs>
        <w:ind w:left="1069" w:hanging="360"/>
      </w:pPr>
      <w:rPr>
        <w:rFonts w:hint="default"/>
      </w:rPr>
    </w:lvl>
  </w:abstractNum>
  <w:abstractNum w:abstractNumId="3">
    <w:nsid w:val="4B9853AF"/>
    <w:multiLevelType w:val="hybridMultilevel"/>
    <w:tmpl w:val="638093C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768E0737"/>
    <w:multiLevelType w:val="hybridMultilevel"/>
    <w:tmpl w:val="FFD4F09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D1E5A"/>
    <w:rsid w:val="000049A3"/>
    <w:rsid w:val="00010462"/>
    <w:rsid w:val="00013EFD"/>
    <w:rsid w:val="00031CCD"/>
    <w:rsid w:val="00034B1F"/>
    <w:rsid w:val="00045A45"/>
    <w:rsid w:val="00050902"/>
    <w:rsid w:val="00056218"/>
    <w:rsid w:val="000571E3"/>
    <w:rsid w:val="000663E7"/>
    <w:rsid w:val="00070DBC"/>
    <w:rsid w:val="000849B2"/>
    <w:rsid w:val="000908C8"/>
    <w:rsid w:val="000958B3"/>
    <w:rsid w:val="000A096C"/>
    <w:rsid w:val="000B4EB5"/>
    <w:rsid w:val="000C625F"/>
    <w:rsid w:val="000F5D14"/>
    <w:rsid w:val="001010B0"/>
    <w:rsid w:val="001126D4"/>
    <w:rsid w:val="00143007"/>
    <w:rsid w:val="0014304C"/>
    <w:rsid w:val="00144A2C"/>
    <w:rsid w:val="001601E4"/>
    <w:rsid w:val="00166ED4"/>
    <w:rsid w:val="001737DA"/>
    <w:rsid w:val="00187003"/>
    <w:rsid w:val="00195D82"/>
    <w:rsid w:val="001A257F"/>
    <w:rsid w:val="001B1D62"/>
    <w:rsid w:val="001B5FA9"/>
    <w:rsid w:val="001B7747"/>
    <w:rsid w:val="001C6A75"/>
    <w:rsid w:val="001D70D6"/>
    <w:rsid w:val="001D71CE"/>
    <w:rsid w:val="001E0231"/>
    <w:rsid w:val="001E45FF"/>
    <w:rsid w:val="001F316E"/>
    <w:rsid w:val="001F4879"/>
    <w:rsid w:val="002021D0"/>
    <w:rsid w:val="00210F74"/>
    <w:rsid w:val="0021617D"/>
    <w:rsid w:val="00223B28"/>
    <w:rsid w:val="002255C4"/>
    <w:rsid w:val="002338E4"/>
    <w:rsid w:val="00246182"/>
    <w:rsid w:val="002579AB"/>
    <w:rsid w:val="00280F8A"/>
    <w:rsid w:val="002905B6"/>
    <w:rsid w:val="00291B1B"/>
    <w:rsid w:val="002A2885"/>
    <w:rsid w:val="002B480B"/>
    <w:rsid w:val="002B57C9"/>
    <w:rsid w:val="002C1E7B"/>
    <w:rsid w:val="002D0AA2"/>
    <w:rsid w:val="002D1D2A"/>
    <w:rsid w:val="002D3636"/>
    <w:rsid w:val="002E2989"/>
    <w:rsid w:val="002E40A1"/>
    <w:rsid w:val="002F2C3B"/>
    <w:rsid w:val="002F3352"/>
    <w:rsid w:val="002F4765"/>
    <w:rsid w:val="003004F5"/>
    <w:rsid w:val="00306F70"/>
    <w:rsid w:val="0030799D"/>
    <w:rsid w:val="00310C67"/>
    <w:rsid w:val="00323892"/>
    <w:rsid w:val="003244FF"/>
    <w:rsid w:val="003308D7"/>
    <w:rsid w:val="003339EE"/>
    <w:rsid w:val="003437C9"/>
    <w:rsid w:val="00361124"/>
    <w:rsid w:val="00363149"/>
    <w:rsid w:val="00380E84"/>
    <w:rsid w:val="00391093"/>
    <w:rsid w:val="003B34DE"/>
    <w:rsid w:val="003B5036"/>
    <w:rsid w:val="003D2298"/>
    <w:rsid w:val="003D38CA"/>
    <w:rsid w:val="003E7770"/>
    <w:rsid w:val="003F4BE1"/>
    <w:rsid w:val="003F75B6"/>
    <w:rsid w:val="004009D7"/>
    <w:rsid w:val="00410063"/>
    <w:rsid w:val="00410D81"/>
    <w:rsid w:val="00411268"/>
    <w:rsid w:val="00436617"/>
    <w:rsid w:val="00440DA3"/>
    <w:rsid w:val="00466FCD"/>
    <w:rsid w:val="0047058C"/>
    <w:rsid w:val="004716F2"/>
    <w:rsid w:val="004717EC"/>
    <w:rsid w:val="00485717"/>
    <w:rsid w:val="00491924"/>
    <w:rsid w:val="004948F4"/>
    <w:rsid w:val="004A1059"/>
    <w:rsid w:val="004A1BF9"/>
    <w:rsid w:val="004A2956"/>
    <w:rsid w:val="004A2ADD"/>
    <w:rsid w:val="004A36A0"/>
    <w:rsid w:val="004A3805"/>
    <w:rsid w:val="004A430E"/>
    <w:rsid w:val="004A65CF"/>
    <w:rsid w:val="004B1FBF"/>
    <w:rsid w:val="004B4461"/>
    <w:rsid w:val="004C1CCE"/>
    <w:rsid w:val="004C3CAA"/>
    <w:rsid w:val="004C47C4"/>
    <w:rsid w:val="004C56DB"/>
    <w:rsid w:val="004D2CFE"/>
    <w:rsid w:val="004D4E1B"/>
    <w:rsid w:val="004D6892"/>
    <w:rsid w:val="004D7334"/>
    <w:rsid w:val="004E2D1B"/>
    <w:rsid w:val="0050528D"/>
    <w:rsid w:val="00514FAE"/>
    <w:rsid w:val="00521734"/>
    <w:rsid w:val="005261A8"/>
    <w:rsid w:val="00554D2A"/>
    <w:rsid w:val="0056452B"/>
    <w:rsid w:val="005673B8"/>
    <w:rsid w:val="0057067C"/>
    <w:rsid w:val="0057728B"/>
    <w:rsid w:val="00577A65"/>
    <w:rsid w:val="00580552"/>
    <w:rsid w:val="005C02EB"/>
    <w:rsid w:val="005C08DF"/>
    <w:rsid w:val="005C527B"/>
    <w:rsid w:val="005D1483"/>
    <w:rsid w:val="005E242A"/>
    <w:rsid w:val="006109C7"/>
    <w:rsid w:val="00615E9A"/>
    <w:rsid w:val="00617210"/>
    <w:rsid w:val="00620003"/>
    <w:rsid w:val="0062265B"/>
    <w:rsid w:val="006247DF"/>
    <w:rsid w:val="00652EFC"/>
    <w:rsid w:val="00667C65"/>
    <w:rsid w:val="00671551"/>
    <w:rsid w:val="006807FB"/>
    <w:rsid w:val="006A674F"/>
    <w:rsid w:val="006A6F64"/>
    <w:rsid w:val="006C2207"/>
    <w:rsid w:val="006D3251"/>
    <w:rsid w:val="006D3E7F"/>
    <w:rsid w:val="006E51AA"/>
    <w:rsid w:val="00705609"/>
    <w:rsid w:val="007226E6"/>
    <w:rsid w:val="007319EA"/>
    <w:rsid w:val="00737541"/>
    <w:rsid w:val="00743E2B"/>
    <w:rsid w:val="007446AD"/>
    <w:rsid w:val="007454F8"/>
    <w:rsid w:val="00747A78"/>
    <w:rsid w:val="007702F2"/>
    <w:rsid w:val="007712F6"/>
    <w:rsid w:val="00772C73"/>
    <w:rsid w:val="007762FD"/>
    <w:rsid w:val="00784997"/>
    <w:rsid w:val="007A165D"/>
    <w:rsid w:val="007A5A1A"/>
    <w:rsid w:val="007B69E1"/>
    <w:rsid w:val="007C635C"/>
    <w:rsid w:val="007C7225"/>
    <w:rsid w:val="007D4DB8"/>
    <w:rsid w:val="007F27A2"/>
    <w:rsid w:val="008045D9"/>
    <w:rsid w:val="00806316"/>
    <w:rsid w:val="00810465"/>
    <w:rsid w:val="0081082C"/>
    <w:rsid w:val="0081278B"/>
    <w:rsid w:val="00817F89"/>
    <w:rsid w:val="008205DD"/>
    <w:rsid w:val="008260CD"/>
    <w:rsid w:val="0083698A"/>
    <w:rsid w:val="008369F2"/>
    <w:rsid w:val="00846DAE"/>
    <w:rsid w:val="00852445"/>
    <w:rsid w:val="00853D7A"/>
    <w:rsid w:val="00860759"/>
    <w:rsid w:val="00865A9E"/>
    <w:rsid w:val="00874C75"/>
    <w:rsid w:val="008777E9"/>
    <w:rsid w:val="00877F31"/>
    <w:rsid w:val="00886369"/>
    <w:rsid w:val="008A23CA"/>
    <w:rsid w:val="008A2926"/>
    <w:rsid w:val="008C32AF"/>
    <w:rsid w:val="008C57C1"/>
    <w:rsid w:val="008C6C09"/>
    <w:rsid w:val="008D4713"/>
    <w:rsid w:val="008D6879"/>
    <w:rsid w:val="008E022A"/>
    <w:rsid w:val="008E501B"/>
    <w:rsid w:val="008F06C5"/>
    <w:rsid w:val="008F162F"/>
    <w:rsid w:val="008F1DB5"/>
    <w:rsid w:val="008F2C4D"/>
    <w:rsid w:val="008F48F3"/>
    <w:rsid w:val="008F6B2A"/>
    <w:rsid w:val="00907970"/>
    <w:rsid w:val="00931CFB"/>
    <w:rsid w:val="00935A0E"/>
    <w:rsid w:val="009439AF"/>
    <w:rsid w:val="00945843"/>
    <w:rsid w:val="00950BC2"/>
    <w:rsid w:val="0095182B"/>
    <w:rsid w:val="00955C36"/>
    <w:rsid w:val="00957E39"/>
    <w:rsid w:val="00960ECE"/>
    <w:rsid w:val="00962310"/>
    <w:rsid w:val="00967D75"/>
    <w:rsid w:val="009705DE"/>
    <w:rsid w:val="0099217F"/>
    <w:rsid w:val="009D1558"/>
    <w:rsid w:val="009D5298"/>
    <w:rsid w:val="009D7F6A"/>
    <w:rsid w:val="009E337F"/>
    <w:rsid w:val="009E44D8"/>
    <w:rsid w:val="009F1150"/>
    <w:rsid w:val="009F60DB"/>
    <w:rsid w:val="00A067CC"/>
    <w:rsid w:val="00A1199A"/>
    <w:rsid w:val="00A137CA"/>
    <w:rsid w:val="00A14D86"/>
    <w:rsid w:val="00A20775"/>
    <w:rsid w:val="00A5127E"/>
    <w:rsid w:val="00A54878"/>
    <w:rsid w:val="00A717A1"/>
    <w:rsid w:val="00A71E23"/>
    <w:rsid w:val="00A8279E"/>
    <w:rsid w:val="00A86835"/>
    <w:rsid w:val="00A87C31"/>
    <w:rsid w:val="00A92181"/>
    <w:rsid w:val="00AA40C9"/>
    <w:rsid w:val="00AC1AFE"/>
    <w:rsid w:val="00AC4C53"/>
    <w:rsid w:val="00AD1859"/>
    <w:rsid w:val="00AF0CD2"/>
    <w:rsid w:val="00AF0CF3"/>
    <w:rsid w:val="00AF1B23"/>
    <w:rsid w:val="00B04C91"/>
    <w:rsid w:val="00B1287D"/>
    <w:rsid w:val="00B21CE4"/>
    <w:rsid w:val="00B307A6"/>
    <w:rsid w:val="00B30CB0"/>
    <w:rsid w:val="00B41B20"/>
    <w:rsid w:val="00B812B3"/>
    <w:rsid w:val="00B81837"/>
    <w:rsid w:val="00B87631"/>
    <w:rsid w:val="00B877A8"/>
    <w:rsid w:val="00B90BFC"/>
    <w:rsid w:val="00B933A6"/>
    <w:rsid w:val="00B95A9E"/>
    <w:rsid w:val="00BA665E"/>
    <w:rsid w:val="00BA67B3"/>
    <w:rsid w:val="00BA68FF"/>
    <w:rsid w:val="00BC1F65"/>
    <w:rsid w:val="00BC4A37"/>
    <w:rsid w:val="00BC785E"/>
    <w:rsid w:val="00BE0B2C"/>
    <w:rsid w:val="00BE18C1"/>
    <w:rsid w:val="00C0297B"/>
    <w:rsid w:val="00C030B4"/>
    <w:rsid w:val="00C13469"/>
    <w:rsid w:val="00C217AC"/>
    <w:rsid w:val="00C21F8F"/>
    <w:rsid w:val="00C32623"/>
    <w:rsid w:val="00C32F32"/>
    <w:rsid w:val="00C32F56"/>
    <w:rsid w:val="00C36F1F"/>
    <w:rsid w:val="00C42D61"/>
    <w:rsid w:val="00C50E80"/>
    <w:rsid w:val="00C53E10"/>
    <w:rsid w:val="00C56B19"/>
    <w:rsid w:val="00C67DDC"/>
    <w:rsid w:val="00C76953"/>
    <w:rsid w:val="00C85C16"/>
    <w:rsid w:val="00C914D9"/>
    <w:rsid w:val="00C970CC"/>
    <w:rsid w:val="00CA0C4E"/>
    <w:rsid w:val="00CA2411"/>
    <w:rsid w:val="00CA3040"/>
    <w:rsid w:val="00CA5CB8"/>
    <w:rsid w:val="00CD1E5A"/>
    <w:rsid w:val="00CE601F"/>
    <w:rsid w:val="00CF2D06"/>
    <w:rsid w:val="00D01014"/>
    <w:rsid w:val="00D04125"/>
    <w:rsid w:val="00D1014E"/>
    <w:rsid w:val="00D12D62"/>
    <w:rsid w:val="00D150A5"/>
    <w:rsid w:val="00D20BFF"/>
    <w:rsid w:val="00D24307"/>
    <w:rsid w:val="00D34241"/>
    <w:rsid w:val="00D40771"/>
    <w:rsid w:val="00D449D8"/>
    <w:rsid w:val="00D44CBB"/>
    <w:rsid w:val="00D54639"/>
    <w:rsid w:val="00D65AD9"/>
    <w:rsid w:val="00D70CBF"/>
    <w:rsid w:val="00D767C5"/>
    <w:rsid w:val="00DB0419"/>
    <w:rsid w:val="00DB50C2"/>
    <w:rsid w:val="00DB6372"/>
    <w:rsid w:val="00DC100C"/>
    <w:rsid w:val="00DC6B5F"/>
    <w:rsid w:val="00DD3FE7"/>
    <w:rsid w:val="00DD7740"/>
    <w:rsid w:val="00DE2337"/>
    <w:rsid w:val="00DF25E5"/>
    <w:rsid w:val="00DF32AB"/>
    <w:rsid w:val="00DF4A05"/>
    <w:rsid w:val="00E21B15"/>
    <w:rsid w:val="00E24DD4"/>
    <w:rsid w:val="00E30666"/>
    <w:rsid w:val="00E32DC5"/>
    <w:rsid w:val="00E345BB"/>
    <w:rsid w:val="00E61771"/>
    <w:rsid w:val="00E74389"/>
    <w:rsid w:val="00E74DA7"/>
    <w:rsid w:val="00E82ADE"/>
    <w:rsid w:val="00E854FD"/>
    <w:rsid w:val="00E90451"/>
    <w:rsid w:val="00E94341"/>
    <w:rsid w:val="00EA12AD"/>
    <w:rsid w:val="00EA571F"/>
    <w:rsid w:val="00EB0BE3"/>
    <w:rsid w:val="00EC5854"/>
    <w:rsid w:val="00ED1FDE"/>
    <w:rsid w:val="00EE338E"/>
    <w:rsid w:val="00EE51DB"/>
    <w:rsid w:val="00F00263"/>
    <w:rsid w:val="00F20034"/>
    <w:rsid w:val="00F220E4"/>
    <w:rsid w:val="00F3012D"/>
    <w:rsid w:val="00F33382"/>
    <w:rsid w:val="00F44BA4"/>
    <w:rsid w:val="00F45B65"/>
    <w:rsid w:val="00F45E46"/>
    <w:rsid w:val="00F53F11"/>
    <w:rsid w:val="00F645DD"/>
    <w:rsid w:val="00F85331"/>
    <w:rsid w:val="00F978BC"/>
    <w:rsid w:val="00FA0F82"/>
    <w:rsid w:val="00FA57AC"/>
    <w:rsid w:val="00FB7D5D"/>
    <w:rsid w:val="00FC02EA"/>
    <w:rsid w:val="00FC629F"/>
    <w:rsid w:val="00FC713A"/>
    <w:rsid w:val="00FD64C0"/>
    <w:rsid w:val="00FE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CD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E345BB"/>
    <w:rPr>
      <w:rFonts w:ascii="Tahoma" w:hAnsi="Tahoma" w:cs="Tahoma"/>
      <w:sz w:val="16"/>
      <w:szCs w:val="16"/>
    </w:rPr>
  </w:style>
  <w:style w:type="character" w:customStyle="1" w:styleId="a6">
    <w:name w:val="Текст выноски Знак"/>
    <w:link w:val="a5"/>
    <w:uiPriority w:val="99"/>
    <w:semiHidden/>
    <w:locked/>
    <w:rPr>
      <w:rFonts w:ascii="Tahoma" w:hAnsi="Tahoma" w:cs="Times New Roman"/>
      <w:sz w:val="16"/>
    </w:rPr>
  </w:style>
  <w:style w:type="paragraph" w:styleId="a7">
    <w:name w:val="footer"/>
    <w:basedOn w:val="a"/>
    <w:link w:val="a8"/>
    <w:uiPriority w:val="99"/>
    <w:rsid w:val="00E345BB"/>
    <w:pPr>
      <w:tabs>
        <w:tab w:val="center" w:pos="4677"/>
        <w:tab w:val="right" w:pos="9355"/>
      </w:tabs>
    </w:pPr>
  </w:style>
  <w:style w:type="character" w:customStyle="1" w:styleId="a8">
    <w:name w:val="Нижний колонтитул Знак"/>
    <w:link w:val="a7"/>
    <w:uiPriority w:val="99"/>
    <w:locked/>
    <w:rPr>
      <w:rFonts w:cs="Times New Roman"/>
      <w:sz w:val="24"/>
    </w:rPr>
  </w:style>
  <w:style w:type="character" w:styleId="a9">
    <w:name w:val="page number"/>
    <w:uiPriority w:val="99"/>
    <w:rsid w:val="00E345BB"/>
    <w:rPr>
      <w:rFonts w:cs="Times New Roman"/>
    </w:rPr>
  </w:style>
  <w:style w:type="paragraph" w:customStyle="1" w:styleId="aa">
    <w:name w:val="Знак"/>
    <w:basedOn w:val="a"/>
    <w:uiPriority w:val="99"/>
    <w:rsid w:val="00D12D62"/>
    <w:pPr>
      <w:spacing w:after="160" w:line="240" w:lineRule="exact"/>
    </w:pPr>
    <w:rPr>
      <w:rFonts w:ascii="Verdana" w:hAnsi="Verdana" w:cs="Verdana"/>
      <w:sz w:val="20"/>
      <w:szCs w:val="20"/>
      <w:lang w:val="en-US" w:eastAsia="en-US"/>
    </w:rPr>
  </w:style>
  <w:style w:type="paragraph" w:customStyle="1" w:styleId="Iauiue">
    <w:name w:val="Iau?iue"/>
    <w:uiPriority w:val="99"/>
    <w:rsid w:val="00D12D62"/>
    <w:pPr>
      <w:autoSpaceDE w:val="0"/>
      <w:autoSpaceDN w:val="0"/>
    </w:pPr>
  </w:style>
  <w:style w:type="paragraph" w:styleId="2">
    <w:name w:val="Body Text 2"/>
    <w:basedOn w:val="a"/>
    <w:link w:val="20"/>
    <w:uiPriority w:val="99"/>
    <w:rsid w:val="00D12D62"/>
    <w:pPr>
      <w:pBdr>
        <w:top w:val="single" w:sz="12" w:space="1" w:color="auto"/>
        <w:bottom w:val="single" w:sz="12" w:space="1" w:color="auto"/>
      </w:pBdr>
      <w:autoSpaceDE w:val="0"/>
      <w:autoSpaceDN w:val="0"/>
    </w:pPr>
    <w:rPr>
      <w:rFonts w:ascii="Arial" w:hAnsi="Arial" w:cs="Arial"/>
      <w:b/>
      <w:bCs/>
      <w:sz w:val="16"/>
      <w:szCs w:val="16"/>
    </w:rPr>
  </w:style>
  <w:style w:type="character" w:customStyle="1" w:styleId="20">
    <w:name w:val="Основной текст 2 Знак"/>
    <w:link w:val="2"/>
    <w:uiPriority w:val="99"/>
    <w:semiHidden/>
    <w:locked/>
    <w:rPr>
      <w:rFonts w:cs="Times New Roman"/>
      <w:sz w:val="24"/>
    </w:rPr>
  </w:style>
  <w:style w:type="paragraph" w:customStyle="1" w:styleId="1">
    <w:name w:val="Знак1"/>
    <w:basedOn w:val="a"/>
    <w:uiPriority w:val="99"/>
    <w:rsid w:val="0099217F"/>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62265B"/>
    <w:pPr>
      <w:widowControl w:val="0"/>
    </w:pPr>
    <w:rPr>
      <w:rFonts w:ascii="Courier New" w:hAnsi="Courier New" w:cs="Courier New"/>
    </w:rPr>
  </w:style>
  <w:style w:type="paragraph" w:styleId="3">
    <w:name w:val="Body Text Indent 3"/>
    <w:basedOn w:val="a"/>
    <w:link w:val="30"/>
    <w:uiPriority w:val="99"/>
    <w:rsid w:val="00C0297B"/>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rPr>
  </w:style>
  <w:style w:type="character" w:styleId="ab">
    <w:name w:val="Hyperlink"/>
    <w:uiPriority w:val="99"/>
    <w:rsid w:val="00C0297B"/>
    <w:rPr>
      <w:rFonts w:cs="Times New Roman"/>
      <w:color w:val="0000FF"/>
      <w:u w:val="single"/>
    </w:rPr>
  </w:style>
  <w:style w:type="paragraph" w:styleId="ac">
    <w:name w:val="header"/>
    <w:basedOn w:val="a"/>
    <w:link w:val="ad"/>
    <w:uiPriority w:val="99"/>
    <w:rsid w:val="007C635C"/>
    <w:pPr>
      <w:tabs>
        <w:tab w:val="center" w:pos="4677"/>
        <w:tab w:val="right" w:pos="9355"/>
      </w:tabs>
    </w:pPr>
  </w:style>
  <w:style w:type="character" w:customStyle="1" w:styleId="ad">
    <w:name w:val="Верхний колонтитул Знак"/>
    <w:link w:val="ac"/>
    <w:uiPriority w:val="99"/>
    <w:semiHidden/>
    <w:locked/>
    <w:rPr>
      <w:rFonts w:cs="Times New Roman"/>
      <w:sz w:val="24"/>
    </w:rPr>
  </w:style>
  <w:style w:type="paragraph" w:styleId="ae">
    <w:name w:val="Body Text"/>
    <w:basedOn w:val="a"/>
    <w:link w:val="af"/>
    <w:uiPriority w:val="99"/>
    <w:rsid w:val="005E242A"/>
    <w:pPr>
      <w:spacing w:after="120"/>
    </w:pPr>
  </w:style>
  <w:style w:type="character" w:customStyle="1" w:styleId="af">
    <w:name w:val="Основной текст Знак"/>
    <w:link w:val="ae"/>
    <w:uiPriority w:val="99"/>
    <w:semiHidden/>
    <w:locked/>
    <w:rPr>
      <w:rFonts w:cs="Times New Roman"/>
      <w:sz w:val="24"/>
    </w:rPr>
  </w:style>
  <w:style w:type="paragraph" w:customStyle="1" w:styleId="a1">
    <w:name w:val="Знак Знак Знак Знак"/>
    <w:basedOn w:val="a"/>
    <w:link w:val="a0"/>
    <w:uiPriority w:val="99"/>
    <w:rsid w:val="005E242A"/>
    <w:pPr>
      <w:spacing w:after="160" w:line="240" w:lineRule="exact"/>
    </w:pPr>
    <w:rPr>
      <w:rFonts w:ascii="Verdana" w:hAnsi="Verdana" w:cs="Verdana"/>
      <w:sz w:val="20"/>
      <w:szCs w:val="20"/>
      <w:lang w:val="en-US" w:eastAsia="en-US"/>
    </w:rPr>
  </w:style>
  <w:style w:type="paragraph" w:customStyle="1" w:styleId="af0">
    <w:name w:val="Интерактивный заголовок"/>
    <w:basedOn w:val="a"/>
    <w:next w:val="a"/>
    <w:uiPriority w:val="99"/>
    <w:rsid w:val="00C32F56"/>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default">
    <w:name w:val="default"/>
    <w:basedOn w:val="a"/>
    <w:uiPriority w:val="99"/>
    <w:rsid w:val="007D4DB8"/>
    <w:pPr>
      <w:spacing w:before="100" w:beforeAutospacing="1" w:after="100" w:afterAutospacing="1"/>
    </w:pPr>
    <w:rPr>
      <w:sz w:val="20"/>
      <w:szCs w:val="20"/>
    </w:rPr>
  </w:style>
  <w:style w:type="paragraph" w:customStyle="1" w:styleId="Iauiue0">
    <w:name w:val="Iau.iue"/>
    <w:basedOn w:val="default"/>
    <w:next w:val="default"/>
    <w:uiPriority w:val="99"/>
    <w:rsid w:val="007D4DB8"/>
    <w:pPr>
      <w:autoSpaceDE w:val="0"/>
      <w:autoSpaceDN w:val="0"/>
      <w:adjustRightInd w:val="0"/>
      <w:spacing w:before="0" w:beforeAutospacing="0" w:after="0" w:afterAutospacing="0"/>
    </w:pPr>
    <w:rPr>
      <w:sz w:val="24"/>
      <w:szCs w:val="24"/>
    </w:rPr>
  </w:style>
  <w:style w:type="character" w:customStyle="1" w:styleId="apple-style-span">
    <w:name w:val="apple-style-span"/>
    <w:rsid w:val="00FE71B0"/>
  </w:style>
  <w:style w:type="paragraph" w:customStyle="1" w:styleId="Default0">
    <w:name w:val="Default"/>
    <w:rsid w:val="00AC1AF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48030817">
      <w:marLeft w:val="0"/>
      <w:marRight w:val="0"/>
      <w:marTop w:val="0"/>
      <w:marBottom w:val="0"/>
      <w:divBdr>
        <w:top w:val="none" w:sz="0" w:space="0" w:color="auto"/>
        <w:left w:val="none" w:sz="0" w:space="0" w:color="auto"/>
        <w:bottom w:val="none" w:sz="0" w:space="0" w:color="auto"/>
        <w:right w:val="none" w:sz="0" w:space="0" w:color="auto"/>
      </w:divBdr>
    </w:div>
    <w:div w:id="548030818">
      <w:marLeft w:val="0"/>
      <w:marRight w:val="0"/>
      <w:marTop w:val="0"/>
      <w:marBottom w:val="0"/>
      <w:divBdr>
        <w:top w:val="none" w:sz="0" w:space="0" w:color="auto"/>
        <w:left w:val="none" w:sz="0" w:space="0" w:color="auto"/>
        <w:bottom w:val="none" w:sz="0" w:space="0" w:color="auto"/>
        <w:right w:val="none" w:sz="0" w:space="0" w:color="auto"/>
      </w:divBdr>
    </w:div>
    <w:div w:id="548030819">
      <w:marLeft w:val="0"/>
      <w:marRight w:val="0"/>
      <w:marTop w:val="0"/>
      <w:marBottom w:val="0"/>
      <w:divBdr>
        <w:top w:val="none" w:sz="0" w:space="0" w:color="auto"/>
        <w:left w:val="none" w:sz="0" w:space="0" w:color="auto"/>
        <w:bottom w:val="none" w:sz="0" w:space="0" w:color="auto"/>
        <w:right w:val="none" w:sz="0" w:space="0" w:color="auto"/>
      </w:divBdr>
    </w:div>
    <w:div w:id="548030820">
      <w:marLeft w:val="0"/>
      <w:marRight w:val="0"/>
      <w:marTop w:val="0"/>
      <w:marBottom w:val="0"/>
      <w:divBdr>
        <w:top w:val="none" w:sz="0" w:space="0" w:color="auto"/>
        <w:left w:val="none" w:sz="0" w:space="0" w:color="auto"/>
        <w:bottom w:val="none" w:sz="0" w:space="0" w:color="auto"/>
        <w:right w:val="none" w:sz="0" w:space="0" w:color="auto"/>
      </w:divBdr>
    </w:div>
    <w:div w:id="548030821">
      <w:marLeft w:val="0"/>
      <w:marRight w:val="0"/>
      <w:marTop w:val="0"/>
      <w:marBottom w:val="0"/>
      <w:divBdr>
        <w:top w:val="none" w:sz="0" w:space="0" w:color="auto"/>
        <w:left w:val="none" w:sz="0" w:space="0" w:color="auto"/>
        <w:bottom w:val="none" w:sz="0" w:space="0" w:color="auto"/>
        <w:right w:val="none" w:sz="0" w:space="0" w:color="auto"/>
      </w:divBdr>
    </w:div>
    <w:div w:id="548030822">
      <w:marLeft w:val="0"/>
      <w:marRight w:val="0"/>
      <w:marTop w:val="0"/>
      <w:marBottom w:val="0"/>
      <w:divBdr>
        <w:top w:val="none" w:sz="0" w:space="0" w:color="auto"/>
        <w:left w:val="none" w:sz="0" w:space="0" w:color="auto"/>
        <w:bottom w:val="none" w:sz="0" w:space="0" w:color="auto"/>
        <w:right w:val="none" w:sz="0" w:space="0" w:color="auto"/>
      </w:divBdr>
    </w:div>
    <w:div w:id="548030823">
      <w:marLeft w:val="0"/>
      <w:marRight w:val="0"/>
      <w:marTop w:val="0"/>
      <w:marBottom w:val="0"/>
      <w:divBdr>
        <w:top w:val="none" w:sz="0" w:space="0" w:color="auto"/>
        <w:left w:val="none" w:sz="0" w:space="0" w:color="auto"/>
        <w:bottom w:val="none" w:sz="0" w:space="0" w:color="auto"/>
        <w:right w:val="none" w:sz="0" w:space="0" w:color="auto"/>
      </w:divBdr>
    </w:div>
    <w:div w:id="548030824">
      <w:marLeft w:val="0"/>
      <w:marRight w:val="0"/>
      <w:marTop w:val="0"/>
      <w:marBottom w:val="0"/>
      <w:divBdr>
        <w:top w:val="none" w:sz="0" w:space="0" w:color="auto"/>
        <w:left w:val="none" w:sz="0" w:space="0" w:color="auto"/>
        <w:bottom w:val="none" w:sz="0" w:space="0" w:color="auto"/>
        <w:right w:val="none" w:sz="0" w:space="0" w:color="auto"/>
      </w:divBdr>
    </w:div>
    <w:div w:id="548030825">
      <w:marLeft w:val="0"/>
      <w:marRight w:val="0"/>
      <w:marTop w:val="0"/>
      <w:marBottom w:val="0"/>
      <w:divBdr>
        <w:top w:val="none" w:sz="0" w:space="0" w:color="auto"/>
        <w:left w:val="none" w:sz="0" w:space="0" w:color="auto"/>
        <w:bottom w:val="none" w:sz="0" w:space="0" w:color="auto"/>
        <w:right w:val="none" w:sz="0" w:space="0" w:color="auto"/>
      </w:divBdr>
    </w:div>
    <w:div w:id="548030826">
      <w:marLeft w:val="0"/>
      <w:marRight w:val="0"/>
      <w:marTop w:val="0"/>
      <w:marBottom w:val="0"/>
      <w:divBdr>
        <w:top w:val="none" w:sz="0" w:space="0" w:color="auto"/>
        <w:left w:val="none" w:sz="0" w:space="0" w:color="auto"/>
        <w:bottom w:val="none" w:sz="0" w:space="0" w:color="auto"/>
        <w:right w:val="none" w:sz="0" w:space="0" w:color="auto"/>
      </w:divBdr>
    </w:div>
    <w:div w:id="548030827">
      <w:marLeft w:val="0"/>
      <w:marRight w:val="0"/>
      <w:marTop w:val="0"/>
      <w:marBottom w:val="0"/>
      <w:divBdr>
        <w:top w:val="none" w:sz="0" w:space="0" w:color="auto"/>
        <w:left w:val="none" w:sz="0" w:space="0" w:color="auto"/>
        <w:bottom w:val="none" w:sz="0" w:space="0" w:color="auto"/>
        <w:right w:val="none" w:sz="0" w:space="0" w:color="auto"/>
      </w:divBdr>
    </w:div>
    <w:div w:id="548030828">
      <w:marLeft w:val="0"/>
      <w:marRight w:val="0"/>
      <w:marTop w:val="0"/>
      <w:marBottom w:val="0"/>
      <w:divBdr>
        <w:top w:val="none" w:sz="0" w:space="0" w:color="auto"/>
        <w:left w:val="none" w:sz="0" w:space="0" w:color="auto"/>
        <w:bottom w:val="none" w:sz="0" w:space="0" w:color="auto"/>
        <w:right w:val="none" w:sz="0" w:space="0" w:color="auto"/>
      </w:divBdr>
    </w:div>
    <w:div w:id="548030829">
      <w:marLeft w:val="0"/>
      <w:marRight w:val="0"/>
      <w:marTop w:val="0"/>
      <w:marBottom w:val="0"/>
      <w:divBdr>
        <w:top w:val="none" w:sz="0" w:space="0" w:color="auto"/>
        <w:left w:val="none" w:sz="0" w:space="0" w:color="auto"/>
        <w:bottom w:val="none" w:sz="0" w:space="0" w:color="auto"/>
        <w:right w:val="none" w:sz="0" w:space="0" w:color="auto"/>
      </w:divBdr>
    </w:div>
    <w:div w:id="548030830">
      <w:marLeft w:val="0"/>
      <w:marRight w:val="0"/>
      <w:marTop w:val="0"/>
      <w:marBottom w:val="0"/>
      <w:divBdr>
        <w:top w:val="none" w:sz="0" w:space="0" w:color="auto"/>
        <w:left w:val="none" w:sz="0" w:space="0" w:color="auto"/>
        <w:bottom w:val="none" w:sz="0" w:space="0" w:color="auto"/>
        <w:right w:val="none" w:sz="0" w:space="0" w:color="auto"/>
      </w:divBdr>
    </w:div>
    <w:div w:id="548030831">
      <w:marLeft w:val="0"/>
      <w:marRight w:val="0"/>
      <w:marTop w:val="0"/>
      <w:marBottom w:val="0"/>
      <w:divBdr>
        <w:top w:val="none" w:sz="0" w:space="0" w:color="auto"/>
        <w:left w:val="none" w:sz="0" w:space="0" w:color="auto"/>
        <w:bottom w:val="none" w:sz="0" w:space="0" w:color="auto"/>
        <w:right w:val="none" w:sz="0" w:space="0" w:color="auto"/>
      </w:divBdr>
    </w:div>
    <w:div w:id="548030832">
      <w:marLeft w:val="0"/>
      <w:marRight w:val="0"/>
      <w:marTop w:val="0"/>
      <w:marBottom w:val="0"/>
      <w:divBdr>
        <w:top w:val="none" w:sz="0" w:space="0" w:color="auto"/>
        <w:left w:val="none" w:sz="0" w:space="0" w:color="auto"/>
        <w:bottom w:val="none" w:sz="0" w:space="0" w:color="auto"/>
        <w:right w:val="none" w:sz="0" w:space="0" w:color="auto"/>
      </w:divBdr>
    </w:div>
    <w:div w:id="548030833">
      <w:marLeft w:val="0"/>
      <w:marRight w:val="0"/>
      <w:marTop w:val="0"/>
      <w:marBottom w:val="0"/>
      <w:divBdr>
        <w:top w:val="none" w:sz="0" w:space="0" w:color="auto"/>
        <w:left w:val="none" w:sz="0" w:space="0" w:color="auto"/>
        <w:bottom w:val="none" w:sz="0" w:space="0" w:color="auto"/>
        <w:right w:val="none" w:sz="0" w:space="0" w:color="auto"/>
      </w:divBdr>
    </w:div>
    <w:div w:id="548030834">
      <w:marLeft w:val="0"/>
      <w:marRight w:val="0"/>
      <w:marTop w:val="0"/>
      <w:marBottom w:val="0"/>
      <w:divBdr>
        <w:top w:val="none" w:sz="0" w:space="0" w:color="auto"/>
        <w:left w:val="none" w:sz="0" w:space="0" w:color="auto"/>
        <w:bottom w:val="none" w:sz="0" w:space="0" w:color="auto"/>
        <w:right w:val="none" w:sz="0" w:space="0" w:color="auto"/>
      </w:divBdr>
    </w:div>
    <w:div w:id="548030835">
      <w:marLeft w:val="0"/>
      <w:marRight w:val="0"/>
      <w:marTop w:val="0"/>
      <w:marBottom w:val="0"/>
      <w:divBdr>
        <w:top w:val="none" w:sz="0" w:space="0" w:color="auto"/>
        <w:left w:val="none" w:sz="0" w:space="0" w:color="auto"/>
        <w:bottom w:val="none" w:sz="0" w:space="0" w:color="auto"/>
        <w:right w:val="none" w:sz="0" w:space="0" w:color="auto"/>
      </w:divBdr>
    </w:div>
    <w:div w:id="548030836">
      <w:marLeft w:val="0"/>
      <w:marRight w:val="0"/>
      <w:marTop w:val="0"/>
      <w:marBottom w:val="0"/>
      <w:divBdr>
        <w:top w:val="none" w:sz="0" w:space="0" w:color="auto"/>
        <w:left w:val="none" w:sz="0" w:space="0" w:color="auto"/>
        <w:bottom w:val="none" w:sz="0" w:space="0" w:color="auto"/>
        <w:right w:val="none" w:sz="0" w:space="0" w:color="auto"/>
      </w:divBdr>
    </w:div>
    <w:div w:id="548030837">
      <w:marLeft w:val="0"/>
      <w:marRight w:val="0"/>
      <w:marTop w:val="0"/>
      <w:marBottom w:val="0"/>
      <w:divBdr>
        <w:top w:val="none" w:sz="0" w:space="0" w:color="auto"/>
        <w:left w:val="none" w:sz="0" w:space="0" w:color="auto"/>
        <w:bottom w:val="none" w:sz="0" w:space="0" w:color="auto"/>
        <w:right w:val="none" w:sz="0" w:space="0" w:color="auto"/>
      </w:divBdr>
    </w:div>
    <w:div w:id="548030838">
      <w:marLeft w:val="0"/>
      <w:marRight w:val="0"/>
      <w:marTop w:val="0"/>
      <w:marBottom w:val="0"/>
      <w:divBdr>
        <w:top w:val="none" w:sz="0" w:space="0" w:color="auto"/>
        <w:left w:val="none" w:sz="0" w:space="0" w:color="auto"/>
        <w:bottom w:val="none" w:sz="0" w:space="0" w:color="auto"/>
        <w:right w:val="none" w:sz="0" w:space="0" w:color="auto"/>
      </w:divBdr>
    </w:div>
    <w:div w:id="548030839">
      <w:marLeft w:val="0"/>
      <w:marRight w:val="0"/>
      <w:marTop w:val="0"/>
      <w:marBottom w:val="0"/>
      <w:divBdr>
        <w:top w:val="none" w:sz="0" w:space="0" w:color="auto"/>
        <w:left w:val="none" w:sz="0" w:space="0" w:color="auto"/>
        <w:bottom w:val="none" w:sz="0" w:space="0" w:color="auto"/>
        <w:right w:val="none" w:sz="0" w:space="0" w:color="auto"/>
      </w:divBdr>
    </w:div>
    <w:div w:id="548030840">
      <w:marLeft w:val="0"/>
      <w:marRight w:val="0"/>
      <w:marTop w:val="0"/>
      <w:marBottom w:val="0"/>
      <w:divBdr>
        <w:top w:val="none" w:sz="0" w:space="0" w:color="auto"/>
        <w:left w:val="none" w:sz="0" w:space="0" w:color="auto"/>
        <w:bottom w:val="none" w:sz="0" w:space="0" w:color="auto"/>
        <w:right w:val="none" w:sz="0" w:space="0" w:color="auto"/>
      </w:divBdr>
    </w:div>
    <w:div w:id="548030841">
      <w:marLeft w:val="0"/>
      <w:marRight w:val="0"/>
      <w:marTop w:val="0"/>
      <w:marBottom w:val="0"/>
      <w:divBdr>
        <w:top w:val="none" w:sz="0" w:space="0" w:color="auto"/>
        <w:left w:val="none" w:sz="0" w:space="0" w:color="auto"/>
        <w:bottom w:val="none" w:sz="0" w:space="0" w:color="auto"/>
        <w:right w:val="none" w:sz="0" w:space="0" w:color="auto"/>
      </w:divBdr>
    </w:div>
    <w:div w:id="548030842">
      <w:marLeft w:val="0"/>
      <w:marRight w:val="0"/>
      <w:marTop w:val="0"/>
      <w:marBottom w:val="0"/>
      <w:divBdr>
        <w:top w:val="none" w:sz="0" w:space="0" w:color="auto"/>
        <w:left w:val="none" w:sz="0" w:space="0" w:color="auto"/>
        <w:bottom w:val="none" w:sz="0" w:space="0" w:color="auto"/>
        <w:right w:val="none" w:sz="0" w:space="0" w:color="auto"/>
      </w:divBdr>
    </w:div>
    <w:div w:id="548030843">
      <w:marLeft w:val="0"/>
      <w:marRight w:val="0"/>
      <w:marTop w:val="0"/>
      <w:marBottom w:val="0"/>
      <w:divBdr>
        <w:top w:val="none" w:sz="0" w:space="0" w:color="auto"/>
        <w:left w:val="none" w:sz="0" w:space="0" w:color="auto"/>
        <w:bottom w:val="none" w:sz="0" w:space="0" w:color="auto"/>
        <w:right w:val="none" w:sz="0" w:space="0" w:color="auto"/>
      </w:divBdr>
    </w:div>
    <w:div w:id="548030844">
      <w:marLeft w:val="0"/>
      <w:marRight w:val="0"/>
      <w:marTop w:val="0"/>
      <w:marBottom w:val="0"/>
      <w:divBdr>
        <w:top w:val="none" w:sz="0" w:space="0" w:color="auto"/>
        <w:left w:val="none" w:sz="0" w:space="0" w:color="auto"/>
        <w:bottom w:val="none" w:sz="0" w:space="0" w:color="auto"/>
        <w:right w:val="none" w:sz="0" w:space="0" w:color="auto"/>
      </w:divBdr>
    </w:div>
    <w:div w:id="548030845">
      <w:marLeft w:val="0"/>
      <w:marRight w:val="0"/>
      <w:marTop w:val="0"/>
      <w:marBottom w:val="0"/>
      <w:divBdr>
        <w:top w:val="none" w:sz="0" w:space="0" w:color="auto"/>
        <w:left w:val="none" w:sz="0" w:space="0" w:color="auto"/>
        <w:bottom w:val="none" w:sz="0" w:space="0" w:color="auto"/>
        <w:right w:val="none" w:sz="0" w:space="0" w:color="auto"/>
      </w:divBdr>
    </w:div>
    <w:div w:id="548030846">
      <w:marLeft w:val="0"/>
      <w:marRight w:val="0"/>
      <w:marTop w:val="0"/>
      <w:marBottom w:val="0"/>
      <w:divBdr>
        <w:top w:val="none" w:sz="0" w:space="0" w:color="auto"/>
        <w:left w:val="none" w:sz="0" w:space="0" w:color="auto"/>
        <w:bottom w:val="none" w:sz="0" w:space="0" w:color="auto"/>
        <w:right w:val="none" w:sz="0" w:space="0" w:color="auto"/>
      </w:divBdr>
    </w:div>
    <w:div w:id="548030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Утверждено на основании приказа от «27» июня 2008 г</vt:lpstr>
    </vt:vector>
  </TitlesOfParts>
  <Company>Transcargo International</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на основании приказа от «27» июня 2008 г</dc:title>
  <dc:creator>dkulik</dc:creator>
  <cp:lastModifiedBy>voronovskaya.v</cp:lastModifiedBy>
  <cp:revision>2</cp:revision>
  <cp:lastPrinted>2017-11-02T09:46:00Z</cp:lastPrinted>
  <dcterms:created xsi:type="dcterms:W3CDTF">2018-06-07T08:07:00Z</dcterms:created>
  <dcterms:modified xsi:type="dcterms:W3CDTF">2018-06-07T08:07:00Z</dcterms:modified>
</cp:coreProperties>
</file>