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DF" w:rsidRDefault="00DE68DF" w:rsidP="00DE68DF">
      <w:pPr>
        <w:jc w:val="center"/>
        <w:rPr>
          <w:b/>
        </w:rPr>
      </w:pPr>
    </w:p>
    <w:p w:rsidR="00DE68DF" w:rsidRDefault="00DE68DF" w:rsidP="00DE68DF">
      <w:pPr>
        <w:jc w:val="center"/>
        <w:rPr>
          <w:b/>
        </w:rPr>
      </w:pPr>
    </w:p>
    <w:p w:rsidR="00096C8C" w:rsidRPr="00793E5C" w:rsidRDefault="00096C8C" w:rsidP="00096C8C">
      <w:pPr>
        <w:jc w:val="center"/>
        <w:rPr>
          <w:b/>
        </w:rPr>
      </w:pPr>
      <w:r w:rsidRPr="00793E5C">
        <w:rPr>
          <w:b/>
        </w:rPr>
        <w:t>Изменения и дополнения</w:t>
      </w:r>
      <w:r>
        <w:rPr>
          <w:b/>
        </w:rPr>
        <w:t xml:space="preserve"> № 00</w:t>
      </w:r>
      <w:r w:rsidR="00960131" w:rsidRPr="0052629B">
        <w:rPr>
          <w:b/>
        </w:rPr>
        <w:t>5</w:t>
      </w:r>
    </w:p>
    <w:p w:rsidR="00096C8C" w:rsidRPr="00793E5C" w:rsidRDefault="00096C8C" w:rsidP="00096C8C">
      <w:pPr>
        <w:jc w:val="center"/>
        <w:rPr>
          <w:b/>
        </w:rPr>
      </w:pPr>
      <w:r w:rsidRPr="00793E5C">
        <w:rPr>
          <w:b/>
        </w:rPr>
        <w:t>В Правила доверительного управления</w:t>
      </w:r>
    </w:p>
    <w:p w:rsidR="00096C8C" w:rsidRPr="00793E5C" w:rsidRDefault="00096C8C" w:rsidP="00096C8C">
      <w:pPr>
        <w:jc w:val="center"/>
        <w:rPr>
          <w:b/>
        </w:rPr>
      </w:pPr>
      <w:r w:rsidRPr="00793E5C">
        <w:rPr>
          <w:b/>
        </w:rPr>
        <w:t xml:space="preserve">ОТКРЫТЫМ ПАЕВЫМ ИНВЕСТИЦИОННЫМ ФОНДОМ АКЦИЙ </w:t>
      </w:r>
    </w:p>
    <w:p w:rsidR="00096C8C" w:rsidRPr="00793E5C" w:rsidRDefault="00936975" w:rsidP="00096C8C">
      <w:pPr>
        <w:jc w:val="center"/>
        <w:rPr>
          <w:b/>
        </w:rPr>
      </w:pPr>
      <w:r w:rsidRPr="00936975">
        <w:rPr>
          <w:b/>
        </w:rPr>
        <w:t>«ИнвестКапитал – нефтегазэнерго»</w:t>
      </w:r>
    </w:p>
    <w:p w:rsidR="00096C8C" w:rsidRPr="0010138B" w:rsidRDefault="00096C8C" w:rsidP="00096C8C">
      <w:pPr>
        <w:jc w:val="center"/>
        <w:rPr>
          <w:b/>
          <w:sz w:val="22"/>
          <w:szCs w:val="22"/>
        </w:rPr>
      </w:pPr>
      <w:r w:rsidRPr="00793E5C">
        <w:rPr>
          <w:b/>
        </w:rPr>
        <w:t xml:space="preserve">Регистрационный номер № </w:t>
      </w:r>
      <w:r w:rsidR="00936975" w:rsidRPr="00936975">
        <w:rPr>
          <w:b/>
        </w:rPr>
        <w:t>0652-94109016</w:t>
      </w:r>
      <w:r w:rsidR="00936975">
        <w:rPr>
          <w:b/>
        </w:rPr>
        <w:t xml:space="preserve"> </w:t>
      </w:r>
      <w:r w:rsidRPr="00793E5C">
        <w:rPr>
          <w:b/>
        </w:rPr>
        <w:t xml:space="preserve">от </w:t>
      </w:r>
      <w:r w:rsidR="00936975">
        <w:rPr>
          <w:b/>
        </w:rPr>
        <w:t>26 октября</w:t>
      </w:r>
      <w:r w:rsidRPr="00793E5C">
        <w:rPr>
          <w:b/>
        </w:rPr>
        <w:t xml:space="preserve"> 200</w:t>
      </w:r>
      <w:r w:rsidR="00936975">
        <w:rPr>
          <w:b/>
        </w:rPr>
        <w:t>6</w:t>
      </w:r>
      <w:r w:rsidRPr="00793E5C">
        <w:rPr>
          <w:b/>
        </w:rPr>
        <w:t xml:space="preserve"> г.</w:t>
      </w:r>
    </w:p>
    <w:p w:rsidR="00096C8C" w:rsidRPr="0010138B" w:rsidRDefault="00096C8C" w:rsidP="00096C8C">
      <w:pPr>
        <w:jc w:val="center"/>
        <w:rPr>
          <w:b/>
          <w:sz w:val="22"/>
          <w:szCs w:val="22"/>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708"/>
        <w:gridCol w:w="4756"/>
      </w:tblGrid>
      <w:tr w:rsidR="00096C8C" w:rsidRPr="0010138B" w:rsidTr="00E318C3">
        <w:tc>
          <w:tcPr>
            <w:tcW w:w="562" w:type="dxa"/>
          </w:tcPr>
          <w:p w:rsidR="00096C8C" w:rsidRPr="0010138B" w:rsidRDefault="00096C8C" w:rsidP="00A82704">
            <w:pPr>
              <w:jc w:val="center"/>
            </w:pPr>
            <w:r w:rsidRPr="0010138B">
              <w:rPr>
                <w:sz w:val="22"/>
                <w:szCs w:val="22"/>
              </w:rPr>
              <w:t>№ п.п.</w:t>
            </w:r>
          </w:p>
        </w:tc>
        <w:tc>
          <w:tcPr>
            <w:tcW w:w="4708" w:type="dxa"/>
          </w:tcPr>
          <w:p w:rsidR="00096C8C" w:rsidRPr="00793E5C" w:rsidRDefault="00096C8C" w:rsidP="00A82704">
            <w:pPr>
              <w:jc w:val="center"/>
            </w:pPr>
            <w:r w:rsidRPr="00793E5C">
              <w:t>Старая редакция</w:t>
            </w:r>
          </w:p>
        </w:tc>
        <w:tc>
          <w:tcPr>
            <w:tcW w:w="4756" w:type="dxa"/>
          </w:tcPr>
          <w:p w:rsidR="00096C8C" w:rsidRPr="00793E5C" w:rsidRDefault="00096C8C" w:rsidP="00A82704">
            <w:pPr>
              <w:jc w:val="center"/>
            </w:pPr>
            <w:r w:rsidRPr="00793E5C">
              <w:t>Новая редакция</w:t>
            </w:r>
          </w:p>
        </w:tc>
      </w:tr>
      <w:tr w:rsidR="00D456B5" w:rsidRPr="0010138B" w:rsidTr="00E318C3">
        <w:tc>
          <w:tcPr>
            <w:tcW w:w="562" w:type="dxa"/>
          </w:tcPr>
          <w:p w:rsidR="00D456B5" w:rsidRPr="0052629B" w:rsidRDefault="00D86E5A" w:rsidP="00A82704">
            <w:pPr>
              <w:jc w:val="center"/>
            </w:pPr>
            <w:r>
              <w:t>1.</w:t>
            </w:r>
          </w:p>
        </w:tc>
        <w:tc>
          <w:tcPr>
            <w:tcW w:w="4708" w:type="dxa"/>
          </w:tcPr>
          <w:p w:rsidR="00D456B5" w:rsidRPr="00D456B5" w:rsidRDefault="00D456B5" w:rsidP="00D456B5">
            <w:pPr>
              <w:widowControl w:val="0"/>
              <w:autoSpaceDE w:val="0"/>
              <w:autoSpaceDN w:val="0"/>
              <w:adjustRightInd w:val="0"/>
              <w:ind w:firstLine="709"/>
              <w:jc w:val="both"/>
            </w:pPr>
            <w:r w:rsidRPr="00D456B5">
              <w:t xml:space="preserve">22.4. Лица, обязанные </w:t>
            </w:r>
            <w:proofErr w:type="gramStart"/>
            <w:r w:rsidRPr="00D456B5">
              <w:t>по</w:t>
            </w:r>
            <w:proofErr w:type="gramEnd"/>
            <w:r w:rsidRPr="00D456B5">
              <w:t>:</w:t>
            </w:r>
          </w:p>
          <w:p w:rsidR="00D456B5" w:rsidRPr="00D456B5" w:rsidRDefault="00D456B5" w:rsidP="00D456B5">
            <w:pPr>
              <w:widowControl w:val="0"/>
              <w:autoSpaceDE w:val="0"/>
              <w:autoSpaceDN w:val="0"/>
              <w:adjustRightInd w:val="0"/>
              <w:ind w:firstLine="709"/>
              <w:jc w:val="both"/>
            </w:pPr>
            <w:r w:rsidRPr="00D456B5">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D456B5" w:rsidRPr="00D456B5" w:rsidRDefault="00D456B5" w:rsidP="00D456B5">
            <w:pPr>
              <w:widowControl w:val="0"/>
              <w:autoSpaceDE w:val="0"/>
              <w:autoSpaceDN w:val="0"/>
              <w:adjustRightInd w:val="0"/>
              <w:ind w:firstLine="709"/>
              <w:jc w:val="both"/>
            </w:pPr>
            <w:proofErr w:type="gramStart"/>
            <w:r w:rsidRPr="00D456B5">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roofErr w:type="gramEnd"/>
          </w:p>
          <w:p w:rsidR="00D456B5" w:rsidRPr="00D456B5" w:rsidRDefault="00D456B5" w:rsidP="00D456B5">
            <w:pPr>
              <w:widowControl w:val="0"/>
              <w:autoSpaceDE w:val="0"/>
              <w:autoSpaceDN w:val="0"/>
              <w:adjustRightInd w:val="0"/>
              <w:ind w:firstLine="709"/>
              <w:jc w:val="both"/>
            </w:pPr>
            <w:r w:rsidRPr="00D456B5">
              <w:t>Имущество, составляющее фонд, может быть инвестировано в облигации, эмитентами которых могут быть:</w:t>
            </w:r>
          </w:p>
          <w:p w:rsidR="00D456B5" w:rsidRPr="00D456B5" w:rsidRDefault="00D456B5" w:rsidP="00D456B5">
            <w:pPr>
              <w:widowControl w:val="0"/>
              <w:autoSpaceDE w:val="0"/>
              <w:autoSpaceDN w:val="0"/>
              <w:adjustRightInd w:val="0"/>
              <w:ind w:firstLine="709"/>
              <w:jc w:val="both"/>
            </w:pPr>
            <w:r w:rsidRPr="00D456B5">
              <w:t>- российские органы государственной власти;</w:t>
            </w:r>
          </w:p>
          <w:p w:rsidR="00D456B5" w:rsidRPr="00D456B5" w:rsidRDefault="00D456B5" w:rsidP="00D456B5">
            <w:pPr>
              <w:widowControl w:val="0"/>
              <w:autoSpaceDE w:val="0"/>
              <w:autoSpaceDN w:val="0"/>
              <w:adjustRightInd w:val="0"/>
              <w:ind w:firstLine="709"/>
              <w:jc w:val="both"/>
            </w:pPr>
            <w:r w:rsidRPr="00D456B5">
              <w:t>- иностранные органы государственной власти;</w:t>
            </w:r>
          </w:p>
          <w:p w:rsidR="00D456B5" w:rsidRPr="00D456B5" w:rsidRDefault="00D456B5" w:rsidP="00D456B5">
            <w:pPr>
              <w:widowControl w:val="0"/>
              <w:autoSpaceDE w:val="0"/>
              <w:autoSpaceDN w:val="0"/>
              <w:adjustRightInd w:val="0"/>
              <w:ind w:firstLine="709"/>
              <w:jc w:val="both"/>
            </w:pPr>
            <w:r w:rsidRPr="00D456B5">
              <w:t>- органы местного самоуправления;</w:t>
            </w:r>
          </w:p>
          <w:p w:rsidR="00D456B5" w:rsidRPr="00D456B5" w:rsidRDefault="00D456B5" w:rsidP="00D456B5">
            <w:pPr>
              <w:widowControl w:val="0"/>
              <w:autoSpaceDE w:val="0"/>
              <w:autoSpaceDN w:val="0"/>
              <w:adjustRightInd w:val="0"/>
              <w:ind w:firstLine="709"/>
              <w:jc w:val="both"/>
            </w:pPr>
            <w:r w:rsidRPr="00D456B5">
              <w:t>- международные финансовые организации;</w:t>
            </w:r>
          </w:p>
          <w:p w:rsidR="00D456B5" w:rsidRPr="00D456B5" w:rsidRDefault="00D456B5" w:rsidP="00D456B5">
            <w:pPr>
              <w:widowControl w:val="0"/>
              <w:autoSpaceDE w:val="0"/>
              <w:autoSpaceDN w:val="0"/>
              <w:adjustRightInd w:val="0"/>
              <w:ind w:firstLine="709"/>
              <w:jc w:val="both"/>
            </w:pPr>
            <w:r w:rsidRPr="00D456B5">
              <w:t>- российские юридические лица;</w:t>
            </w:r>
          </w:p>
          <w:p w:rsidR="00D456B5" w:rsidRPr="00D456B5" w:rsidRDefault="00D456B5" w:rsidP="00D456B5">
            <w:pPr>
              <w:widowControl w:val="0"/>
              <w:autoSpaceDE w:val="0"/>
              <w:autoSpaceDN w:val="0"/>
              <w:adjustRightInd w:val="0"/>
              <w:ind w:firstLine="709"/>
              <w:jc w:val="both"/>
            </w:pPr>
            <w:r w:rsidRPr="00D456B5">
              <w:t>- иностранные юридические лица.</w:t>
            </w:r>
          </w:p>
          <w:p w:rsidR="00D456B5" w:rsidRPr="00D456B5" w:rsidRDefault="00D456B5" w:rsidP="00D456B5">
            <w:pPr>
              <w:widowControl w:val="0"/>
              <w:autoSpaceDE w:val="0"/>
              <w:autoSpaceDN w:val="0"/>
              <w:adjustRightInd w:val="0"/>
              <w:ind w:firstLine="709"/>
              <w:jc w:val="both"/>
            </w:pPr>
            <w:r w:rsidRPr="00D456B5">
              <w:t xml:space="preserve">Ценные бумаги, составляющие фонд, могут </w:t>
            </w:r>
            <w:proofErr w:type="gramStart"/>
            <w:r w:rsidRPr="00D456B5">
              <w:t>быть</w:t>
            </w:r>
            <w:proofErr w:type="gramEnd"/>
            <w:r w:rsidRPr="00D456B5">
              <w:t xml:space="preserve"> как допущены, так и не </w:t>
            </w:r>
            <w:r w:rsidRPr="00D456B5">
              <w:lastRenderedPageBreak/>
              <w:t>допущены к организованным торгам, проводимым российской или иностранной биржей либо иным организатором торговли.</w:t>
            </w:r>
            <w:r w:rsidRPr="00D456B5" w:rsidDel="00312610">
              <w:t xml:space="preserve"> </w:t>
            </w:r>
            <w:r w:rsidRPr="00D456B5">
              <w:t>В состав активов фонда могут входить как обыкновенные, так и привилегированные акции.</w:t>
            </w:r>
          </w:p>
          <w:p w:rsidR="00D456B5" w:rsidRPr="00D456B5" w:rsidRDefault="00D456B5" w:rsidP="00D456B5">
            <w:pPr>
              <w:widowControl w:val="0"/>
              <w:autoSpaceDE w:val="0"/>
              <w:autoSpaceDN w:val="0"/>
              <w:adjustRightInd w:val="0"/>
              <w:ind w:firstLine="709"/>
              <w:jc w:val="both"/>
            </w:pPr>
            <w:r w:rsidRPr="00D456B5">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D456B5" w:rsidRPr="00D456B5" w:rsidRDefault="00D456B5" w:rsidP="00D456B5">
            <w:pPr>
              <w:widowControl w:val="0"/>
              <w:autoSpaceDE w:val="0"/>
              <w:autoSpaceDN w:val="0"/>
              <w:adjustRightInd w:val="0"/>
              <w:ind w:firstLine="709"/>
              <w:jc w:val="both"/>
            </w:pPr>
            <w:r w:rsidRPr="00D456B5">
              <w:t xml:space="preserve">а) </w:t>
            </w:r>
            <w:r w:rsidR="00FA1D0F" w:rsidRPr="00FA1D0F">
              <w:t>ценная бумага включена в котировальные списки</w:t>
            </w:r>
            <w:proofErr w:type="gramStart"/>
            <w:r w:rsidR="00FA1D0F" w:rsidRPr="00FA1D0F">
              <w:t xml:space="preserve"> П</w:t>
            </w:r>
            <w:proofErr w:type="gramEnd"/>
            <w:r w:rsidR="00FA1D0F" w:rsidRPr="00FA1D0F">
              <w:t>ервого и Второго уровня российской фондовой биржи</w:t>
            </w:r>
            <w:bookmarkStart w:id="0" w:name="_GoBack"/>
            <w:bookmarkEnd w:id="0"/>
            <w:r w:rsidRPr="00D456B5">
              <w:t>;</w:t>
            </w:r>
          </w:p>
          <w:p w:rsidR="00D456B5" w:rsidRPr="00D456B5" w:rsidRDefault="00D456B5" w:rsidP="00D456B5">
            <w:pPr>
              <w:widowControl w:val="0"/>
              <w:autoSpaceDE w:val="0"/>
              <w:autoSpaceDN w:val="0"/>
              <w:adjustRightInd w:val="0"/>
              <w:ind w:firstLine="709"/>
              <w:jc w:val="both"/>
            </w:pPr>
            <w:r w:rsidRPr="00D456B5">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456B5" w:rsidRPr="00D456B5" w:rsidRDefault="00D456B5" w:rsidP="00D456B5">
            <w:pPr>
              <w:widowControl w:val="0"/>
              <w:autoSpaceDE w:val="0"/>
              <w:autoSpaceDN w:val="0"/>
              <w:adjustRightInd w:val="0"/>
              <w:ind w:firstLine="709"/>
              <w:jc w:val="both"/>
            </w:pPr>
            <w:r w:rsidRPr="00D456B5">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456B5" w:rsidRPr="00D456B5" w:rsidRDefault="00D456B5" w:rsidP="00D456B5">
            <w:pPr>
              <w:widowControl w:val="0"/>
              <w:autoSpaceDE w:val="0"/>
              <w:autoSpaceDN w:val="0"/>
              <w:adjustRightInd w:val="0"/>
              <w:ind w:firstLine="709"/>
              <w:jc w:val="both"/>
            </w:pPr>
            <w:r w:rsidRPr="00D456B5">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D456B5">
              <w:t>с даты направления</w:t>
            </w:r>
            <w:proofErr w:type="gramEnd"/>
            <w:r w:rsidRPr="00D456B5">
              <w:t xml:space="preserve"> соответствующего требования; </w:t>
            </w:r>
          </w:p>
          <w:p w:rsidR="00D456B5" w:rsidRPr="00D456B5" w:rsidRDefault="00D456B5" w:rsidP="00D456B5">
            <w:pPr>
              <w:widowControl w:val="0"/>
              <w:autoSpaceDE w:val="0"/>
              <w:autoSpaceDN w:val="0"/>
              <w:adjustRightInd w:val="0"/>
              <w:ind w:firstLine="709"/>
              <w:jc w:val="both"/>
            </w:pPr>
            <w:bookmarkStart w:id="1" w:name="sub_10175"/>
            <w:r w:rsidRPr="00D456B5">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1"/>
          <w:p w:rsidR="00D456B5" w:rsidRPr="00D456B5" w:rsidRDefault="00D456B5" w:rsidP="00D456B5">
            <w:pPr>
              <w:widowControl w:val="0"/>
              <w:autoSpaceDE w:val="0"/>
              <w:autoSpaceDN w:val="0"/>
              <w:adjustRightInd w:val="0"/>
              <w:ind w:firstLine="709"/>
              <w:jc w:val="both"/>
            </w:pPr>
            <w:proofErr w:type="gramStart"/>
            <w:r w:rsidRPr="00D456B5">
              <w:t xml:space="preserve">е) на торговый день, предшествующий текущему дню в информационной системе Томсон Рейтерс (Thompson Reuters) были одновременно выставлены заявки на покупку и на </w:t>
            </w:r>
            <w:r w:rsidRPr="00D456B5">
              <w:lastRenderedPageBreak/>
              <w:t>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roofErr w:type="gramEnd"/>
          </w:p>
        </w:tc>
        <w:tc>
          <w:tcPr>
            <w:tcW w:w="4756" w:type="dxa"/>
          </w:tcPr>
          <w:p w:rsidR="00D456B5" w:rsidRPr="00D456B5" w:rsidRDefault="00D456B5" w:rsidP="00D456B5">
            <w:pPr>
              <w:widowControl w:val="0"/>
              <w:autoSpaceDE w:val="0"/>
              <w:autoSpaceDN w:val="0"/>
              <w:adjustRightInd w:val="0"/>
              <w:ind w:firstLine="709"/>
              <w:jc w:val="both"/>
            </w:pPr>
            <w:r w:rsidRPr="00D456B5">
              <w:lastRenderedPageBreak/>
              <w:t xml:space="preserve">22.4. Лица, обязанные </w:t>
            </w:r>
            <w:proofErr w:type="gramStart"/>
            <w:r w:rsidRPr="00D456B5">
              <w:t>по</w:t>
            </w:r>
            <w:proofErr w:type="gramEnd"/>
            <w:r w:rsidRPr="00D456B5">
              <w:t>:</w:t>
            </w:r>
          </w:p>
          <w:p w:rsidR="00D456B5" w:rsidRPr="00D456B5" w:rsidRDefault="00D456B5" w:rsidP="00D456B5">
            <w:pPr>
              <w:widowControl w:val="0"/>
              <w:autoSpaceDE w:val="0"/>
              <w:autoSpaceDN w:val="0"/>
              <w:adjustRightInd w:val="0"/>
              <w:ind w:firstLine="709"/>
              <w:jc w:val="both"/>
            </w:pPr>
            <w:r w:rsidRPr="00D456B5">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3677E7" w:rsidRDefault="00D456B5" w:rsidP="00C07BFC">
            <w:pPr>
              <w:autoSpaceDE w:val="0"/>
              <w:autoSpaceDN w:val="0"/>
              <w:adjustRightInd w:val="0"/>
              <w:spacing w:beforeLines="60"/>
              <w:ind w:firstLine="720"/>
              <w:jc w:val="both"/>
              <w:rPr>
                <w:sz w:val="28"/>
                <w:szCs w:val="28"/>
              </w:rPr>
            </w:pPr>
            <w:r w:rsidRPr="00D456B5">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00960131" w:rsidRPr="0052629B">
              <w:rPr>
                <w:b/>
              </w:rPr>
              <w:t xml:space="preserve">государствах, в том числе, </w:t>
            </w:r>
            <w:proofErr w:type="gramStart"/>
            <w:r w:rsidR="00960131" w:rsidRPr="0052629B">
              <w:rPr>
                <w:b/>
              </w:rPr>
              <w:t>но</w:t>
            </w:r>
            <w:proofErr w:type="gramEnd"/>
            <w:r w:rsidR="00960131" w:rsidRPr="0052629B">
              <w:rPr>
                <w:b/>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w:t>
            </w:r>
            <w:proofErr w:type="gramStart"/>
            <w:r w:rsidR="00960131" w:rsidRPr="0052629B">
              <w:rPr>
                <w:b/>
              </w:rPr>
              <w:t>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00960131" w:rsidRPr="0052629B">
              <w:rPr>
                <w:b/>
              </w:rPr>
              <w:t xml:space="preserve"> </w:t>
            </w:r>
            <w:proofErr w:type="gramStart"/>
            <w:r w:rsidR="00960131" w:rsidRPr="0052629B">
              <w:rPr>
                <w:b/>
              </w:rPr>
              <w:t xml:space="preserve">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w:t>
            </w:r>
            <w:r w:rsidR="00960131" w:rsidRPr="0052629B">
              <w:rPr>
                <w:b/>
              </w:rPr>
              <w:lastRenderedPageBreak/>
              <w:t>административный район Гонконг).</w:t>
            </w:r>
            <w:proofErr w:type="gramEnd"/>
          </w:p>
          <w:p w:rsidR="00D456B5" w:rsidRPr="00D456B5" w:rsidRDefault="00D456B5" w:rsidP="00D456B5">
            <w:pPr>
              <w:widowControl w:val="0"/>
              <w:autoSpaceDE w:val="0"/>
              <w:autoSpaceDN w:val="0"/>
              <w:adjustRightInd w:val="0"/>
              <w:ind w:firstLine="709"/>
              <w:jc w:val="both"/>
            </w:pPr>
            <w:r w:rsidRPr="00D456B5">
              <w:t>Имущество, составляющее фонд, может быть инвестировано в облигации, эмитентами которых могут быть:</w:t>
            </w:r>
          </w:p>
          <w:p w:rsidR="00D456B5" w:rsidRPr="00D456B5" w:rsidRDefault="00D456B5" w:rsidP="00D456B5">
            <w:pPr>
              <w:widowControl w:val="0"/>
              <w:autoSpaceDE w:val="0"/>
              <w:autoSpaceDN w:val="0"/>
              <w:adjustRightInd w:val="0"/>
              <w:ind w:firstLine="709"/>
              <w:jc w:val="both"/>
            </w:pPr>
            <w:r w:rsidRPr="00D456B5">
              <w:t>- российские органы государственной власти;</w:t>
            </w:r>
          </w:p>
          <w:p w:rsidR="00D456B5" w:rsidRPr="00D456B5" w:rsidRDefault="00D456B5" w:rsidP="00D456B5">
            <w:pPr>
              <w:widowControl w:val="0"/>
              <w:autoSpaceDE w:val="0"/>
              <w:autoSpaceDN w:val="0"/>
              <w:adjustRightInd w:val="0"/>
              <w:ind w:firstLine="709"/>
              <w:jc w:val="both"/>
            </w:pPr>
            <w:r w:rsidRPr="00D456B5">
              <w:t>- иностранные органы государственной власти;</w:t>
            </w:r>
          </w:p>
          <w:p w:rsidR="00D456B5" w:rsidRPr="00D456B5" w:rsidRDefault="00D456B5" w:rsidP="00D456B5">
            <w:pPr>
              <w:widowControl w:val="0"/>
              <w:autoSpaceDE w:val="0"/>
              <w:autoSpaceDN w:val="0"/>
              <w:adjustRightInd w:val="0"/>
              <w:ind w:firstLine="709"/>
              <w:jc w:val="both"/>
            </w:pPr>
            <w:r w:rsidRPr="00D456B5">
              <w:t>- органы местного самоуправления;</w:t>
            </w:r>
          </w:p>
          <w:p w:rsidR="00D456B5" w:rsidRPr="00D456B5" w:rsidRDefault="00D456B5" w:rsidP="00D456B5">
            <w:pPr>
              <w:widowControl w:val="0"/>
              <w:autoSpaceDE w:val="0"/>
              <w:autoSpaceDN w:val="0"/>
              <w:adjustRightInd w:val="0"/>
              <w:ind w:firstLine="709"/>
              <w:jc w:val="both"/>
            </w:pPr>
            <w:r w:rsidRPr="00D456B5">
              <w:t>- международные финансовые организации;</w:t>
            </w:r>
          </w:p>
          <w:p w:rsidR="00D456B5" w:rsidRPr="00D456B5" w:rsidRDefault="00D456B5" w:rsidP="00D456B5">
            <w:pPr>
              <w:widowControl w:val="0"/>
              <w:autoSpaceDE w:val="0"/>
              <w:autoSpaceDN w:val="0"/>
              <w:adjustRightInd w:val="0"/>
              <w:ind w:firstLine="709"/>
              <w:jc w:val="both"/>
            </w:pPr>
            <w:r w:rsidRPr="00D456B5">
              <w:t>- российские юридические лица;</w:t>
            </w:r>
          </w:p>
          <w:p w:rsidR="00D456B5" w:rsidRPr="00D456B5" w:rsidRDefault="00D456B5" w:rsidP="00D456B5">
            <w:pPr>
              <w:widowControl w:val="0"/>
              <w:autoSpaceDE w:val="0"/>
              <w:autoSpaceDN w:val="0"/>
              <w:adjustRightInd w:val="0"/>
              <w:ind w:firstLine="709"/>
              <w:jc w:val="both"/>
            </w:pPr>
            <w:r w:rsidRPr="00D456B5">
              <w:t>- иностранные юридические лица.</w:t>
            </w:r>
          </w:p>
          <w:p w:rsidR="00D456B5" w:rsidRPr="00D456B5" w:rsidRDefault="00D456B5" w:rsidP="00D456B5">
            <w:pPr>
              <w:widowControl w:val="0"/>
              <w:autoSpaceDE w:val="0"/>
              <w:autoSpaceDN w:val="0"/>
              <w:adjustRightInd w:val="0"/>
              <w:ind w:firstLine="709"/>
              <w:jc w:val="both"/>
            </w:pPr>
            <w:r w:rsidRPr="00D456B5">
              <w:t xml:space="preserve">Ценные бумаги, составляющие фонд, могут </w:t>
            </w:r>
            <w:proofErr w:type="gramStart"/>
            <w:r w:rsidRPr="00D456B5">
              <w:t>быть</w:t>
            </w:r>
            <w:proofErr w:type="gramEnd"/>
            <w:r w:rsidRPr="00D456B5">
              <w:t xml:space="preserve"> как допущены, так и не допущены к организованным торгам, проводимым российской или иностранной биржей либо иным организатором торговли.</w:t>
            </w:r>
            <w:r w:rsidRPr="00D456B5" w:rsidDel="00312610">
              <w:t xml:space="preserve"> </w:t>
            </w:r>
            <w:r w:rsidRPr="00D456B5">
              <w:t>В состав активов фонда могут входить как обыкновенные, так и привилегированные акции.</w:t>
            </w:r>
          </w:p>
          <w:p w:rsidR="00D456B5" w:rsidRPr="00D456B5" w:rsidRDefault="00D456B5" w:rsidP="00D456B5">
            <w:pPr>
              <w:widowControl w:val="0"/>
              <w:autoSpaceDE w:val="0"/>
              <w:autoSpaceDN w:val="0"/>
              <w:adjustRightInd w:val="0"/>
              <w:ind w:firstLine="709"/>
              <w:jc w:val="both"/>
            </w:pPr>
            <w:r w:rsidRPr="00D456B5">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D456B5" w:rsidRPr="00D456B5" w:rsidRDefault="00D456B5" w:rsidP="00D456B5">
            <w:pPr>
              <w:widowControl w:val="0"/>
              <w:autoSpaceDE w:val="0"/>
              <w:autoSpaceDN w:val="0"/>
              <w:adjustRightInd w:val="0"/>
              <w:ind w:firstLine="709"/>
              <w:jc w:val="both"/>
            </w:pPr>
            <w:r w:rsidRPr="00D456B5">
              <w:t>а) ценная бумага включена в котировальные списки "А" или "Б" российской фондовой биржи;</w:t>
            </w:r>
          </w:p>
          <w:p w:rsidR="00D456B5" w:rsidRPr="00D456B5" w:rsidRDefault="00D456B5" w:rsidP="00D456B5">
            <w:pPr>
              <w:widowControl w:val="0"/>
              <w:autoSpaceDE w:val="0"/>
              <w:autoSpaceDN w:val="0"/>
              <w:adjustRightInd w:val="0"/>
              <w:ind w:firstLine="709"/>
              <w:jc w:val="both"/>
            </w:pPr>
            <w:r w:rsidRPr="00D456B5">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456B5" w:rsidRPr="00D456B5" w:rsidRDefault="00D456B5" w:rsidP="00D456B5">
            <w:pPr>
              <w:widowControl w:val="0"/>
              <w:autoSpaceDE w:val="0"/>
              <w:autoSpaceDN w:val="0"/>
              <w:adjustRightInd w:val="0"/>
              <w:ind w:firstLine="709"/>
              <w:jc w:val="both"/>
            </w:pPr>
            <w:r w:rsidRPr="00D456B5">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456B5" w:rsidRPr="00D456B5" w:rsidRDefault="00D456B5" w:rsidP="00D456B5">
            <w:pPr>
              <w:widowControl w:val="0"/>
              <w:autoSpaceDE w:val="0"/>
              <w:autoSpaceDN w:val="0"/>
              <w:adjustRightInd w:val="0"/>
              <w:ind w:firstLine="709"/>
              <w:jc w:val="both"/>
            </w:pPr>
            <w:r w:rsidRPr="00D456B5">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D456B5">
              <w:t>с даты направления</w:t>
            </w:r>
            <w:proofErr w:type="gramEnd"/>
            <w:r w:rsidRPr="00D456B5">
              <w:t xml:space="preserve"> соответствующего требования; </w:t>
            </w:r>
          </w:p>
          <w:p w:rsidR="00D456B5" w:rsidRPr="00D456B5" w:rsidRDefault="00D456B5" w:rsidP="00D456B5">
            <w:pPr>
              <w:widowControl w:val="0"/>
              <w:autoSpaceDE w:val="0"/>
              <w:autoSpaceDN w:val="0"/>
              <w:adjustRightInd w:val="0"/>
              <w:ind w:firstLine="709"/>
              <w:jc w:val="both"/>
            </w:pPr>
            <w:r w:rsidRPr="00D456B5">
              <w:t xml:space="preserve">д) на торговый день, </w:t>
            </w:r>
            <w:r w:rsidRPr="00D456B5">
              <w:lastRenderedPageBreak/>
              <w:t>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456B5" w:rsidRPr="00D456B5" w:rsidRDefault="00D456B5" w:rsidP="00D456B5">
            <w:pPr>
              <w:widowControl w:val="0"/>
              <w:autoSpaceDE w:val="0"/>
              <w:autoSpaceDN w:val="0"/>
              <w:adjustRightInd w:val="0"/>
              <w:ind w:firstLine="709"/>
              <w:jc w:val="both"/>
            </w:pPr>
            <w:proofErr w:type="gramStart"/>
            <w:r w:rsidRPr="00D456B5">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roofErr w:type="gramEnd"/>
          </w:p>
        </w:tc>
      </w:tr>
      <w:tr w:rsidR="00302634" w:rsidRPr="0010138B" w:rsidTr="00E318C3">
        <w:tc>
          <w:tcPr>
            <w:tcW w:w="562" w:type="dxa"/>
          </w:tcPr>
          <w:p w:rsidR="00302634" w:rsidRPr="00C906D9" w:rsidRDefault="00D86E5A" w:rsidP="00A82704">
            <w:pPr>
              <w:tabs>
                <w:tab w:val="center" w:pos="4153"/>
                <w:tab w:val="right" w:pos="8306"/>
              </w:tabs>
              <w:autoSpaceDE w:val="0"/>
              <w:autoSpaceDN w:val="0"/>
              <w:jc w:val="center"/>
            </w:pPr>
            <w:r>
              <w:rPr>
                <w:sz w:val="22"/>
                <w:szCs w:val="22"/>
              </w:rPr>
              <w:lastRenderedPageBreak/>
              <w:t>2</w:t>
            </w:r>
            <w:r w:rsidR="00C906D9">
              <w:rPr>
                <w:sz w:val="22"/>
                <w:szCs w:val="22"/>
              </w:rPr>
              <w:t>.</w:t>
            </w:r>
          </w:p>
        </w:tc>
        <w:tc>
          <w:tcPr>
            <w:tcW w:w="4708" w:type="dxa"/>
          </w:tcPr>
          <w:p w:rsidR="00302634" w:rsidRPr="00302634" w:rsidRDefault="00302634" w:rsidP="00302634">
            <w:pPr>
              <w:widowControl w:val="0"/>
              <w:autoSpaceDE w:val="0"/>
              <w:autoSpaceDN w:val="0"/>
              <w:adjustRightInd w:val="0"/>
              <w:ind w:firstLine="709"/>
              <w:jc w:val="both"/>
            </w:pPr>
            <w:r w:rsidRPr="00302634">
              <w:t>47. Порядок подачи заявок на приобретение инвестиционных паев</w:t>
            </w:r>
          </w:p>
          <w:p w:rsidR="00302634" w:rsidRPr="00302634" w:rsidRDefault="00302634" w:rsidP="00302634">
            <w:pPr>
              <w:widowControl w:val="0"/>
              <w:autoSpaceDE w:val="0"/>
              <w:autoSpaceDN w:val="0"/>
              <w:adjustRightInd w:val="0"/>
              <w:ind w:firstLine="709"/>
              <w:jc w:val="both"/>
            </w:pPr>
            <w:r w:rsidRPr="00302634">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302634" w:rsidRPr="00302634" w:rsidRDefault="00302634" w:rsidP="00302634">
            <w:pPr>
              <w:widowControl w:val="0"/>
              <w:autoSpaceDE w:val="0"/>
              <w:autoSpaceDN w:val="0"/>
              <w:adjustRightInd w:val="0"/>
              <w:ind w:firstLine="709"/>
              <w:jc w:val="both"/>
            </w:pPr>
            <w:r w:rsidRPr="00302634">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960131" w:rsidRPr="0052629B" w:rsidRDefault="00302634" w:rsidP="0052629B">
            <w:pPr>
              <w:widowControl w:val="0"/>
              <w:autoSpaceDE w:val="0"/>
              <w:autoSpaceDN w:val="0"/>
              <w:adjustRightInd w:val="0"/>
              <w:ind w:firstLine="709"/>
              <w:jc w:val="both"/>
            </w:pPr>
            <w:r w:rsidRPr="00302634">
              <w:t>Заявки на приобретение инвестиционных паев, направленные почтой (в том числе электронной), факсом или курьером, не принимаются.</w:t>
            </w:r>
          </w:p>
        </w:tc>
        <w:tc>
          <w:tcPr>
            <w:tcW w:w="4756" w:type="dxa"/>
          </w:tcPr>
          <w:p w:rsidR="005223C4" w:rsidRPr="00302634" w:rsidRDefault="005223C4" w:rsidP="005223C4">
            <w:pPr>
              <w:widowControl w:val="0"/>
              <w:autoSpaceDE w:val="0"/>
              <w:autoSpaceDN w:val="0"/>
              <w:adjustRightInd w:val="0"/>
              <w:ind w:firstLine="709"/>
              <w:jc w:val="both"/>
            </w:pPr>
            <w:r w:rsidRPr="00302634">
              <w:t>47. Порядок подачи заявок на приобретение инвестиционных паев</w:t>
            </w:r>
          </w:p>
          <w:p w:rsidR="005223C4" w:rsidRPr="00302634" w:rsidRDefault="005223C4" w:rsidP="005223C4">
            <w:pPr>
              <w:widowControl w:val="0"/>
              <w:autoSpaceDE w:val="0"/>
              <w:autoSpaceDN w:val="0"/>
              <w:adjustRightInd w:val="0"/>
              <w:ind w:firstLine="709"/>
              <w:jc w:val="both"/>
            </w:pPr>
            <w:r w:rsidRPr="00302634">
              <w:t xml:space="preserve">Заявки на приобретение инвестиционных паев, оформленные в соответствии с </w:t>
            </w:r>
            <w:r w:rsidR="00960131" w:rsidRPr="0052629B">
              <w:rPr>
                <w:b/>
              </w:rPr>
              <w:t xml:space="preserve">приложением № 1 </w:t>
            </w:r>
            <w:r w:rsidRPr="00302634">
              <w:t>к настоящим Правилам, подаются в пунктах приема заявок инвестором  или его уполномоченным представителем.</w:t>
            </w:r>
          </w:p>
          <w:p w:rsidR="005223C4" w:rsidRPr="00302634" w:rsidRDefault="005223C4" w:rsidP="005223C4">
            <w:pPr>
              <w:widowControl w:val="0"/>
              <w:autoSpaceDE w:val="0"/>
              <w:autoSpaceDN w:val="0"/>
              <w:adjustRightInd w:val="0"/>
              <w:ind w:firstLine="709"/>
              <w:jc w:val="both"/>
            </w:pPr>
            <w:r w:rsidRPr="00302634">
              <w:t xml:space="preserve">Заявки на приобретение инвестиционных паев, оформленные в соответствии с </w:t>
            </w:r>
            <w:r w:rsidR="00960131" w:rsidRPr="0052629B">
              <w:rPr>
                <w:b/>
              </w:rPr>
              <w:t>приложением № 2</w:t>
            </w:r>
            <w:r w:rsidRPr="00302634">
              <w:t xml:space="preserve"> к настоящим Правилам, подаются в пунктах приема заявок номинальным держателем или его уполномоченным представителем.</w:t>
            </w:r>
          </w:p>
          <w:p w:rsidR="00302634" w:rsidRPr="00E318C3" w:rsidRDefault="005223C4" w:rsidP="005223C4">
            <w:r w:rsidRPr="00302634">
              <w:t>Заявки на приобретение инвестиционных паев, направленные почтой (в том числе электронной), факсом или курьером, не принимаются.</w:t>
            </w:r>
          </w:p>
        </w:tc>
      </w:tr>
      <w:tr w:rsidR="00302634" w:rsidRPr="0010138B" w:rsidTr="00E318C3">
        <w:tc>
          <w:tcPr>
            <w:tcW w:w="562" w:type="dxa"/>
          </w:tcPr>
          <w:p w:rsidR="00302634" w:rsidRPr="00C906D9" w:rsidRDefault="00D86E5A" w:rsidP="00A82704">
            <w:pPr>
              <w:jc w:val="center"/>
            </w:pPr>
            <w:r>
              <w:rPr>
                <w:sz w:val="22"/>
                <w:szCs w:val="22"/>
              </w:rPr>
              <w:t>3</w:t>
            </w:r>
            <w:r w:rsidR="00C906D9">
              <w:rPr>
                <w:sz w:val="22"/>
                <w:szCs w:val="22"/>
              </w:rPr>
              <w:t>.</w:t>
            </w:r>
          </w:p>
        </w:tc>
        <w:tc>
          <w:tcPr>
            <w:tcW w:w="4708" w:type="dxa"/>
          </w:tcPr>
          <w:p w:rsidR="00302634" w:rsidRPr="00302634" w:rsidRDefault="00302634" w:rsidP="00302634">
            <w:pPr>
              <w:ind w:firstLine="709"/>
              <w:jc w:val="both"/>
            </w:pPr>
            <w:r w:rsidRPr="00302634">
              <w:t>6</w:t>
            </w:r>
            <w:r w:rsidR="0054710B">
              <w:t>6</w:t>
            </w:r>
            <w:r w:rsidRPr="00302634">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302634" w:rsidRPr="00302634" w:rsidRDefault="00302634" w:rsidP="00302634">
            <w:pPr>
              <w:ind w:firstLine="709"/>
              <w:jc w:val="both"/>
            </w:pPr>
            <w:r w:rsidRPr="00302634">
              <w:t>Заявки на погашение инвестиционных паев носят безотзывный характер.</w:t>
            </w:r>
          </w:p>
          <w:p w:rsidR="00302634" w:rsidRPr="00302634" w:rsidRDefault="00302634" w:rsidP="00302634">
            <w:pPr>
              <w:ind w:firstLine="709"/>
              <w:jc w:val="both"/>
            </w:pPr>
            <w:r w:rsidRPr="00302634">
              <w:t>Заявки на погашение инвестиционных паев подаются в следующем порядке:</w:t>
            </w:r>
          </w:p>
          <w:p w:rsidR="00302634" w:rsidRPr="00302634" w:rsidRDefault="00302634" w:rsidP="00302634">
            <w:pPr>
              <w:widowControl w:val="0"/>
              <w:autoSpaceDE w:val="0"/>
              <w:autoSpaceDN w:val="0"/>
              <w:adjustRightInd w:val="0"/>
              <w:ind w:firstLine="709"/>
              <w:jc w:val="both"/>
            </w:pPr>
            <w:r w:rsidRPr="00302634">
              <w:t>Заявки на погашение инвестиционных паев, оформленные в соответствии с приложениями № 4,5 к настоящим Правилам, подаются в пунктах приема заявок владельцем инвестиционных паев или его уполномоченным представителем.</w:t>
            </w:r>
          </w:p>
          <w:p w:rsidR="00302634" w:rsidRPr="00302634" w:rsidRDefault="00302634" w:rsidP="00302634">
            <w:pPr>
              <w:widowControl w:val="0"/>
              <w:autoSpaceDE w:val="0"/>
              <w:autoSpaceDN w:val="0"/>
              <w:adjustRightInd w:val="0"/>
              <w:ind w:firstLine="709"/>
              <w:jc w:val="both"/>
            </w:pPr>
            <w:r w:rsidRPr="00302634">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302634" w:rsidRPr="00302634" w:rsidRDefault="00302634" w:rsidP="00302634">
            <w:pPr>
              <w:ind w:firstLine="709"/>
              <w:jc w:val="both"/>
            </w:pPr>
            <w:r w:rsidRPr="00302634">
              <w:t>Заявки на погашение инвестиционных паев, направленные почтой (в том числе электронной), факсом или курьером, не принимаются.</w:t>
            </w:r>
          </w:p>
          <w:p w:rsidR="00960131" w:rsidRPr="0052629B" w:rsidRDefault="00302634" w:rsidP="0052629B">
            <w:pPr>
              <w:ind w:firstLine="709"/>
              <w:jc w:val="both"/>
            </w:pPr>
            <w:r w:rsidRPr="00302634">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756" w:type="dxa"/>
          </w:tcPr>
          <w:p w:rsidR="005223C4" w:rsidRPr="00302634" w:rsidRDefault="005223C4" w:rsidP="005223C4">
            <w:pPr>
              <w:ind w:firstLine="709"/>
              <w:jc w:val="both"/>
            </w:pPr>
            <w:r w:rsidRPr="00302634">
              <w:t>6</w:t>
            </w:r>
            <w:r w:rsidR="0054710B">
              <w:t>6</w:t>
            </w:r>
            <w:r w:rsidRPr="00302634">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5223C4" w:rsidRPr="00302634" w:rsidRDefault="005223C4" w:rsidP="005223C4">
            <w:pPr>
              <w:ind w:firstLine="709"/>
              <w:jc w:val="both"/>
            </w:pPr>
            <w:r w:rsidRPr="00302634">
              <w:t>Заявки на погашение инвестиционных паев носят безотзывный характер.</w:t>
            </w:r>
          </w:p>
          <w:p w:rsidR="005223C4" w:rsidRPr="00302634" w:rsidRDefault="005223C4" w:rsidP="005223C4">
            <w:pPr>
              <w:ind w:firstLine="709"/>
              <w:jc w:val="both"/>
            </w:pPr>
            <w:r w:rsidRPr="00302634">
              <w:t>Заявки на погашение инвестиционных паев подаются в следующем порядке:</w:t>
            </w:r>
          </w:p>
          <w:p w:rsidR="005223C4" w:rsidRPr="00302634" w:rsidRDefault="005223C4" w:rsidP="005223C4">
            <w:pPr>
              <w:widowControl w:val="0"/>
              <w:autoSpaceDE w:val="0"/>
              <w:autoSpaceDN w:val="0"/>
              <w:adjustRightInd w:val="0"/>
              <w:ind w:firstLine="709"/>
              <w:jc w:val="both"/>
            </w:pPr>
            <w:r w:rsidRPr="00302634">
              <w:t xml:space="preserve">Заявки на погашение инвестиционных паев, оформленные в соответствии с </w:t>
            </w:r>
            <w:r w:rsidR="00960131" w:rsidRPr="0052629B">
              <w:rPr>
                <w:b/>
              </w:rPr>
              <w:t>приложением № 3</w:t>
            </w:r>
            <w:r w:rsidRPr="00302634">
              <w:t xml:space="preserve"> к настоящим Правилам, подаются в пунктах приема заявок владельцем инвестиционных паев или его уполномоченным представителем.</w:t>
            </w:r>
          </w:p>
          <w:p w:rsidR="005223C4" w:rsidRPr="00302634" w:rsidRDefault="005223C4" w:rsidP="005223C4">
            <w:pPr>
              <w:widowControl w:val="0"/>
              <w:autoSpaceDE w:val="0"/>
              <w:autoSpaceDN w:val="0"/>
              <w:adjustRightInd w:val="0"/>
              <w:ind w:firstLine="709"/>
              <w:jc w:val="both"/>
            </w:pPr>
            <w:r w:rsidRPr="00302634">
              <w:t xml:space="preserve">Заявки на погашение инвестиционных паев, оформленные в соответствии с </w:t>
            </w:r>
            <w:r w:rsidR="00960131" w:rsidRPr="0052629B">
              <w:rPr>
                <w:b/>
              </w:rPr>
              <w:t>приложением № 4</w:t>
            </w:r>
            <w:r w:rsidRPr="00302634">
              <w:t xml:space="preserve"> к настоящим Правилам, подаются в пунктах приема заявок номинальным держателем или его уполномоченным представителем.</w:t>
            </w:r>
          </w:p>
          <w:p w:rsidR="005223C4" w:rsidRPr="00302634" w:rsidRDefault="005223C4" w:rsidP="005223C4">
            <w:pPr>
              <w:ind w:firstLine="709"/>
              <w:jc w:val="both"/>
            </w:pPr>
            <w:r w:rsidRPr="00302634">
              <w:t>Заявки на погашение инвестиционных паев, направленные почтой (в том числе электронной), факсом или курьером, не принимаются.</w:t>
            </w:r>
          </w:p>
          <w:p w:rsidR="00302634" w:rsidRPr="00E318C3" w:rsidRDefault="005223C4" w:rsidP="0052629B">
            <w:pPr>
              <w:jc w:val="both"/>
            </w:pPr>
            <w:r>
              <w:t xml:space="preserve">            </w:t>
            </w:r>
            <w:r w:rsidRPr="00302634">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096C8C" w:rsidRPr="0010138B" w:rsidTr="00E318C3">
        <w:tc>
          <w:tcPr>
            <w:tcW w:w="562" w:type="dxa"/>
          </w:tcPr>
          <w:p w:rsidR="00096C8C" w:rsidRPr="00793E5C" w:rsidRDefault="00D86E5A">
            <w:pPr>
              <w:jc w:val="center"/>
            </w:pPr>
            <w:r>
              <w:rPr>
                <w:sz w:val="22"/>
                <w:szCs w:val="22"/>
              </w:rPr>
              <w:t>4</w:t>
            </w:r>
            <w:r w:rsidR="00096C8C" w:rsidRPr="00793E5C">
              <w:rPr>
                <w:sz w:val="22"/>
                <w:szCs w:val="22"/>
              </w:rPr>
              <w:t>.</w:t>
            </w:r>
          </w:p>
        </w:tc>
        <w:tc>
          <w:tcPr>
            <w:tcW w:w="4708" w:type="dxa"/>
          </w:tcPr>
          <w:p w:rsidR="00096C8C" w:rsidRPr="00793E5C" w:rsidRDefault="005223C4" w:rsidP="0052629B">
            <w:pPr>
              <w:jc w:val="both"/>
              <w:rPr>
                <w:b/>
              </w:rPr>
            </w:pPr>
            <w:r>
              <w:t xml:space="preserve">           </w:t>
            </w:r>
            <w:r w:rsidR="00936975" w:rsidRPr="00936975">
              <w:t>82. За счет имущества, составляющего фонд, выплачивается вознаграждение управляющей компании в размере 5(пять) процентов среднегодовой стоимости чистых активов фонда, а также специализированному депозитарию, регистратору, аудиторской организации в</w:t>
            </w:r>
            <w:r w:rsidR="00936975">
              <w:t xml:space="preserve"> размере не более 1</w:t>
            </w:r>
            <w:r w:rsidR="00936975" w:rsidRPr="00936975">
              <w:t>,5 (</w:t>
            </w:r>
            <w:r w:rsidR="00936975">
              <w:t>Одной целой</w:t>
            </w:r>
            <w:r w:rsidR="00936975" w:rsidRPr="00936975">
              <w:t xml:space="preserve"> пять десятых) процента среднегодовой стоимости чистых активов фонда (с учетом налога на добавленную стоимость).</w:t>
            </w:r>
          </w:p>
        </w:tc>
        <w:tc>
          <w:tcPr>
            <w:tcW w:w="4756" w:type="dxa"/>
          </w:tcPr>
          <w:p w:rsidR="00096C8C" w:rsidRPr="00793E5C" w:rsidRDefault="005223C4" w:rsidP="0052629B">
            <w:pPr>
              <w:jc w:val="both"/>
              <w:rPr>
                <w:b/>
              </w:rPr>
            </w:pPr>
            <w:r>
              <w:t xml:space="preserve">            </w:t>
            </w:r>
            <w:r w:rsidR="00E318C3" w:rsidRPr="00E318C3">
              <w:t>8</w:t>
            </w:r>
            <w:r w:rsidR="00936975">
              <w:t>2</w:t>
            </w:r>
            <w:r w:rsidR="00E318C3" w:rsidRPr="00E318C3">
              <w:t xml:space="preserve">. За счет имущества, составляющего фонд, выплачивается вознаграждение управляющей компании в размере </w:t>
            </w:r>
            <w:r w:rsidR="00FB26FD" w:rsidRPr="0052629B">
              <w:rPr>
                <w:b/>
              </w:rPr>
              <w:t>6</w:t>
            </w:r>
            <w:r w:rsidR="00FB26FD">
              <w:rPr>
                <w:b/>
              </w:rPr>
              <w:t xml:space="preserve"> </w:t>
            </w:r>
            <w:r w:rsidR="00E318C3" w:rsidRPr="0052629B">
              <w:rPr>
                <w:b/>
              </w:rPr>
              <w:t>(</w:t>
            </w:r>
            <w:r w:rsidR="00FB26FD" w:rsidRPr="0052629B">
              <w:rPr>
                <w:b/>
              </w:rPr>
              <w:t>Шести</w:t>
            </w:r>
            <w:r w:rsidR="00E318C3" w:rsidRPr="0052629B">
              <w:rPr>
                <w:b/>
              </w:rPr>
              <w:t>)</w:t>
            </w:r>
            <w:r w:rsidR="00E318C3" w:rsidRPr="00E318C3">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00FB26FD">
              <w:rPr>
                <w:b/>
              </w:rPr>
              <w:t xml:space="preserve">3 </w:t>
            </w:r>
            <w:r w:rsidR="00960131" w:rsidRPr="0052629B">
              <w:rPr>
                <w:b/>
              </w:rPr>
              <w:t xml:space="preserve"> (</w:t>
            </w:r>
            <w:r w:rsidR="00FB26FD">
              <w:rPr>
                <w:b/>
              </w:rPr>
              <w:t>Трех</w:t>
            </w:r>
            <w:r w:rsidR="00960131" w:rsidRPr="0052629B">
              <w:rPr>
                <w:b/>
              </w:rPr>
              <w:t>)</w:t>
            </w:r>
            <w:r w:rsidR="00E318C3" w:rsidRPr="00E318C3">
              <w:t xml:space="preserve"> процент</w:t>
            </w:r>
            <w:r w:rsidR="00FB26FD">
              <w:t>ов</w:t>
            </w:r>
            <w:r w:rsidR="00E318C3" w:rsidRPr="00E318C3">
              <w:t xml:space="preserve"> среднегодовой стоимости чистых активов фонда (с учетом налога на добавленную стоимость).</w:t>
            </w:r>
          </w:p>
        </w:tc>
      </w:tr>
      <w:tr w:rsidR="00096C8C" w:rsidRPr="0010138B" w:rsidTr="00E318C3">
        <w:tc>
          <w:tcPr>
            <w:tcW w:w="562" w:type="dxa"/>
          </w:tcPr>
          <w:p w:rsidR="00096C8C" w:rsidRPr="00793E5C" w:rsidRDefault="00D86E5A">
            <w:pPr>
              <w:jc w:val="center"/>
            </w:pPr>
            <w:r>
              <w:rPr>
                <w:sz w:val="22"/>
                <w:szCs w:val="22"/>
              </w:rPr>
              <w:t>5</w:t>
            </w:r>
            <w:r w:rsidR="00096C8C" w:rsidRPr="00793E5C">
              <w:rPr>
                <w:sz w:val="22"/>
                <w:szCs w:val="22"/>
              </w:rPr>
              <w:t>.</w:t>
            </w:r>
          </w:p>
        </w:tc>
        <w:tc>
          <w:tcPr>
            <w:tcW w:w="4708" w:type="dxa"/>
          </w:tcPr>
          <w:p w:rsidR="00302634" w:rsidRPr="00302634" w:rsidRDefault="00E318C3" w:rsidP="00302634">
            <w:pPr>
              <w:ind w:firstLine="709"/>
              <w:jc w:val="both"/>
            </w:pPr>
            <w:r>
              <w:t>8</w:t>
            </w:r>
            <w:r w:rsidR="00936975">
              <w:t>5</w:t>
            </w:r>
            <w:r w:rsidR="00096C8C" w:rsidRPr="00793E5C">
              <w:t>. </w:t>
            </w:r>
            <w:r w:rsidR="00302634" w:rsidRPr="00302634">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302634" w:rsidRPr="00302634" w:rsidRDefault="00302634" w:rsidP="00302634">
            <w:pPr>
              <w:ind w:firstLine="709"/>
              <w:jc w:val="both"/>
            </w:pPr>
            <w:r w:rsidRPr="00302634">
              <w:t>1) оплата услуг организаций по совершению сделок за счет имущества фонда от имени этих организаций или от имени управляющей компании;</w:t>
            </w:r>
          </w:p>
          <w:p w:rsidR="00302634" w:rsidRPr="00302634" w:rsidRDefault="00302634" w:rsidP="00302634">
            <w:pPr>
              <w:ind w:firstLine="709"/>
              <w:jc w:val="both"/>
            </w:pPr>
            <w:r w:rsidRPr="00302634">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02634" w:rsidRPr="00302634" w:rsidRDefault="00302634" w:rsidP="00302634">
            <w:pPr>
              <w:ind w:firstLine="709"/>
              <w:jc w:val="both"/>
            </w:pPr>
            <w:r w:rsidRPr="00302634">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302634" w:rsidRPr="00302634" w:rsidRDefault="00302634" w:rsidP="00302634">
            <w:pPr>
              <w:ind w:firstLine="709"/>
              <w:jc w:val="both"/>
            </w:pPr>
            <w:r w:rsidRPr="00302634">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302634" w:rsidRPr="00302634" w:rsidRDefault="00302634" w:rsidP="00302634">
            <w:pPr>
              <w:ind w:firstLine="709"/>
              <w:jc w:val="both"/>
            </w:pPr>
            <w:r w:rsidRPr="00302634">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02634" w:rsidRPr="00302634" w:rsidRDefault="00302634" w:rsidP="00302634">
            <w:pPr>
              <w:ind w:firstLine="709"/>
              <w:jc w:val="both"/>
            </w:pPr>
            <w:r w:rsidRPr="00302634">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02634" w:rsidRPr="00302634" w:rsidRDefault="00302634" w:rsidP="00302634">
            <w:pPr>
              <w:ind w:firstLine="709"/>
              <w:jc w:val="both"/>
            </w:pPr>
            <w:r w:rsidRPr="00302634">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02634" w:rsidRPr="00302634" w:rsidRDefault="00302634" w:rsidP="00302634">
            <w:pPr>
              <w:ind w:firstLine="709"/>
              <w:jc w:val="both"/>
            </w:pPr>
            <w:proofErr w:type="gramStart"/>
            <w:r w:rsidRPr="00302634">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302634">
              <w:t xml:space="preserve"> владельцев инвестиционных паев по договорам доверительного управления имуществом фонда;</w:t>
            </w:r>
          </w:p>
          <w:p w:rsidR="00302634" w:rsidRPr="00302634" w:rsidRDefault="00302634" w:rsidP="00302634">
            <w:pPr>
              <w:ind w:firstLine="709"/>
              <w:jc w:val="both"/>
            </w:pPr>
            <w:r w:rsidRPr="00302634">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02634" w:rsidRPr="00302634" w:rsidRDefault="00302634">
            <w:pPr>
              <w:ind w:firstLine="709"/>
              <w:jc w:val="both"/>
            </w:pPr>
            <w:r w:rsidRPr="00302634">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96C8C" w:rsidRPr="00793E5C" w:rsidRDefault="00C906D9" w:rsidP="0052629B">
            <w:pPr>
              <w:tabs>
                <w:tab w:val="left" w:pos="665"/>
              </w:tabs>
              <w:jc w:val="both"/>
              <w:rPr>
                <w:b/>
              </w:rPr>
            </w:pPr>
            <w:r w:rsidRPr="00C906D9">
              <w:t xml:space="preserve">            </w:t>
            </w:r>
            <w:r w:rsidR="00E318C3" w:rsidRPr="00E318C3">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E318C3">
              <w:t>3</w:t>
            </w:r>
            <w:r w:rsidR="00E318C3" w:rsidRPr="00E318C3">
              <w:t xml:space="preserve"> (</w:t>
            </w:r>
            <w:r w:rsidR="00E318C3">
              <w:t>Три</w:t>
            </w:r>
            <w:r w:rsidR="00E318C3" w:rsidRPr="00E318C3">
              <w:t>)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756" w:type="dxa"/>
          </w:tcPr>
          <w:p w:rsidR="005223C4" w:rsidRPr="00302634" w:rsidRDefault="00E318C3" w:rsidP="005223C4">
            <w:pPr>
              <w:ind w:firstLine="709"/>
              <w:jc w:val="both"/>
            </w:pPr>
            <w:r>
              <w:t>8</w:t>
            </w:r>
            <w:r w:rsidR="00936975">
              <w:t>5</w:t>
            </w:r>
            <w:r w:rsidR="00096C8C" w:rsidRPr="00793E5C">
              <w:t>. </w:t>
            </w:r>
            <w:r w:rsidR="005223C4" w:rsidRPr="00302634">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5223C4" w:rsidRPr="00302634" w:rsidRDefault="005223C4" w:rsidP="005223C4">
            <w:pPr>
              <w:ind w:firstLine="709"/>
              <w:jc w:val="both"/>
            </w:pPr>
            <w:r w:rsidRPr="00302634">
              <w:t>1) оплата услуг организаций по совершению сделок за счет имущества фонда от имени этих организаций или от имени управляющей компании;</w:t>
            </w:r>
          </w:p>
          <w:p w:rsidR="005223C4" w:rsidRPr="00302634" w:rsidRDefault="005223C4" w:rsidP="005223C4">
            <w:pPr>
              <w:ind w:firstLine="709"/>
              <w:jc w:val="both"/>
            </w:pPr>
            <w:r w:rsidRPr="00302634">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223C4" w:rsidRPr="00302634" w:rsidRDefault="005223C4" w:rsidP="005223C4">
            <w:pPr>
              <w:ind w:firstLine="709"/>
              <w:jc w:val="both"/>
            </w:pPr>
            <w:r w:rsidRPr="00302634">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223C4" w:rsidRPr="00302634" w:rsidRDefault="005223C4" w:rsidP="005223C4">
            <w:pPr>
              <w:ind w:firstLine="709"/>
              <w:jc w:val="both"/>
            </w:pPr>
            <w:r w:rsidRPr="00302634">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223C4" w:rsidRPr="00302634" w:rsidRDefault="005223C4" w:rsidP="005223C4">
            <w:pPr>
              <w:ind w:firstLine="709"/>
              <w:jc w:val="both"/>
            </w:pPr>
            <w:r w:rsidRPr="00302634">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223C4" w:rsidRPr="00302634" w:rsidRDefault="005223C4" w:rsidP="005223C4">
            <w:pPr>
              <w:ind w:firstLine="709"/>
              <w:jc w:val="both"/>
            </w:pPr>
            <w:r w:rsidRPr="00302634">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223C4" w:rsidRPr="00302634" w:rsidRDefault="005223C4" w:rsidP="005223C4">
            <w:pPr>
              <w:ind w:firstLine="709"/>
              <w:jc w:val="both"/>
            </w:pPr>
            <w:r w:rsidRPr="00302634">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t>ф</w:t>
            </w:r>
            <w:r w:rsidRPr="00302634">
              <w:t>онда или связанных с операциями с указанным имуществом;</w:t>
            </w:r>
          </w:p>
          <w:p w:rsidR="005223C4" w:rsidRPr="00302634" w:rsidRDefault="005223C4" w:rsidP="005223C4">
            <w:pPr>
              <w:ind w:firstLine="709"/>
              <w:jc w:val="both"/>
            </w:pPr>
            <w:proofErr w:type="gramStart"/>
            <w:r w:rsidRPr="00302634">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302634">
              <w:t xml:space="preserve"> владельцев инвестиционных паев по договорам доверительного управления имуществом фонда;</w:t>
            </w:r>
          </w:p>
          <w:p w:rsidR="005223C4" w:rsidRPr="00302634" w:rsidRDefault="005223C4" w:rsidP="005223C4">
            <w:pPr>
              <w:ind w:firstLine="709"/>
              <w:jc w:val="both"/>
            </w:pPr>
            <w:r w:rsidRPr="00302634">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223C4" w:rsidRDefault="005223C4" w:rsidP="0052629B">
            <w:pPr>
              <w:jc w:val="both"/>
            </w:pPr>
            <w:r>
              <w:t xml:space="preserve">          </w:t>
            </w:r>
            <w:r w:rsidRPr="00302634">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96C8C" w:rsidRPr="00793E5C" w:rsidRDefault="005223C4" w:rsidP="0052629B">
            <w:pPr>
              <w:jc w:val="both"/>
              <w:rPr>
                <w:b/>
              </w:rPr>
            </w:pPr>
            <w:r>
              <w:t xml:space="preserve">           </w:t>
            </w:r>
            <w:proofErr w:type="gramStart"/>
            <w:r w:rsidR="00E318C3" w:rsidRPr="00E318C3">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FB26FD">
              <w:rPr>
                <w:b/>
              </w:rPr>
              <w:t>1</w:t>
            </w:r>
            <w:r w:rsidR="00960131" w:rsidRPr="0052629B">
              <w:rPr>
                <w:b/>
              </w:rPr>
              <w:t xml:space="preserve"> (</w:t>
            </w:r>
            <w:r w:rsidR="00FB26FD">
              <w:rPr>
                <w:b/>
              </w:rPr>
              <w:t>Один</w:t>
            </w:r>
            <w:r w:rsidR="00960131" w:rsidRPr="0052629B">
              <w:rPr>
                <w:b/>
              </w:rPr>
              <w:t xml:space="preserve">) </w:t>
            </w:r>
            <w:r w:rsidR="00E318C3" w:rsidRPr="00E318C3">
              <w:t>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roofErr w:type="gramEnd"/>
          </w:p>
        </w:tc>
      </w:tr>
      <w:tr w:rsidR="00096C8C" w:rsidRPr="0010138B" w:rsidTr="00E318C3">
        <w:tc>
          <w:tcPr>
            <w:tcW w:w="562" w:type="dxa"/>
          </w:tcPr>
          <w:p w:rsidR="00096C8C" w:rsidRPr="00793E5C" w:rsidRDefault="00D86E5A">
            <w:pPr>
              <w:jc w:val="center"/>
            </w:pPr>
            <w:r>
              <w:rPr>
                <w:sz w:val="22"/>
                <w:szCs w:val="22"/>
              </w:rPr>
              <w:t>6</w:t>
            </w:r>
            <w:r w:rsidR="00096C8C" w:rsidRPr="00793E5C">
              <w:rPr>
                <w:sz w:val="22"/>
                <w:szCs w:val="22"/>
              </w:rPr>
              <w:t>.</w:t>
            </w:r>
          </w:p>
        </w:tc>
        <w:tc>
          <w:tcPr>
            <w:tcW w:w="4708" w:type="dxa"/>
          </w:tcPr>
          <w:p w:rsidR="00960131" w:rsidRDefault="005223C4" w:rsidP="0052629B">
            <w:pPr>
              <w:jc w:val="both"/>
              <w:rPr>
                <w:b/>
              </w:rPr>
            </w:pPr>
            <w:r>
              <w:t xml:space="preserve">            </w:t>
            </w:r>
            <w:r w:rsidR="00E318C3" w:rsidRPr="00E318C3">
              <w:t>8</w:t>
            </w:r>
            <w:r w:rsidR="00936975">
              <w:t>6</w:t>
            </w:r>
            <w:r w:rsidR="00E318C3" w:rsidRPr="00E318C3">
              <w:t>. Расходы, не предусмотренные пунктом 8</w:t>
            </w:r>
            <w:r w:rsidR="00936975">
              <w:t>5</w:t>
            </w:r>
            <w:r w:rsidR="00E318C3" w:rsidRPr="00E318C3">
              <w:t xml:space="preserve"> настоящих Правил, а  также вознаграждения в части превышения размеров, указанных в пункте 8</w:t>
            </w:r>
            <w:r w:rsidR="00FE41D5">
              <w:t>2</w:t>
            </w:r>
            <w:r w:rsidR="00E318C3" w:rsidRPr="00E318C3">
              <w:t xml:space="preserve"> настоящих Правил, или </w:t>
            </w:r>
            <w:r w:rsidR="00E318C3">
              <w:t>6</w:t>
            </w:r>
            <w:r w:rsidR="00E318C3" w:rsidRPr="00E318C3">
              <w:t>,5 (</w:t>
            </w:r>
            <w:r w:rsidR="00E318C3">
              <w:t>Шесть</w:t>
            </w:r>
            <w:r w:rsidR="00E318C3" w:rsidRPr="00E318C3">
              <w:t xml:space="preserve"> целых пять десятых) процента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tc>
        <w:tc>
          <w:tcPr>
            <w:tcW w:w="4756" w:type="dxa"/>
          </w:tcPr>
          <w:p w:rsidR="00960131" w:rsidRDefault="005223C4" w:rsidP="0052629B">
            <w:pPr>
              <w:jc w:val="both"/>
              <w:rPr>
                <w:b/>
              </w:rPr>
            </w:pPr>
            <w:r>
              <w:t xml:space="preserve">           </w:t>
            </w:r>
            <w:r w:rsidR="00E318C3" w:rsidRPr="00E318C3">
              <w:t>8</w:t>
            </w:r>
            <w:r w:rsidR="00936975">
              <w:t>6</w:t>
            </w:r>
            <w:r w:rsidR="00E318C3" w:rsidRPr="00E318C3">
              <w:t>. Расходы, не предусмотренные пунктом 8</w:t>
            </w:r>
            <w:r w:rsidR="00936975">
              <w:t>5</w:t>
            </w:r>
            <w:r w:rsidR="00E318C3" w:rsidRPr="00E318C3">
              <w:t xml:space="preserve"> настоящих Правил, а  также вознаграждения в части превышения размеров, указанных в пункте 8</w:t>
            </w:r>
            <w:r w:rsidR="00FE41D5">
              <w:t>2</w:t>
            </w:r>
            <w:r w:rsidR="00E318C3" w:rsidRPr="00E318C3">
              <w:t xml:space="preserve"> настоящих Правил, или </w:t>
            </w:r>
            <w:r w:rsidR="00FB26FD">
              <w:rPr>
                <w:b/>
              </w:rPr>
              <w:t>9</w:t>
            </w:r>
            <w:r w:rsidR="00960131" w:rsidRPr="0052629B">
              <w:rPr>
                <w:b/>
              </w:rPr>
              <w:t xml:space="preserve"> (</w:t>
            </w:r>
            <w:r w:rsidR="00FB26FD">
              <w:rPr>
                <w:b/>
              </w:rPr>
              <w:t>Девять)</w:t>
            </w:r>
            <w:r w:rsidR="00960131" w:rsidRPr="0052629B">
              <w:rPr>
                <w:b/>
              </w:rPr>
              <w:t xml:space="preserve"> </w:t>
            </w:r>
            <w:r w:rsidR="00E318C3" w:rsidRPr="00E318C3">
              <w:t>процент</w:t>
            </w:r>
            <w:r w:rsidR="00FB26FD">
              <w:t>ов</w:t>
            </w:r>
            <w:r w:rsidR="00E318C3" w:rsidRPr="00E318C3">
              <w:t xml:space="preserve">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tc>
      </w:tr>
      <w:tr w:rsidR="00096C8C" w:rsidRPr="0010138B" w:rsidTr="00E318C3">
        <w:tc>
          <w:tcPr>
            <w:tcW w:w="562" w:type="dxa"/>
          </w:tcPr>
          <w:p w:rsidR="00096C8C" w:rsidRDefault="00D86E5A">
            <w:pPr>
              <w:jc w:val="center"/>
            </w:pPr>
            <w:r>
              <w:rPr>
                <w:sz w:val="22"/>
                <w:szCs w:val="22"/>
              </w:rPr>
              <w:t>7</w:t>
            </w:r>
            <w:r w:rsidR="00096C8C">
              <w:rPr>
                <w:sz w:val="22"/>
                <w:szCs w:val="22"/>
              </w:rPr>
              <w:t>.</w:t>
            </w:r>
          </w:p>
        </w:tc>
        <w:tc>
          <w:tcPr>
            <w:tcW w:w="9464" w:type="dxa"/>
            <w:gridSpan w:val="2"/>
          </w:tcPr>
          <w:p w:rsidR="00960131" w:rsidRDefault="004C3073">
            <w:r>
              <w:t xml:space="preserve">Все </w:t>
            </w:r>
            <w:r w:rsidR="00096C8C">
              <w:t>Приложения Старой редакции заменить Приложениями № 1-</w:t>
            </w:r>
            <w:r w:rsidR="00960131" w:rsidRPr="0052629B">
              <w:t>4</w:t>
            </w:r>
            <w:r w:rsidR="00096C8C">
              <w:t xml:space="preserve"> Новой редакции</w:t>
            </w:r>
          </w:p>
        </w:tc>
      </w:tr>
    </w:tbl>
    <w:p w:rsidR="00096C8C" w:rsidRDefault="00096C8C" w:rsidP="00096C8C"/>
    <w:p w:rsidR="007A103B" w:rsidRDefault="007A103B" w:rsidP="00096C8C"/>
    <w:p w:rsidR="007A103B" w:rsidRDefault="007A103B" w:rsidP="00096C8C"/>
    <w:p w:rsidR="007A103B" w:rsidRDefault="007A103B" w:rsidP="00096C8C"/>
    <w:p w:rsidR="007A103B" w:rsidRDefault="007A103B" w:rsidP="00096C8C"/>
    <w:p w:rsidR="007A103B" w:rsidRDefault="00A56E8C" w:rsidP="00096C8C">
      <w:r>
        <w:rPr>
          <w:noProof/>
        </w:rPr>
        <w:drawing>
          <wp:inline distT="0" distB="0" distL="0" distR="0">
            <wp:extent cx="6057900" cy="978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7A103B" w:rsidRDefault="00A56E8C" w:rsidP="00096C8C">
      <w:r>
        <w:rPr>
          <w:noProof/>
        </w:rPr>
        <w:drawing>
          <wp:inline distT="0" distB="0" distL="0" distR="0">
            <wp:extent cx="6057900" cy="9515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057900" cy="9515475"/>
                    </a:xfrm>
                    <a:prstGeom prst="rect">
                      <a:avLst/>
                    </a:prstGeom>
                    <a:noFill/>
                    <a:ln w="9525">
                      <a:noFill/>
                      <a:miter lim="800000"/>
                      <a:headEnd/>
                      <a:tailEnd/>
                    </a:ln>
                  </pic:spPr>
                </pic:pic>
              </a:graphicData>
            </a:graphic>
          </wp:inline>
        </w:drawing>
      </w:r>
    </w:p>
    <w:p w:rsidR="007A103B" w:rsidRDefault="00A56E8C" w:rsidP="00096C8C">
      <w:r>
        <w:rPr>
          <w:noProof/>
        </w:rPr>
        <w:drawing>
          <wp:inline distT="0" distB="0" distL="0" distR="0">
            <wp:extent cx="6057900" cy="9782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7A103B" w:rsidRDefault="00A56E8C" w:rsidP="00096C8C">
      <w:r>
        <w:rPr>
          <w:noProof/>
        </w:rPr>
        <w:drawing>
          <wp:inline distT="0" distB="0" distL="0" distR="0">
            <wp:extent cx="6057900" cy="9782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096C8C" w:rsidRDefault="00096C8C" w:rsidP="00096C8C"/>
    <w:p w:rsidR="00096C8C" w:rsidRDefault="00096C8C" w:rsidP="00096C8C"/>
    <w:p w:rsidR="00096C8C" w:rsidRDefault="00096C8C" w:rsidP="00096C8C"/>
    <w:p w:rsidR="00096C8C" w:rsidRDefault="00096C8C" w:rsidP="00096C8C">
      <w:r>
        <w:t>Генеральный директор</w:t>
      </w:r>
    </w:p>
    <w:p w:rsidR="00096C8C" w:rsidRPr="002447F7" w:rsidRDefault="00096C8C" w:rsidP="00096C8C">
      <w:pPr>
        <w:pStyle w:val="fieldcomment"/>
        <w:rPr>
          <w:rFonts w:ascii="Times New Roman" w:hAnsi="Times New Roman"/>
          <w:sz w:val="24"/>
          <w:szCs w:val="24"/>
          <w:lang w:val="ru-RU"/>
        </w:rPr>
      </w:pPr>
      <w:r w:rsidRPr="002447F7">
        <w:rPr>
          <w:rFonts w:ascii="Times New Roman" w:hAnsi="Times New Roman"/>
          <w:sz w:val="24"/>
          <w:szCs w:val="24"/>
          <w:lang w:val="ru-RU"/>
        </w:rPr>
        <w:t>ООО УК «</w:t>
      </w:r>
      <w:r w:rsidR="00E318C3">
        <w:rPr>
          <w:rFonts w:ascii="Times New Roman" w:hAnsi="Times New Roman"/>
          <w:sz w:val="24"/>
          <w:szCs w:val="24"/>
          <w:lang w:val="ru-RU"/>
        </w:rPr>
        <w:t>ФинанСист</w:t>
      </w:r>
      <w:r w:rsidRPr="002447F7">
        <w:rPr>
          <w:rFonts w:ascii="Times New Roman" w:hAnsi="Times New Roman"/>
          <w:sz w:val="24"/>
          <w:szCs w:val="24"/>
          <w:lang w:val="ru-RU"/>
        </w:rPr>
        <w:t xml:space="preserve">»                                         </w:t>
      </w:r>
      <w:r>
        <w:rPr>
          <w:rFonts w:ascii="Times New Roman" w:hAnsi="Times New Roman"/>
          <w:sz w:val="24"/>
          <w:szCs w:val="24"/>
          <w:lang w:val="ru-RU"/>
        </w:rPr>
        <w:t xml:space="preserve">                  </w:t>
      </w:r>
      <w:r w:rsidRPr="002447F7">
        <w:rPr>
          <w:rFonts w:ascii="Times New Roman" w:hAnsi="Times New Roman"/>
          <w:sz w:val="24"/>
          <w:szCs w:val="24"/>
          <w:lang w:val="ru-RU"/>
        </w:rPr>
        <w:t xml:space="preserve"> </w:t>
      </w:r>
      <w:r>
        <w:rPr>
          <w:rFonts w:ascii="Times New Roman" w:hAnsi="Times New Roman"/>
          <w:sz w:val="24"/>
          <w:szCs w:val="24"/>
          <w:lang w:val="ru-RU"/>
        </w:rPr>
        <w:t>___________________</w:t>
      </w:r>
      <w:r w:rsidRPr="002447F7">
        <w:rPr>
          <w:rFonts w:ascii="Times New Roman" w:hAnsi="Times New Roman"/>
          <w:sz w:val="24"/>
          <w:szCs w:val="24"/>
          <w:lang w:val="ru-RU"/>
        </w:rPr>
        <w:t xml:space="preserve"> А.</w:t>
      </w:r>
      <w:r w:rsidR="00E318C3">
        <w:rPr>
          <w:rFonts w:ascii="Times New Roman" w:hAnsi="Times New Roman"/>
          <w:sz w:val="24"/>
          <w:szCs w:val="24"/>
          <w:lang w:val="ru-RU"/>
        </w:rPr>
        <w:t>З</w:t>
      </w:r>
      <w:r w:rsidRPr="002447F7">
        <w:rPr>
          <w:rFonts w:ascii="Times New Roman" w:hAnsi="Times New Roman"/>
          <w:sz w:val="24"/>
          <w:szCs w:val="24"/>
          <w:lang w:val="ru-RU"/>
        </w:rPr>
        <w:t>.</w:t>
      </w:r>
      <w:r w:rsidR="00E318C3">
        <w:rPr>
          <w:rFonts w:ascii="Times New Roman" w:hAnsi="Times New Roman"/>
          <w:sz w:val="24"/>
          <w:szCs w:val="24"/>
          <w:lang w:val="ru-RU"/>
        </w:rPr>
        <w:t>Шайхиева</w:t>
      </w:r>
    </w:p>
    <w:p w:rsidR="00096C8C" w:rsidRDefault="00096C8C" w:rsidP="00096C8C">
      <w:pPr>
        <w:pStyle w:val="fieldcomment"/>
        <w:jc w:val="right"/>
        <w:rPr>
          <w:lang w:val="ru-RU"/>
        </w:rPr>
      </w:pPr>
    </w:p>
    <w:p w:rsidR="00096C8C" w:rsidRDefault="00096C8C" w:rsidP="00096C8C">
      <w:pPr>
        <w:pStyle w:val="fieldcomment"/>
        <w:jc w:val="right"/>
        <w:rPr>
          <w:lang w:val="ru-RU"/>
        </w:rPr>
      </w:pPr>
    </w:p>
    <w:p w:rsidR="00096C8C" w:rsidRDefault="00096C8C" w:rsidP="00096C8C">
      <w:pPr>
        <w:pStyle w:val="fieldcomment"/>
        <w:jc w:val="center"/>
        <w:rPr>
          <w:rFonts w:ascii="Times New Roman" w:hAnsi="Times New Roman"/>
          <w:sz w:val="24"/>
          <w:szCs w:val="24"/>
          <w:lang w:val="ru-RU"/>
        </w:rPr>
      </w:pPr>
    </w:p>
    <w:p w:rsidR="00096C8C" w:rsidRDefault="00096C8C" w:rsidP="00096C8C">
      <w:pPr>
        <w:pStyle w:val="fieldcomment"/>
        <w:jc w:val="center"/>
        <w:rPr>
          <w:rFonts w:ascii="Times New Roman" w:hAnsi="Times New Roman"/>
          <w:sz w:val="24"/>
          <w:szCs w:val="24"/>
          <w:lang w:val="ru-RU"/>
        </w:rPr>
      </w:pPr>
    </w:p>
    <w:p w:rsidR="00096C8C" w:rsidRDefault="00096C8C" w:rsidP="00096C8C">
      <w:pPr>
        <w:pStyle w:val="fieldcomment"/>
        <w:jc w:val="center"/>
        <w:rPr>
          <w:rFonts w:ascii="Times New Roman" w:hAnsi="Times New Roman"/>
          <w:sz w:val="24"/>
          <w:szCs w:val="24"/>
          <w:lang w:val="ru-RU"/>
        </w:rPr>
      </w:pPr>
    </w:p>
    <w:p w:rsidR="00096C8C" w:rsidRDefault="00096C8C" w:rsidP="00096C8C">
      <w:pPr>
        <w:pStyle w:val="fieldcomment"/>
        <w:jc w:val="center"/>
        <w:rPr>
          <w:rFonts w:ascii="Times New Roman" w:hAnsi="Times New Roman"/>
          <w:sz w:val="24"/>
          <w:szCs w:val="24"/>
          <w:lang w:val="ru-RU"/>
        </w:rPr>
      </w:pPr>
    </w:p>
    <w:p w:rsidR="00096C8C" w:rsidRDefault="00096C8C" w:rsidP="00096C8C">
      <w:pPr>
        <w:pStyle w:val="fieldcomment"/>
        <w:jc w:val="center"/>
        <w:rPr>
          <w:rFonts w:ascii="Times New Roman" w:hAnsi="Times New Roman"/>
          <w:sz w:val="24"/>
          <w:szCs w:val="24"/>
          <w:lang w:val="ru-RU"/>
        </w:rPr>
      </w:pPr>
    </w:p>
    <w:p w:rsidR="00096C8C" w:rsidRDefault="00096C8C" w:rsidP="00096C8C">
      <w:pPr>
        <w:pStyle w:val="fieldcomment"/>
        <w:jc w:val="center"/>
        <w:rPr>
          <w:rFonts w:ascii="Times New Roman" w:hAnsi="Times New Roman"/>
          <w:sz w:val="24"/>
          <w:szCs w:val="24"/>
          <w:lang w:val="ru-RU"/>
        </w:rPr>
      </w:pPr>
    </w:p>
    <w:sectPr w:rsidR="00096C8C" w:rsidSect="00366600">
      <w:headerReference w:type="even" r:id="rId14"/>
      <w:headerReference w:type="default" r:id="rId15"/>
      <w:footerReference w:type="even" r:id="rId16"/>
      <w:footerReference w:type="default" r:id="rId17"/>
      <w:pgSz w:w="11906" w:h="16838"/>
      <w:pgMar w:top="360" w:right="851"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4F" w:rsidRDefault="0036314F" w:rsidP="006F50FD">
      <w:pPr>
        <w:pStyle w:val="signfield"/>
      </w:pPr>
      <w:r>
        <w:separator/>
      </w:r>
    </w:p>
  </w:endnote>
  <w:endnote w:type="continuationSeparator" w:id="0">
    <w:p w:rsidR="0036314F" w:rsidRDefault="0036314F" w:rsidP="006F50FD">
      <w:pPr>
        <w:pStyle w:val="signfie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0" w:rsidRDefault="009951B9" w:rsidP="00D55FDC">
    <w:pPr>
      <w:pStyle w:val="a3"/>
      <w:framePr w:wrap="around" w:vAnchor="text" w:hAnchor="margin" w:xAlign="right" w:y="1"/>
      <w:rPr>
        <w:rStyle w:val="a8"/>
      </w:rPr>
    </w:pPr>
    <w:r>
      <w:rPr>
        <w:rStyle w:val="a8"/>
      </w:rPr>
      <w:fldChar w:fldCharType="begin"/>
    </w:r>
    <w:r w:rsidR="00366600">
      <w:rPr>
        <w:rStyle w:val="a8"/>
      </w:rPr>
      <w:instrText xml:space="preserve">PAGE  </w:instrText>
    </w:r>
    <w:r>
      <w:rPr>
        <w:rStyle w:val="a8"/>
      </w:rPr>
      <w:fldChar w:fldCharType="end"/>
    </w:r>
  </w:p>
  <w:p w:rsidR="00366600" w:rsidRDefault="00366600" w:rsidP="003666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0" w:rsidRDefault="009951B9" w:rsidP="00D55FDC">
    <w:pPr>
      <w:pStyle w:val="a3"/>
      <w:framePr w:wrap="around" w:vAnchor="text" w:hAnchor="margin" w:xAlign="right" w:y="1"/>
      <w:rPr>
        <w:rStyle w:val="a8"/>
      </w:rPr>
    </w:pPr>
    <w:r>
      <w:rPr>
        <w:rStyle w:val="a8"/>
      </w:rPr>
      <w:fldChar w:fldCharType="begin"/>
    </w:r>
    <w:r w:rsidR="00366600">
      <w:rPr>
        <w:rStyle w:val="a8"/>
      </w:rPr>
      <w:instrText xml:space="preserve">PAGE  </w:instrText>
    </w:r>
    <w:r>
      <w:rPr>
        <w:rStyle w:val="a8"/>
      </w:rPr>
      <w:fldChar w:fldCharType="separate"/>
    </w:r>
    <w:r w:rsidR="00C07BFC">
      <w:rPr>
        <w:rStyle w:val="a8"/>
        <w:noProof/>
      </w:rPr>
      <w:t>1</w:t>
    </w:r>
    <w:r>
      <w:rPr>
        <w:rStyle w:val="a8"/>
      </w:rPr>
      <w:fldChar w:fldCharType="end"/>
    </w:r>
  </w:p>
  <w:p w:rsidR="00004710" w:rsidRDefault="00004710" w:rsidP="00366600">
    <w:pPr>
      <w:pStyle w:val="a3"/>
      <w:ind w:right="360"/>
      <w:jc w:val="right"/>
    </w:pPr>
  </w:p>
  <w:p w:rsidR="00004710" w:rsidRDefault="000047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4F" w:rsidRDefault="0036314F" w:rsidP="006F50FD">
      <w:pPr>
        <w:pStyle w:val="signfield"/>
      </w:pPr>
      <w:r>
        <w:separator/>
      </w:r>
    </w:p>
  </w:footnote>
  <w:footnote w:type="continuationSeparator" w:id="0">
    <w:p w:rsidR="0036314F" w:rsidRDefault="0036314F" w:rsidP="006F50FD">
      <w:pPr>
        <w:pStyle w:val="signfie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10" w:rsidRDefault="009951B9" w:rsidP="00283508">
    <w:pPr>
      <w:pStyle w:val="a5"/>
      <w:framePr w:wrap="around" w:vAnchor="text" w:hAnchor="margin" w:xAlign="center" w:y="1"/>
      <w:rPr>
        <w:rStyle w:val="a8"/>
      </w:rPr>
    </w:pPr>
    <w:r>
      <w:rPr>
        <w:rStyle w:val="a8"/>
      </w:rPr>
      <w:fldChar w:fldCharType="begin"/>
    </w:r>
    <w:r w:rsidR="00004710">
      <w:rPr>
        <w:rStyle w:val="a8"/>
      </w:rPr>
      <w:instrText xml:space="preserve">PAGE  </w:instrText>
    </w:r>
    <w:r>
      <w:rPr>
        <w:rStyle w:val="a8"/>
      </w:rPr>
      <w:fldChar w:fldCharType="end"/>
    </w:r>
  </w:p>
  <w:p w:rsidR="00004710" w:rsidRDefault="000047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10" w:rsidRDefault="00004710" w:rsidP="00283508">
    <w:pPr>
      <w:pStyle w:val="a5"/>
      <w:framePr w:wrap="around" w:vAnchor="text" w:hAnchor="margin" w:xAlign="center" w:y="1"/>
      <w:rPr>
        <w:rStyle w:val="a8"/>
      </w:rPr>
    </w:pPr>
  </w:p>
  <w:p w:rsidR="00004710" w:rsidRDefault="000047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08"/>
  <w:characterSpacingControl w:val="doNotCompress"/>
  <w:footnotePr>
    <w:footnote w:id="-1"/>
    <w:footnote w:id="0"/>
  </w:footnotePr>
  <w:endnotePr>
    <w:endnote w:id="-1"/>
    <w:endnote w:id="0"/>
  </w:endnotePr>
  <w:compat/>
  <w:rsids>
    <w:rsidRoot w:val="009735DA"/>
    <w:rsid w:val="00001611"/>
    <w:rsid w:val="00002AA2"/>
    <w:rsid w:val="00004710"/>
    <w:rsid w:val="000372B1"/>
    <w:rsid w:val="000677CF"/>
    <w:rsid w:val="00077CF4"/>
    <w:rsid w:val="00096C8C"/>
    <w:rsid w:val="0010138B"/>
    <w:rsid w:val="00130701"/>
    <w:rsid w:val="00142232"/>
    <w:rsid w:val="001474B5"/>
    <w:rsid w:val="001C75AC"/>
    <w:rsid w:val="001F42BB"/>
    <w:rsid w:val="002447F7"/>
    <w:rsid w:val="00257D2C"/>
    <w:rsid w:val="00283508"/>
    <w:rsid w:val="002C2D58"/>
    <w:rsid w:val="00302634"/>
    <w:rsid w:val="00341BCD"/>
    <w:rsid w:val="0036314F"/>
    <w:rsid w:val="00366600"/>
    <w:rsid w:val="003677E7"/>
    <w:rsid w:val="00396D57"/>
    <w:rsid w:val="003C70B3"/>
    <w:rsid w:val="00431672"/>
    <w:rsid w:val="00440759"/>
    <w:rsid w:val="00463C41"/>
    <w:rsid w:val="004C3073"/>
    <w:rsid w:val="004D3D20"/>
    <w:rsid w:val="00513C83"/>
    <w:rsid w:val="005223C4"/>
    <w:rsid w:val="0052629B"/>
    <w:rsid w:val="00545F8E"/>
    <w:rsid w:val="0054710B"/>
    <w:rsid w:val="005F3713"/>
    <w:rsid w:val="006D40B6"/>
    <w:rsid w:val="006E78D3"/>
    <w:rsid w:val="006F50FD"/>
    <w:rsid w:val="00746A71"/>
    <w:rsid w:val="007713FA"/>
    <w:rsid w:val="007910A3"/>
    <w:rsid w:val="00793E5C"/>
    <w:rsid w:val="007A103B"/>
    <w:rsid w:val="00801BC5"/>
    <w:rsid w:val="00874F63"/>
    <w:rsid w:val="008A037A"/>
    <w:rsid w:val="008B20BA"/>
    <w:rsid w:val="008C3A9B"/>
    <w:rsid w:val="00902887"/>
    <w:rsid w:val="00936975"/>
    <w:rsid w:val="00960131"/>
    <w:rsid w:val="009735DA"/>
    <w:rsid w:val="009951B9"/>
    <w:rsid w:val="00A27D79"/>
    <w:rsid w:val="00A56E8C"/>
    <w:rsid w:val="00A57A41"/>
    <w:rsid w:val="00A82704"/>
    <w:rsid w:val="00A85B02"/>
    <w:rsid w:val="00AE1521"/>
    <w:rsid w:val="00B138BF"/>
    <w:rsid w:val="00C07BFC"/>
    <w:rsid w:val="00C217D5"/>
    <w:rsid w:val="00C36856"/>
    <w:rsid w:val="00C40CF9"/>
    <w:rsid w:val="00C77524"/>
    <w:rsid w:val="00C906D9"/>
    <w:rsid w:val="00CB27EA"/>
    <w:rsid w:val="00D3048D"/>
    <w:rsid w:val="00D405F4"/>
    <w:rsid w:val="00D456B5"/>
    <w:rsid w:val="00D50BC9"/>
    <w:rsid w:val="00D55FDC"/>
    <w:rsid w:val="00D86E5A"/>
    <w:rsid w:val="00DA5DB4"/>
    <w:rsid w:val="00DC3A08"/>
    <w:rsid w:val="00DE68DF"/>
    <w:rsid w:val="00DF0C71"/>
    <w:rsid w:val="00E254ED"/>
    <w:rsid w:val="00E318C3"/>
    <w:rsid w:val="00E50A4D"/>
    <w:rsid w:val="00EC76C2"/>
    <w:rsid w:val="00F147D5"/>
    <w:rsid w:val="00F675DE"/>
    <w:rsid w:val="00F70864"/>
    <w:rsid w:val="00FA1D0F"/>
    <w:rsid w:val="00FB26FD"/>
    <w:rsid w:val="00FD0BC7"/>
    <w:rsid w:val="00FE4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A"/>
    <w:rPr>
      <w:sz w:val="24"/>
      <w:szCs w:val="24"/>
    </w:rPr>
  </w:style>
  <w:style w:type="paragraph" w:styleId="1">
    <w:name w:val="heading 1"/>
    <w:basedOn w:val="a"/>
    <w:next w:val="a"/>
    <w:link w:val="10"/>
    <w:uiPriority w:val="99"/>
    <w:qFormat/>
    <w:rsid w:val="009735DA"/>
    <w:pPr>
      <w:keepNext/>
      <w:jc w:val="right"/>
      <w:outlineLvl w:val="0"/>
    </w:pPr>
    <w:rPr>
      <w:b/>
      <w:bCs/>
      <w:sz w:val="20"/>
      <w:szCs w:val="20"/>
    </w:rPr>
  </w:style>
  <w:style w:type="paragraph" w:styleId="2">
    <w:name w:val="heading 2"/>
    <w:basedOn w:val="a"/>
    <w:next w:val="a"/>
    <w:link w:val="21"/>
    <w:uiPriority w:val="99"/>
    <w:qFormat/>
    <w:rsid w:val="009735D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735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5DA"/>
    <w:rPr>
      <w:rFonts w:cs="Times New Roman"/>
      <w:b/>
      <w:bCs/>
      <w:lang w:val="ru-RU" w:eastAsia="ru-RU" w:bidi="ar-SA"/>
    </w:rPr>
  </w:style>
  <w:style w:type="paragraph" w:styleId="a3">
    <w:name w:val="footer"/>
    <w:basedOn w:val="a"/>
    <w:link w:val="a4"/>
    <w:uiPriority w:val="99"/>
    <w:rsid w:val="009735DA"/>
    <w:pPr>
      <w:tabs>
        <w:tab w:val="center" w:pos="4677"/>
        <w:tab w:val="right" w:pos="9355"/>
      </w:tabs>
    </w:pPr>
  </w:style>
  <w:style w:type="character" w:customStyle="1" w:styleId="30">
    <w:name w:val="Заголовок 3 Знак"/>
    <w:basedOn w:val="a0"/>
    <w:link w:val="3"/>
    <w:uiPriority w:val="99"/>
    <w:locked/>
    <w:rsid w:val="009735DA"/>
    <w:rPr>
      <w:rFonts w:ascii="Arial" w:hAnsi="Arial" w:cs="Arial"/>
      <w:b/>
      <w:bCs/>
      <w:sz w:val="26"/>
      <w:szCs w:val="26"/>
      <w:lang w:val="ru-RU" w:eastAsia="ru-RU" w:bidi="ar-SA"/>
    </w:rPr>
  </w:style>
  <w:style w:type="paragraph" w:styleId="a5">
    <w:name w:val="header"/>
    <w:basedOn w:val="a"/>
    <w:link w:val="a6"/>
    <w:uiPriority w:val="99"/>
    <w:rsid w:val="009735DA"/>
    <w:pPr>
      <w:tabs>
        <w:tab w:val="center" w:pos="4153"/>
        <w:tab w:val="right" w:pos="8306"/>
      </w:tabs>
      <w:autoSpaceDE w:val="0"/>
      <w:autoSpaceDN w:val="0"/>
      <w:spacing w:line="360" w:lineRule="atLeast"/>
      <w:jc w:val="both"/>
    </w:pPr>
    <w:rPr>
      <w:sz w:val="28"/>
      <w:szCs w:val="28"/>
    </w:rPr>
  </w:style>
  <w:style w:type="character" w:customStyle="1" w:styleId="a6">
    <w:name w:val="Верхний колонтитул Знак"/>
    <w:basedOn w:val="a0"/>
    <w:link w:val="a5"/>
    <w:uiPriority w:val="99"/>
    <w:locked/>
    <w:rsid w:val="009735DA"/>
    <w:rPr>
      <w:rFonts w:cs="Times New Roman"/>
      <w:sz w:val="28"/>
      <w:szCs w:val="28"/>
      <w:lang w:val="ru-RU" w:eastAsia="ru-RU" w:bidi="ar-SA"/>
    </w:rPr>
  </w:style>
  <w:style w:type="paragraph" w:styleId="a7">
    <w:name w:val="Normal (Web)"/>
    <w:basedOn w:val="a"/>
    <w:uiPriority w:val="99"/>
    <w:rsid w:val="009735DA"/>
    <w:rPr>
      <w:rFonts w:ascii="Verdana" w:hAnsi="Verdana" w:cs="Verdana"/>
      <w:sz w:val="16"/>
      <w:szCs w:val="16"/>
    </w:rPr>
  </w:style>
  <w:style w:type="character" w:customStyle="1" w:styleId="21">
    <w:name w:val="Заголовок 2 Знак1"/>
    <w:basedOn w:val="a0"/>
    <w:link w:val="2"/>
    <w:uiPriority w:val="99"/>
    <w:locked/>
    <w:rsid w:val="009735DA"/>
    <w:rPr>
      <w:rFonts w:ascii="Arial" w:hAnsi="Arial" w:cs="Arial"/>
      <w:b/>
      <w:bCs/>
      <w:i/>
      <w:iCs/>
      <w:sz w:val="28"/>
      <w:szCs w:val="28"/>
      <w:lang w:val="ru-RU" w:eastAsia="ru-RU" w:bidi="ar-SA"/>
    </w:rPr>
  </w:style>
  <w:style w:type="character" w:customStyle="1" w:styleId="a4">
    <w:name w:val="Нижний колонтитул Знак"/>
    <w:basedOn w:val="a0"/>
    <w:link w:val="a3"/>
    <w:uiPriority w:val="99"/>
    <w:locked/>
    <w:rsid w:val="009735DA"/>
    <w:rPr>
      <w:rFonts w:cs="Times New Roman"/>
      <w:sz w:val="24"/>
      <w:szCs w:val="24"/>
      <w:lang w:val="ru-RU" w:eastAsia="ru-RU" w:bidi="ar-SA"/>
    </w:rPr>
  </w:style>
  <w:style w:type="character" w:styleId="a8">
    <w:name w:val="page number"/>
    <w:basedOn w:val="a0"/>
    <w:uiPriority w:val="99"/>
    <w:rsid w:val="009735DA"/>
    <w:rPr>
      <w:rFonts w:cs="Times New Roman"/>
    </w:rPr>
  </w:style>
  <w:style w:type="paragraph" w:customStyle="1" w:styleId="fieldcomment">
    <w:name w:val="field_comment"/>
    <w:basedOn w:val="a"/>
    <w:uiPriority w:val="99"/>
    <w:rsid w:val="009735DA"/>
    <w:pPr>
      <w:spacing w:before="45" w:after="45"/>
    </w:pPr>
    <w:rPr>
      <w:rFonts w:ascii="Arial" w:hAnsi="Arial" w:cs="Arial"/>
      <w:sz w:val="9"/>
      <w:szCs w:val="9"/>
      <w:lang w:val="en-US" w:eastAsia="en-US"/>
    </w:rPr>
  </w:style>
  <w:style w:type="paragraph" w:customStyle="1" w:styleId="fieldname">
    <w:name w:val="field_name"/>
    <w:basedOn w:val="a"/>
    <w:uiPriority w:val="99"/>
    <w:rsid w:val="009735D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9735D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9735DA"/>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9735D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9735DA"/>
    <w:rPr>
      <w:rFonts w:cs="Times New Roman"/>
      <w:sz w:val="9"/>
      <w:szCs w:val="9"/>
    </w:rPr>
  </w:style>
  <w:style w:type="paragraph" w:customStyle="1" w:styleId="footnote">
    <w:name w:val="footnote"/>
    <w:basedOn w:val="a"/>
    <w:uiPriority w:val="99"/>
    <w:rsid w:val="009735DA"/>
    <w:pPr>
      <w:spacing w:after="105"/>
      <w:ind w:left="367"/>
    </w:pPr>
    <w:rPr>
      <w:rFonts w:ascii="Arial" w:hAnsi="Arial" w:cs="Arial"/>
      <w:sz w:val="9"/>
      <w:szCs w:val="9"/>
      <w:lang w:val="en-US" w:eastAsia="en-US"/>
    </w:rPr>
  </w:style>
  <w:style w:type="character" w:customStyle="1" w:styleId="20">
    <w:name w:val="Заголовок 2 Знак"/>
    <w:basedOn w:val="a0"/>
    <w:uiPriority w:val="99"/>
    <w:semiHidden/>
    <w:locked/>
    <w:rsid w:val="00545F8E"/>
    <w:rPr>
      <w:rFonts w:ascii="Arial" w:hAnsi="Arial" w:cs="Arial"/>
      <w:b/>
      <w:bCs/>
      <w:i/>
      <w:iCs/>
      <w:sz w:val="28"/>
      <w:szCs w:val="28"/>
      <w:lang w:val="ru-RU" w:eastAsia="ru-RU" w:bidi="ar-SA"/>
    </w:rPr>
  </w:style>
  <w:style w:type="paragraph" w:customStyle="1" w:styleId="ConsNormal">
    <w:name w:val="ConsNormal"/>
    <w:uiPriority w:val="99"/>
    <w:rsid w:val="00DE68DF"/>
    <w:pPr>
      <w:widowControl w:val="0"/>
      <w:ind w:firstLine="720"/>
    </w:pPr>
    <w:rPr>
      <w:rFonts w:ascii="Arial" w:hAnsi="Arial" w:cs="Arial"/>
      <w:lang w:eastAsia="en-US"/>
    </w:rPr>
  </w:style>
  <w:style w:type="paragraph" w:styleId="a9">
    <w:name w:val="Balloon Text"/>
    <w:basedOn w:val="a"/>
    <w:link w:val="aa"/>
    <w:uiPriority w:val="99"/>
    <w:semiHidden/>
    <w:unhideWhenUsed/>
    <w:rsid w:val="00FB26FD"/>
    <w:rPr>
      <w:rFonts w:ascii="Tahoma" w:hAnsi="Tahoma" w:cs="Tahoma"/>
      <w:sz w:val="16"/>
      <w:szCs w:val="16"/>
    </w:rPr>
  </w:style>
  <w:style w:type="character" w:customStyle="1" w:styleId="aa">
    <w:name w:val="Текст выноски Знак"/>
    <w:basedOn w:val="a0"/>
    <w:link w:val="a9"/>
    <w:uiPriority w:val="99"/>
    <w:semiHidden/>
    <w:rsid w:val="00FB2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005_действующая редакция</Статус_x0020_документа>
    <_EndDate xmlns="http://schemas.microsoft.com/sharepoint/v3/fields">23.10.2014</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7D09B-57E2-4167-9D47-96937119514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13697EE-3301-44FD-89E0-7E3C5A3B03E8}">
  <ds:schemaRefs>
    <ds:schemaRef ds:uri="http://schemas.microsoft.com/sharepoint/v3/contenttype/forms"/>
  </ds:schemaRefs>
</ds:datastoreItem>
</file>

<file path=customXml/itemProps3.xml><?xml version="1.0" encoding="utf-8"?>
<ds:datastoreItem xmlns:ds="http://schemas.openxmlformats.org/officeDocument/2006/customXml" ds:itemID="{B55998D8-3397-4278-8EE6-9BFE297F8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Старая редакция</vt:lpstr>
    </vt:vector>
  </TitlesOfParts>
  <Company>MC INVESTCAPITAL</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Старая редакция</dc:title>
  <dc:creator>trefilov</dc:creator>
  <cp:lastModifiedBy>kulkova</cp:lastModifiedBy>
  <cp:revision>2</cp:revision>
  <cp:lastPrinted>2011-11-25T11:34:00Z</cp:lastPrinted>
  <dcterms:created xsi:type="dcterms:W3CDTF">2015-06-01T07:30:00Z</dcterms:created>
  <dcterms:modified xsi:type="dcterms:W3CDTF">2015-06-01T07:30:00Z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