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40" w:rsidRPr="000D7A62" w:rsidRDefault="00456540" w:rsidP="00456540">
      <w:pPr>
        <w:keepNext/>
        <w:autoSpaceDE w:val="0"/>
        <w:autoSpaceDN w:val="0"/>
        <w:jc w:val="right"/>
        <w:outlineLvl w:val="1"/>
        <w:rPr>
          <w:b/>
          <w:szCs w:val="20"/>
        </w:rPr>
      </w:pPr>
      <w:r w:rsidRPr="000D7A62">
        <w:rPr>
          <w:b/>
          <w:szCs w:val="20"/>
        </w:rPr>
        <w:t>«УТВЕРЖДЕНО»</w:t>
      </w:r>
    </w:p>
    <w:p w:rsidR="00456540" w:rsidRPr="000D7A62" w:rsidRDefault="00456540" w:rsidP="00456540">
      <w:pPr>
        <w:autoSpaceDE w:val="0"/>
        <w:autoSpaceDN w:val="0"/>
        <w:ind w:left="5040"/>
        <w:jc w:val="right"/>
        <w:rPr>
          <w:b/>
        </w:rPr>
      </w:pPr>
      <w:r w:rsidRPr="000D7A62">
        <w:rPr>
          <w:b/>
        </w:rPr>
        <w:t>Генеральн</w:t>
      </w:r>
      <w:r>
        <w:rPr>
          <w:b/>
        </w:rPr>
        <w:t>ый директор</w:t>
      </w:r>
    </w:p>
    <w:p w:rsidR="00456540" w:rsidRPr="000D7A62" w:rsidRDefault="00456540" w:rsidP="00456540">
      <w:pPr>
        <w:autoSpaceDE w:val="0"/>
        <w:autoSpaceDN w:val="0"/>
        <w:ind w:left="4680"/>
        <w:jc w:val="right"/>
        <w:rPr>
          <w:b/>
        </w:rPr>
      </w:pPr>
      <w:r w:rsidRPr="000D7A62">
        <w:rPr>
          <w:b/>
        </w:rPr>
        <w:t>ООО «УК «ГЕРФИН»</w:t>
      </w:r>
    </w:p>
    <w:p w:rsidR="00456540" w:rsidRPr="000D7A62" w:rsidRDefault="00456540" w:rsidP="00456540">
      <w:pPr>
        <w:autoSpaceDE w:val="0"/>
        <w:autoSpaceDN w:val="0"/>
        <w:ind w:left="5040"/>
        <w:jc w:val="right"/>
        <w:rPr>
          <w:b/>
        </w:rPr>
      </w:pPr>
    </w:p>
    <w:p w:rsidR="00456540" w:rsidRDefault="00456540" w:rsidP="00456540">
      <w:pPr>
        <w:autoSpaceDE w:val="0"/>
        <w:autoSpaceDN w:val="0"/>
        <w:ind w:left="5040"/>
        <w:jc w:val="right"/>
        <w:rPr>
          <w:b/>
          <w:szCs w:val="20"/>
        </w:rPr>
      </w:pPr>
      <w:r w:rsidRPr="000D7A62">
        <w:rPr>
          <w:u w:val="single"/>
        </w:rPr>
        <w:t xml:space="preserve">                                        </w:t>
      </w:r>
      <w:r w:rsidRPr="000D7A62">
        <w:rPr>
          <w:b/>
        </w:rPr>
        <w:t xml:space="preserve"> Герасимов</w:t>
      </w:r>
      <w:r w:rsidRPr="000D7A62">
        <w:rPr>
          <w:b/>
          <w:szCs w:val="20"/>
        </w:rPr>
        <w:t xml:space="preserve"> С.Я.</w:t>
      </w:r>
    </w:p>
    <w:p w:rsidR="00456540" w:rsidRDefault="00456540" w:rsidP="00456540">
      <w:pPr>
        <w:autoSpaceDE w:val="0"/>
        <w:autoSpaceDN w:val="0"/>
        <w:ind w:left="5040"/>
        <w:jc w:val="right"/>
        <w:rPr>
          <w:b/>
          <w:szCs w:val="20"/>
        </w:rPr>
      </w:pPr>
    </w:p>
    <w:p w:rsidR="00456540" w:rsidRPr="000D7A62" w:rsidRDefault="00456540" w:rsidP="00456540">
      <w:pPr>
        <w:autoSpaceDE w:val="0"/>
        <w:autoSpaceDN w:val="0"/>
        <w:ind w:left="5040"/>
        <w:jc w:val="right"/>
        <w:rPr>
          <w:b/>
        </w:rPr>
      </w:pPr>
      <w:r w:rsidRPr="000D7A62">
        <w:rPr>
          <w:b/>
        </w:rPr>
        <w:t xml:space="preserve">Приказ № </w:t>
      </w:r>
      <w:r>
        <w:rPr>
          <w:b/>
        </w:rPr>
        <w:t>0</w:t>
      </w:r>
      <w:r w:rsidR="00700353">
        <w:rPr>
          <w:b/>
        </w:rPr>
        <w:t>316</w:t>
      </w:r>
      <w:r w:rsidRPr="000D7A62">
        <w:rPr>
          <w:b/>
        </w:rPr>
        <w:t>/</w:t>
      </w:r>
      <w:r w:rsidR="00700353">
        <w:rPr>
          <w:b/>
        </w:rPr>
        <w:t>2</w:t>
      </w:r>
      <w:r w:rsidRPr="000D7A62">
        <w:rPr>
          <w:b/>
        </w:rPr>
        <w:t xml:space="preserve"> от «</w:t>
      </w:r>
      <w:r w:rsidR="00700353">
        <w:rPr>
          <w:b/>
        </w:rPr>
        <w:t>16</w:t>
      </w:r>
      <w:r w:rsidRPr="000D7A62">
        <w:rPr>
          <w:b/>
        </w:rPr>
        <w:t xml:space="preserve">» </w:t>
      </w:r>
      <w:r>
        <w:rPr>
          <w:b/>
        </w:rPr>
        <w:t>ма</w:t>
      </w:r>
      <w:r w:rsidR="00700353">
        <w:rPr>
          <w:b/>
        </w:rPr>
        <w:t>рта</w:t>
      </w:r>
      <w:r>
        <w:rPr>
          <w:b/>
        </w:rPr>
        <w:t xml:space="preserve"> 2015 г.</w:t>
      </w:r>
    </w:p>
    <w:p w:rsidR="00456540" w:rsidRPr="000D7A62" w:rsidRDefault="00456540" w:rsidP="00456540">
      <w:pPr>
        <w:autoSpaceDE w:val="0"/>
        <w:autoSpaceDN w:val="0"/>
        <w:ind w:left="5040"/>
        <w:jc w:val="right"/>
        <w:rPr>
          <w:b/>
        </w:rPr>
      </w:pPr>
    </w:p>
    <w:p w:rsidR="00CF2B15" w:rsidRPr="00020784" w:rsidRDefault="00CF2B15" w:rsidP="00020784">
      <w:pPr>
        <w:keepNext/>
        <w:widowControl w:val="0"/>
        <w:suppressLineNumbers/>
        <w:suppressAutoHyphens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42AE" w:rsidRDefault="005542AE" w:rsidP="007C10F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5542AE" w:rsidRDefault="005542AE" w:rsidP="007C10F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CF2B15" w:rsidRPr="009C0FEB" w:rsidRDefault="000E0A2D" w:rsidP="007C10F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 xml:space="preserve">ИЗМЕНЕНИЯ И ДОПОЛНЕНИЯ № </w:t>
      </w:r>
      <w:r w:rsidRPr="009C0FEB">
        <w:rPr>
          <w:b/>
          <w:bCs/>
          <w:spacing w:val="30"/>
          <w:sz w:val="28"/>
          <w:szCs w:val="28"/>
        </w:rPr>
        <w:t>5</w:t>
      </w:r>
    </w:p>
    <w:p w:rsidR="00CF2B15" w:rsidRDefault="00CF2B15" w:rsidP="007C10F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CF2B15" w:rsidRDefault="00CF2B15" w:rsidP="007C10F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CF2B15" w:rsidRDefault="00CF2B15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</w:rPr>
      </w:pPr>
    </w:p>
    <w:p w:rsidR="00CF2B15" w:rsidRDefault="00CF2B15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ПРАВИЛА ДОВЕРИТЕЛЬНОГО УПРАВЛЕНИЯ</w:t>
      </w:r>
    </w:p>
    <w:p w:rsidR="00CF2B15" w:rsidRDefault="00CF2B15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F2B15" w:rsidRDefault="00CF2B15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ОТКРЫТЫМ ПАЕВЫМ ИНВЕСТИЦИОННЫМ ФОНДОМ </w:t>
      </w:r>
    </w:p>
    <w:p w:rsidR="00CF2B15" w:rsidRDefault="00CF2B15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F2B15" w:rsidRDefault="00CF2B15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ОБЛИГАЦИЙ</w:t>
      </w:r>
    </w:p>
    <w:p w:rsidR="00CF2B15" w:rsidRDefault="00CF2B15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F2B15" w:rsidRDefault="00CF2B15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«ГЕРФИН – фонд облигаций»</w:t>
      </w:r>
    </w:p>
    <w:p w:rsidR="00CF2B15" w:rsidRDefault="00CF2B15" w:rsidP="007C10F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CF2B15" w:rsidRDefault="00CF2B15" w:rsidP="007C10F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CF2B15" w:rsidRDefault="00CF2B15" w:rsidP="007C10F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 управлением</w:t>
      </w:r>
    </w:p>
    <w:p w:rsidR="00CF2B15" w:rsidRDefault="00CF2B15" w:rsidP="007C10F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Общества с ограниченной ответственностью</w:t>
      </w:r>
    </w:p>
    <w:p w:rsidR="00CF2B15" w:rsidRDefault="00CF2B15" w:rsidP="007C10F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«Управляющая компания «ГЕРФИН»</w:t>
      </w:r>
    </w:p>
    <w:p w:rsidR="00CF2B15" w:rsidRDefault="00CF2B15" w:rsidP="007C10F8">
      <w:pPr>
        <w:pStyle w:val="33"/>
        <w:keepNext/>
        <w:widowControl w:val="0"/>
        <w:suppressLineNumbers/>
        <w:suppressAutoHyphens/>
        <w:adjustRightInd w:val="0"/>
      </w:pPr>
    </w:p>
    <w:p w:rsidR="00CF2B15" w:rsidRDefault="00CF2B15" w:rsidP="007C10F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CF2B15" w:rsidRPr="007C10F8" w:rsidRDefault="00CF2B15"/>
    <w:tbl>
      <w:tblPr>
        <w:tblW w:w="5134" w:type="pct"/>
        <w:tblLook w:val="01E0"/>
      </w:tblPr>
      <w:tblGrid>
        <w:gridCol w:w="4865"/>
        <w:gridCol w:w="4963"/>
      </w:tblGrid>
      <w:tr w:rsidR="00CF2B15" w:rsidTr="00C9314F">
        <w:trPr>
          <w:trHeight w:val="731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5" w:rsidRPr="00E4421F" w:rsidRDefault="00CF2B15" w:rsidP="00E4421F">
            <w:pPr>
              <w:jc w:val="center"/>
              <w:rPr>
                <w:b/>
                <w:sz w:val="28"/>
                <w:szCs w:val="28"/>
              </w:rPr>
            </w:pPr>
            <w:r w:rsidRPr="00E4421F">
              <w:rPr>
                <w:b/>
                <w:sz w:val="28"/>
                <w:szCs w:val="28"/>
              </w:rPr>
              <w:t>Старая редакция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5" w:rsidRPr="0081418D" w:rsidRDefault="00CF2B15" w:rsidP="00E4421F">
            <w:pPr>
              <w:pStyle w:val="4"/>
              <w:ind w:left="-288"/>
              <w:rPr>
                <w:sz w:val="28"/>
                <w:szCs w:val="28"/>
              </w:rPr>
            </w:pPr>
            <w:r w:rsidRPr="0081418D">
              <w:rPr>
                <w:sz w:val="28"/>
                <w:szCs w:val="28"/>
              </w:rPr>
              <w:t>Новая редакция</w:t>
            </w:r>
          </w:p>
        </w:tc>
      </w:tr>
      <w:tr w:rsidR="00CF2B15" w:rsidTr="00C93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</w:trPr>
        <w:tc>
          <w:tcPr>
            <w:tcW w:w="2475" w:type="pct"/>
            <w:vAlign w:val="center"/>
          </w:tcPr>
          <w:p w:rsidR="00CF2B15" w:rsidRPr="008E04F2" w:rsidRDefault="00D73DB3" w:rsidP="00D73DB3">
            <w:pPr>
              <w:adjustRightInd w:val="0"/>
              <w:jc w:val="both"/>
            </w:pPr>
            <w:r w:rsidRPr="008E04F2">
              <w:t xml:space="preserve">           84. Инвестиционные паи могут обмениваться на инвестиционные паи Открытого паевого инвестиционного фонда смешанных инвестиций «ГЕРФИН - фонд смешанных инвестиций».</w:t>
            </w:r>
          </w:p>
        </w:tc>
        <w:tc>
          <w:tcPr>
            <w:tcW w:w="2525" w:type="pct"/>
            <w:vAlign w:val="center"/>
          </w:tcPr>
          <w:p w:rsidR="00CF2B15" w:rsidRPr="008E04F2" w:rsidRDefault="00D73DB3" w:rsidP="00D73DB3">
            <w:pPr>
              <w:adjustRightInd w:val="0"/>
              <w:jc w:val="both"/>
            </w:pPr>
            <w:r w:rsidRPr="008E04F2">
              <w:t xml:space="preserve">           84. Инвестиционные паи могут обмениваться на инвестиционные паи Открытого паевого инвестиционного фонда </w:t>
            </w:r>
            <w:r w:rsidRPr="00A44419">
              <w:rPr>
                <w:b/>
              </w:rPr>
              <w:t>фондов «ГЕРФИН - фонд фондов».</w:t>
            </w:r>
          </w:p>
        </w:tc>
      </w:tr>
      <w:tr w:rsidR="00CF2B15" w:rsidTr="00C9314F">
        <w:trPr>
          <w:trHeight w:val="2506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3" w:rsidRPr="008E04F2" w:rsidRDefault="00D73DB3" w:rsidP="00D73DB3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t xml:space="preserve">  98. За счет имущества, составляющего Фонд, выплачиваются вознаграждения:</w:t>
            </w:r>
          </w:p>
          <w:p w:rsidR="00D73DB3" w:rsidRPr="008E04F2" w:rsidRDefault="00D73DB3" w:rsidP="00D73DB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8E04F2">
              <w:t xml:space="preserve">управляющей компании в размере не более </w:t>
            </w:r>
            <w:r w:rsidRPr="00020784">
              <w:t>3,5</w:t>
            </w:r>
            <w:r w:rsidRPr="00020784">
              <w:rPr>
                <w:b/>
                <w:i/>
              </w:rPr>
              <w:t xml:space="preserve"> </w:t>
            </w:r>
            <w:r w:rsidRPr="00020784">
              <w:t>(Трёх целых пят</w:t>
            </w:r>
            <w:r>
              <w:t>и</w:t>
            </w:r>
            <w:r w:rsidRPr="00020784">
              <w:t xml:space="preserve"> десятых) процента</w:t>
            </w:r>
            <w:r w:rsidRPr="008E04F2">
              <w:t xml:space="preserve"> от среднегодовой стоимости чистых активов Фонда, определяемой в порядке, установленном нормативными актами</w:t>
            </w:r>
            <w:r>
              <w:t xml:space="preserve"> в сфере финансовых </w:t>
            </w:r>
            <w:r>
              <w:lastRenderedPageBreak/>
              <w:t>рынков</w:t>
            </w:r>
            <w:proofErr w:type="gramStart"/>
            <w:r w:rsidRPr="008E04F2" w:rsidDel="007619D2">
              <w:t xml:space="preserve"> </w:t>
            </w:r>
            <w:r w:rsidRPr="008E04F2">
              <w:t>;</w:t>
            </w:r>
            <w:proofErr w:type="gramEnd"/>
            <w:r w:rsidRPr="008E04F2">
              <w:t xml:space="preserve"> </w:t>
            </w:r>
          </w:p>
          <w:p w:rsidR="00CF2B15" w:rsidRPr="00DC1736" w:rsidRDefault="00D73DB3" w:rsidP="00D73DB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8E04F2">
              <w:t xml:space="preserve">а также специализированному депозитарию, регистратору, аудиторской организации в размере не более 1 </w:t>
            </w:r>
            <w:r w:rsidRPr="008E04F2">
              <w:rPr>
                <w:b/>
                <w:i/>
              </w:rPr>
              <w:t xml:space="preserve"> </w:t>
            </w:r>
            <w:r w:rsidRPr="008E04F2">
              <w:t>(Одного)</w:t>
            </w:r>
            <w:r w:rsidRPr="008E04F2">
              <w:rPr>
                <w:b/>
                <w:i/>
              </w:rPr>
              <w:t xml:space="preserve"> </w:t>
            </w:r>
            <w:r w:rsidRPr="008E04F2">
              <w:t>процента от среднегодовой стоимости чистых активов Фонда, определяемой в порядке, установленном нормативными актами</w:t>
            </w:r>
            <w:r>
              <w:t xml:space="preserve"> в сфере финансовых рынков</w:t>
            </w:r>
            <w:r w:rsidRPr="008E04F2">
              <w:t>.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5" w:rsidRPr="008E04F2" w:rsidRDefault="00CF2B15" w:rsidP="00DC1736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lastRenderedPageBreak/>
              <w:t xml:space="preserve">  98. За счет имущества, составляющего Фонд, выплачиваются вознаграждения:</w:t>
            </w:r>
          </w:p>
          <w:p w:rsidR="00CF2B15" w:rsidRPr="008E04F2" w:rsidRDefault="00CF2B15" w:rsidP="00DC173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8E04F2">
              <w:t xml:space="preserve">управляющей компании в размере не более </w:t>
            </w:r>
            <w:r w:rsidR="00D73DB3" w:rsidRPr="00A44419">
              <w:rPr>
                <w:b/>
              </w:rPr>
              <w:t>4</w:t>
            </w:r>
            <w:r w:rsidRPr="00A44419">
              <w:rPr>
                <w:b/>
              </w:rPr>
              <w:t>,</w:t>
            </w:r>
            <w:r w:rsidR="00D73DB3" w:rsidRPr="00A44419">
              <w:rPr>
                <w:b/>
              </w:rPr>
              <w:t>0</w:t>
            </w:r>
            <w:r w:rsidRPr="00A44419">
              <w:rPr>
                <w:b/>
                <w:i/>
              </w:rPr>
              <w:t xml:space="preserve"> </w:t>
            </w:r>
            <w:r w:rsidRPr="00A44419">
              <w:rPr>
                <w:b/>
              </w:rPr>
              <w:t>(</w:t>
            </w:r>
            <w:r w:rsidR="00D73DB3" w:rsidRPr="00A44419">
              <w:rPr>
                <w:b/>
              </w:rPr>
              <w:t>Четырёх</w:t>
            </w:r>
            <w:r w:rsidRPr="00A44419">
              <w:rPr>
                <w:b/>
              </w:rPr>
              <w:t>)</w:t>
            </w:r>
            <w:r w:rsidRPr="00020784">
              <w:t xml:space="preserve"> процент</w:t>
            </w:r>
            <w:r w:rsidR="00B31B0D">
              <w:t>ов</w:t>
            </w:r>
            <w:r w:rsidRPr="008E04F2">
              <w:t xml:space="preserve"> от среднегодовой стоимости чистых активов Фонда, определяемой в порядке, установленном нормативными актами</w:t>
            </w:r>
            <w:r>
              <w:t xml:space="preserve"> в сфере финансовых рынков</w:t>
            </w:r>
            <w:r w:rsidRPr="008E04F2">
              <w:t xml:space="preserve">; </w:t>
            </w:r>
            <w:proofErr w:type="gramEnd"/>
          </w:p>
          <w:p w:rsidR="00CF2B15" w:rsidRDefault="00CF2B15" w:rsidP="00D73DB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8E04F2">
              <w:lastRenderedPageBreak/>
              <w:t xml:space="preserve">а также </w:t>
            </w:r>
            <w:r w:rsidR="00D73DB3">
              <w:t>С</w:t>
            </w:r>
            <w:r w:rsidRPr="008E04F2">
              <w:t xml:space="preserve">пециализированному депозитарию, </w:t>
            </w:r>
            <w:r w:rsidR="00D73DB3">
              <w:t>Р</w:t>
            </w:r>
            <w:r w:rsidRPr="008E04F2">
              <w:t xml:space="preserve">егистратору, </w:t>
            </w:r>
            <w:r w:rsidR="00D73DB3">
              <w:t>А</w:t>
            </w:r>
            <w:r w:rsidRPr="008E04F2">
              <w:t xml:space="preserve">удиторской организации в размере не более 1 </w:t>
            </w:r>
            <w:r w:rsidRPr="008E04F2">
              <w:rPr>
                <w:b/>
                <w:i/>
              </w:rPr>
              <w:t xml:space="preserve"> </w:t>
            </w:r>
            <w:r w:rsidRPr="008E04F2">
              <w:t>(Одного)</w:t>
            </w:r>
            <w:r w:rsidRPr="008E04F2">
              <w:rPr>
                <w:b/>
                <w:i/>
              </w:rPr>
              <w:t xml:space="preserve"> </w:t>
            </w:r>
            <w:r w:rsidRPr="008E04F2">
              <w:t>процента от среднегодовой стоимости чистых активов Фонда, определяемой в порядке, установленном нормативными актами</w:t>
            </w:r>
            <w:r>
              <w:t xml:space="preserve"> в сфере финансовых рынков</w:t>
            </w:r>
            <w:r w:rsidRPr="008E04F2">
              <w:t>.</w:t>
            </w:r>
          </w:p>
        </w:tc>
      </w:tr>
      <w:tr w:rsidR="009C0FEB" w:rsidTr="00C9314F">
        <w:trPr>
          <w:trHeight w:val="731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lastRenderedPageBreak/>
              <w:t xml:space="preserve">101.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t>1) 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t>2)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t>4)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t xml:space="preserve">5) расходы по оплате услуг клиринговых организаций по определению </w:t>
            </w:r>
            <w:r w:rsidRPr="008E04F2">
              <w:lastRenderedPageBreak/>
              <w:t>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8E04F2">
              <w:t>8)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</w:t>
            </w:r>
            <w:proofErr w:type="gramEnd"/>
            <w:r w:rsidRPr="008E04F2">
              <w:t xml:space="preserve"> владельцев инвестиционных паев по договорам доверительного управления имуществом Фонда;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t>9) расходы, связанные с нотариальным свидетельствованием верности копии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t>10) расходы, связанные с оплатой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Фонда.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540"/>
              <w:jc w:val="both"/>
            </w:pPr>
            <w:bookmarkStart w:id="0" w:name="p_84"/>
            <w:bookmarkEnd w:id="0"/>
            <w:r w:rsidRPr="008E04F2">
              <w:t xml:space="preserve">Управляющая компания не вправе возмещать из имущества, составляющего </w:t>
            </w:r>
            <w:r w:rsidRPr="008E04F2">
              <w:lastRenderedPageBreak/>
              <w:t xml:space="preserve">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</w:t>
            </w:r>
            <w:hyperlink r:id="rId10" w:history="1">
              <w:r w:rsidRPr="008E04F2">
                <w:t>законом</w:t>
              </w:r>
            </w:hyperlink>
            <w:r w:rsidRPr="008E04F2">
              <w:t xml:space="preserve"> "Об инвестиционных фондах".</w:t>
            </w:r>
          </w:p>
          <w:p w:rsidR="009C0FEB" w:rsidRPr="008E04F2" w:rsidRDefault="009C0FEB" w:rsidP="009C0FEB">
            <w:pPr>
              <w:ind w:firstLine="720"/>
              <w:jc w:val="both"/>
            </w:pPr>
            <w:proofErr w:type="gramStart"/>
            <w:r w:rsidRPr="008E04F2"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1 (один) процент </w:t>
            </w:r>
            <w:r w:rsidRPr="008E04F2">
              <w:rPr>
                <w:rFonts w:eastAsia="MS Mincho"/>
              </w:rPr>
              <w:t>(с учетом налога на добавленную стоимость)</w:t>
            </w:r>
            <w:r w:rsidRPr="008E04F2">
              <w:t xml:space="preserve"> среднегодовой стоимости чистых активов Фонда, определяемой в порядке, установленном нормативными актами</w:t>
            </w:r>
            <w:r w:rsidRPr="00DC5242">
              <w:t xml:space="preserve"> </w:t>
            </w:r>
            <w:r>
              <w:t>в сфере финансовых рынков</w:t>
            </w:r>
            <w:r w:rsidRPr="008E04F2">
              <w:t>.</w:t>
            </w:r>
            <w:proofErr w:type="gramEnd"/>
          </w:p>
          <w:p w:rsidR="009C0FEB" w:rsidRPr="008E04F2" w:rsidRDefault="009C0FEB" w:rsidP="00020784">
            <w:pPr>
              <w:ind w:firstLine="720"/>
              <w:jc w:val="both"/>
            </w:pP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lastRenderedPageBreak/>
              <w:t xml:space="preserve">101.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t>1) оплата услуг организаций</w:t>
            </w:r>
            <w:r>
              <w:t>,</w:t>
            </w:r>
            <w:r>
              <w:rPr>
                <w:b/>
              </w:rPr>
              <w:t xml:space="preserve"> индивидуальных предпринимателей</w:t>
            </w:r>
            <w:r w:rsidRPr="008E04F2">
              <w:t xml:space="preserve"> по совершению сделок за счет имущества Фонда от имени этих организаций</w:t>
            </w:r>
            <w:r>
              <w:t>,</w:t>
            </w:r>
            <w:r w:rsidRPr="008E04F2">
              <w:t xml:space="preserve"> </w:t>
            </w:r>
            <w:r>
              <w:rPr>
                <w:b/>
              </w:rPr>
              <w:t>индивидуальных предпринимателей</w:t>
            </w:r>
            <w:r w:rsidRPr="002E229C">
              <w:t xml:space="preserve"> </w:t>
            </w:r>
            <w:r w:rsidRPr="008E04F2">
              <w:t>или от имени управляющей компании;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8E04F2">
              <w:t xml:space="preserve">2) оплата услуг кредитных организаций по открытию отдельного банковского счета (счетов), предназначенного </w:t>
            </w:r>
            <w:r w:rsidRPr="009E6AA5">
              <w:rPr>
                <w:b/>
              </w:rPr>
              <w:t>(предназначенных)</w:t>
            </w:r>
            <w:r>
              <w:rPr>
                <w:b/>
              </w:rPr>
              <w:t xml:space="preserve"> </w:t>
            </w:r>
            <w:r w:rsidRPr="008E04F2">
              <w:t>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  <w:proofErr w:type="gramEnd"/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8E04F2"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</w:t>
            </w:r>
            <w:r w:rsidRPr="009E6AA5">
              <w:rPr>
                <w:b/>
              </w:rPr>
              <w:t>, а также расходы специализированного депозитария, связанные с оплатой услуг кредитных организаций по осуществлению</w:t>
            </w:r>
            <w:proofErr w:type="gramEnd"/>
            <w:r w:rsidRPr="009E6AA5">
              <w:rPr>
                <w:b/>
              </w:rPr>
              <w:t xml:space="preserve"> функций агента валютного контроля при проведении операций с денежными средствами, поступившими специализированному депозитарию и </w:t>
            </w:r>
            <w:r w:rsidRPr="009E6AA5">
              <w:rPr>
                <w:b/>
              </w:rPr>
              <w:lastRenderedPageBreak/>
              <w:t>подлежащими перечислению в состав имущества Фона, а также по переводу этих денежных средств</w:t>
            </w:r>
            <w:r w:rsidRPr="008E04F2">
              <w:t>;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t xml:space="preserve">4) расходы, связанные с учетом и (или) хранением имущества Фонда, за исключением расходов, связанных с учетом и (или) хранением имущества Фонда, </w:t>
            </w:r>
            <w:r w:rsidRPr="009E6AA5">
              <w:rPr>
                <w:b/>
              </w:rPr>
              <w:t>осуществляемых</w:t>
            </w:r>
            <w:r w:rsidRPr="008E04F2">
              <w:t xml:space="preserve"> специализированным депозитарием;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8E04F2">
              <w:t>8) расходы, возникшие в связи с участием управляющей компании в судебных спорах в качестве истца, ответчика</w:t>
            </w:r>
            <w:r>
              <w:t xml:space="preserve">, </w:t>
            </w:r>
            <w:r>
              <w:rPr>
                <w:b/>
              </w:rPr>
              <w:t>заявителя</w:t>
            </w:r>
            <w:r w:rsidRPr="008E04F2">
              <w:t xml:space="preserve"> или третьего лица по искам </w:t>
            </w:r>
            <w:r>
              <w:rPr>
                <w:b/>
              </w:rPr>
              <w:t xml:space="preserve">и заявлениям </w:t>
            </w:r>
            <w:r w:rsidRPr="008E04F2">
              <w:t>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</w:t>
            </w:r>
            <w:proofErr w:type="gramEnd"/>
            <w:r w:rsidRPr="008E04F2">
              <w:t xml:space="preserve"> с нарушением прав владельцев инвестиционных паев по договорам доверительного управления имуществом Фонда;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t xml:space="preserve">9) расходы, связанные с нотариальным свидетельствованием верности копии Правил, иных документов и подлинности подписи на документах, необходимых для осуществления доверительного управления имуществом Фонда, а также </w:t>
            </w:r>
            <w:r>
              <w:t xml:space="preserve">с </w:t>
            </w:r>
            <w:r w:rsidRPr="008E04F2">
              <w:t xml:space="preserve">нотариальным удостоверением сделок с имуществом Фонда или сделок по приобретению имущества в состав </w:t>
            </w:r>
            <w:r w:rsidRPr="009E6AA5">
              <w:rPr>
                <w:b/>
              </w:rPr>
              <w:t>имущества</w:t>
            </w:r>
            <w:r>
              <w:t xml:space="preserve"> </w:t>
            </w:r>
            <w:r w:rsidRPr="008E04F2">
              <w:t xml:space="preserve">Фонда, требующих такого </w:t>
            </w:r>
            <w:r w:rsidRPr="008E04F2">
              <w:lastRenderedPageBreak/>
              <w:t>удостоверения;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720"/>
              <w:jc w:val="both"/>
            </w:pPr>
            <w:r w:rsidRPr="008E04F2">
              <w:t xml:space="preserve">10) расходы, связанные с </w:t>
            </w:r>
            <w:r w:rsidRPr="00A44419">
              <w:rPr>
                <w:b/>
              </w:rPr>
              <w:t>уплатой</w:t>
            </w:r>
            <w:r w:rsidRPr="008E04F2">
              <w:t xml:space="preserve">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</w:t>
            </w:r>
            <w:r>
              <w:rPr>
                <w:b/>
              </w:rPr>
              <w:t xml:space="preserve">имущества </w:t>
            </w:r>
            <w:r w:rsidRPr="008E04F2">
              <w:t>Фонда.</w:t>
            </w:r>
          </w:p>
          <w:p w:rsidR="009C0FEB" w:rsidRPr="008E04F2" w:rsidRDefault="009C0FEB" w:rsidP="009C0FEB">
            <w:pPr>
              <w:autoSpaceDE w:val="0"/>
              <w:autoSpaceDN w:val="0"/>
              <w:adjustRightInd w:val="0"/>
              <w:ind w:firstLine="540"/>
              <w:jc w:val="both"/>
            </w:pPr>
            <w:r w:rsidRPr="008E04F2">
              <w:t xml:space="preserve"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</w:t>
            </w:r>
            <w:hyperlink r:id="rId11" w:history="1">
              <w:r w:rsidRPr="008E04F2">
                <w:t>законом</w:t>
              </w:r>
            </w:hyperlink>
            <w:r w:rsidRPr="008E04F2">
              <w:t xml:space="preserve"> "Об инвестиционных фондах".</w:t>
            </w:r>
          </w:p>
          <w:p w:rsidR="009C0FEB" w:rsidRPr="008E04F2" w:rsidRDefault="009C0FEB" w:rsidP="009C0FEB">
            <w:pPr>
              <w:ind w:firstLine="720"/>
              <w:jc w:val="both"/>
            </w:pPr>
            <w:proofErr w:type="gramStart"/>
            <w:r w:rsidRPr="008E04F2"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1 (один) процент </w:t>
            </w:r>
            <w:r w:rsidRPr="008E04F2">
              <w:rPr>
                <w:rFonts w:eastAsia="MS Mincho"/>
              </w:rPr>
              <w:t>(с учетом налога на добавленную стоимость)</w:t>
            </w:r>
            <w:r w:rsidRPr="008E04F2">
              <w:t xml:space="preserve"> среднегодовой стоимости чистых активов Фонда, определяемой в порядке, установленном нормативными актами</w:t>
            </w:r>
            <w:r w:rsidRPr="00DC5242">
              <w:t xml:space="preserve"> </w:t>
            </w:r>
            <w:r>
              <w:t>в сфере финансовых рынков</w:t>
            </w:r>
            <w:r w:rsidRPr="008E04F2">
              <w:t>.</w:t>
            </w:r>
            <w:proofErr w:type="gramEnd"/>
          </w:p>
          <w:p w:rsidR="009C0FEB" w:rsidRPr="008E04F2" w:rsidRDefault="009C0FEB" w:rsidP="00D73DB3">
            <w:pPr>
              <w:ind w:firstLine="720"/>
              <w:jc w:val="both"/>
            </w:pPr>
          </w:p>
        </w:tc>
      </w:tr>
      <w:tr w:rsidR="00CF2B15" w:rsidTr="00C9314F">
        <w:trPr>
          <w:trHeight w:val="731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5" w:rsidRPr="00DC1736" w:rsidRDefault="00D73DB3" w:rsidP="00020784">
            <w:pPr>
              <w:ind w:firstLine="720"/>
              <w:jc w:val="both"/>
            </w:pPr>
            <w:r w:rsidRPr="008E04F2">
              <w:lastRenderedPageBreak/>
              <w:t xml:space="preserve">102. Расходы, не предусмотренные пунктом 101 Правил, а также вознаграждения в части превышения размеров, указанных в пункте 98 Правил, или </w:t>
            </w:r>
            <w:r w:rsidRPr="00020784">
              <w:t>4,</w:t>
            </w:r>
            <w:r>
              <w:t>5</w:t>
            </w:r>
            <w:r w:rsidRPr="00020784">
              <w:t xml:space="preserve"> (Четырёх целых </w:t>
            </w:r>
            <w:r>
              <w:t>пяти</w:t>
            </w:r>
            <w:r w:rsidRPr="00020784">
              <w:t xml:space="preserve"> десятых)</w:t>
            </w:r>
            <w:r w:rsidRPr="008E04F2">
              <w:t xml:space="preserve"> процентов среднегодовой стоимости чистых активов Фонда, определяемой в порядке, установленном нормативными актами</w:t>
            </w:r>
            <w:r>
              <w:t xml:space="preserve"> в сфере финансовых рынков</w:t>
            </w:r>
            <w:r w:rsidRPr="008E04F2">
              <w:t>, выплачиваются управляющей компанией за счет своих собственных средств.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5" w:rsidRDefault="00CF2B15" w:rsidP="00D73DB3">
            <w:pPr>
              <w:ind w:firstLine="720"/>
              <w:jc w:val="both"/>
            </w:pPr>
            <w:r w:rsidRPr="008E04F2">
              <w:t xml:space="preserve">102. Расходы, не предусмотренные пунктом 101 Правил, а также вознаграждения в части превышения размеров, указанных в пункте 98 Правил, или </w:t>
            </w:r>
            <w:r w:rsidR="00D73DB3" w:rsidRPr="00A44419">
              <w:rPr>
                <w:b/>
              </w:rPr>
              <w:t>5</w:t>
            </w:r>
            <w:r w:rsidRPr="00A44419">
              <w:rPr>
                <w:b/>
              </w:rPr>
              <w:t>,</w:t>
            </w:r>
            <w:r w:rsidR="00D73DB3" w:rsidRPr="00A44419">
              <w:rPr>
                <w:b/>
              </w:rPr>
              <w:t>0</w:t>
            </w:r>
            <w:r w:rsidRPr="00A44419">
              <w:rPr>
                <w:b/>
              </w:rPr>
              <w:t xml:space="preserve"> (</w:t>
            </w:r>
            <w:r w:rsidR="00D73DB3" w:rsidRPr="00A44419">
              <w:rPr>
                <w:b/>
              </w:rPr>
              <w:t>Пяти</w:t>
            </w:r>
            <w:r w:rsidRPr="00A44419">
              <w:rPr>
                <w:b/>
              </w:rPr>
              <w:t>)</w:t>
            </w:r>
            <w:r w:rsidRPr="008E04F2">
              <w:t xml:space="preserve"> процентов среднегодовой стоимости чистых активов Фонда, определяемой в порядке, установленном нормативными актами</w:t>
            </w:r>
            <w:r>
              <w:t xml:space="preserve"> в сфере финансовых рынков</w:t>
            </w:r>
            <w:r w:rsidRPr="008E04F2">
              <w:t>, выплачиваются управляющей компанией за счет своих собственных средств.</w:t>
            </w:r>
          </w:p>
        </w:tc>
      </w:tr>
    </w:tbl>
    <w:p w:rsidR="00CF2B15" w:rsidRDefault="00CF2B15" w:rsidP="003A3414">
      <w:pPr>
        <w:pStyle w:val="a4"/>
      </w:pPr>
    </w:p>
    <w:p w:rsidR="00CF2B15" w:rsidRDefault="00CF2B15" w:rsidP="003A3414">
      <w:pPr>
        <w:pStyle w:val="a4"/>
      </w:pPr>
    </w:p>
    <w:p w:rsidR="00D73DB3" w:rsidRDefault="00D73DB3" w:rsidP="003A3414">
      <w:pPr>
        <w:pStyle w:val="a4"/>
      </w:pPr>
    </w:p>
    <w:p w:rsidR="00CF2B15" w:rsidRDefault="00CF2B15" w:rsidP="003A3414">
      <w:pPr>
        <w:pStyle w:val="a4"/>
      </w:pPr>
      <w:r>
        <w:t>Генеральный директор</w:t>
      </w:r>
      <w:r>
        <w:tab/>
      </w:r>
      <w:r>
        <w:tab/>
      </w:r>
    </w:p>
    <w:p w:rsidR="00CF2B15" w:rsidRDefault="00CF2B15" w:rsidP="00C71319">
      <w:pPr>
        <w:pStyle w:val="a4"/>
      </w:pPr>
      <w:r>
        <w:t xml:space="preserve">ООО «УК «ГЕРФИН»                                    </w:t>
      </w:r>
      <w:r>
        <w:tab/>
      </w:r>
      <w:r>
        <w:tab/>
      </w:r>
      <w:r>
        <w:tab/>
        <w:t xml:space="preserve">               /Герасимов С.Я./</w:t>
      </w:r>
    </w:p>
    <w:sectPr w:rsidR="00CF2B15" w:rsidSect="00831519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C5" w:rsidRDefault="00441DC5">
      <w:r>
        <w:separator/>
      </w:r>
    </w:p>
  </w:endnote>
  <w:endnote w:type="continuationSeparator" w:id="0">
    <w:p w:rsidR="00441DC5" w:rsidRDefault="0044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40" w:rsidRDefault="00E157C4" w:rsidP="007C10F8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5654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3739">
      <w:rPr>
        <w:rStyle w:val="ac"/>
        <w:noProof/>
      </w:rPr>
      <w:t>4</w:t>
    </w:r>
    <w:r>
      <w:rPr>
        <w:rStyle w:val="ac"/>
      </w:rPr>
      <w:fldChar w:fldCharType="end"/>
    </w:r>
  </w:p>
  <w:p w:rsidR="00456540" w:rsidRDefault="00456540" w:rsidP="003A341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C5" w:rsidRDefault="00441DC5">
      <w:r>
        <w:separator/>
      </w:r>
    </w:p>
  </w:footnote>
  <w:footnote w:type="continuationSeparator" w:id="0">
    <w:p w:rsidR="00441DC5" w:rsidRDefault="00441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2CA"/>
    <w:multiLevelType w:val="hybridMultilevel"/>
    <w:tmpl w:val="F754F5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0A77A3"/>
    <w:multiLevelType w:val="hybridMultilevel"/>
    <w:tmpl w:val="0E6C9D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064F37"/>
    <w:multiLevelType w:val="hybridMultilevel"/>
    <w:tmpl w:val="938A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831FD"/>
    <w:multiLevelType w:val="hybridMultilevel"/>
    <w:tmpl w:val="DAF8EF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0B0D79"/>
    <w:multiLevelType w:val="hybridMultilevel"/>
    <w:tmpl w:val="0DACC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D50AE7"/>
    <w:multiLevelType w:val="hybridMultilevel"/>
    <w:tmpl w:val="5AA27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09AA"/>
    <w:rsid w:val="00020784"/>
    <w:rsid w:val="00033CEE"/>
    <w:rsid w:val="00062CF0"/>
    <w:rsid w:val="00067BC5"/>
    <w:rsid w:val="00077556"/>
    <w:rsid w:val="00081A9A"/>
    <w:rsid w:val="00083973"/>
    <w:rsid w:val="00091C4B"/>
    <w:rsid w:val="00093888"/>
    <w:rsid w:val="000A6F33"/>
    <w:rsid w:val="000C09AA"/>
    <w:rsid w:val="000C0BA9"/>
    <w:rsid w:val="000C758B"/>
    <w:rsid w:val="000D7A62"/>
    <w:rsid w:val="000E0A2D"/>
    <w:rsid w:val="00120CF3"/>
    <w:rsid w:val="001223F0"/>
    <w:rsid w:val="00157650"/>
    <w:rsid w:val="00164EDF"/>
    <w:rsid w:val="00176DB8"/>
    <w:rsid w:val="00182BD3"/>
    <w:rsid w:val="001D220A"/>
    <w:rsid w:val="001D3280"/>
    <w:rsid w:val="001E1448"/>
    <w:rsid w:val="001E4BA6"/>
    <w:rsid w:val="001E79F9"/>
    <w:rsid w:val="001F6E31"/>
    <w:rsid w:val="0020272F"/>
    <w:rsid w:val="00222598"/>
    <w:rsid w:val="0022402F"/>
    <w:rsid w:val="00246BC4"/>
    <w:rsid w:val="0026482B"/>
    <w:rsid w:val="00266E2C"/>
    <w:rsid w:val="0026781E"/>
    <w:rsid w:val="002737AE"/>
    <w:rsid w:val="002A06FB"/>
    <w:rsid w:val="002A7CC5"/>
    <w:rsid w:val="002B5018"/>
    <w:rsid w:val="002E229C"/>
    <w:rsid w:val="003170B3"/>
    <w:rsid w:val="00321230"/>
    <w:rsid w:val="003309E5"/>
    <w:rsid w:val="0034010B"/>
    <w:rsid w:val="00363554"/>
    <w:rsid w:val="00386F76"/>
    <w:rsid w:val="00390DB6"/>
    <w:rsid w:val="003A3414"/>
    <w:rsid w:val="003B0F13"/>
    <w:rsid w:val="003D75F9"/>
    <w:rsid w:val="003E2FD1"/>
    <w:rsid w:val="00410A8E"/>
    <w:rsid w:val="00411686"/>
    <w:rsid w:val="00437EFC"/>
    <w:rsid w:val="00441DC5"/>
    <w:rsid w:val="00456540"/>
    <w:rsid w:val="0046080C"/>
    <w:rsid w:val="00465FFE"/>
    <w:rsid w:val="00473247"/>
    <w:rsid w:val="004954A8"/>
    <w:rsid w:val="00496AC8"/>
    <w:rsid w:val="0049740E"/>
    <w:rsid w:val="004B5261"/>
    <w:rsid w:val="004E2390"/>
    <w:rsid w:val="004E6F59"/>
    <w:rsid w:val="004F7CC7"/>
    <w:rsid w:val="00502CC7"/>
    <w:rsid w:val="00505E0B"/>
    <w:rsid w:val="00524825"/>
    <w:rsid w:val="00531882"/>
    <w:rsid w:val="00543B51"/>
    <w:rsid w:val="005542AE"/>
    <w:rsid w:val="005707CE"/>
    <w:rsid w:val="00587A35"/>
    <w:rsid w:val="00590BD0"/>
    <w:rsid w:val="00595AEC"/>
    <w:rsid w:val="00597187"/>
    <w:rsid w:val="005A2E05"/>
    <w:rsid w:val="005A7605"/>
    <w:rsid w:val="005C1175"/>
    <w:rsid w:val="005C14AC"/>
    <w:rsid w:val="005C5F00"/>
    <w:rsid w:val="005E07FE"/>
    <w:rsid w:val="005F11F9"/>
    <w:rsid w:val="005F756F"/>
    <w:rsid w:val="0061388C"/>
    <w:rsid w:val="00614DC4"/>
    <w:rsid w:val="00620DB9"/>
    <w:rsid w:val="006633F5"/>
    <w:rsid w:val="00665F63"/>
    <w:rsid w:val="00680654"/>
    <w:rsid w:val="00693647"/>
    <w:rsid w:val="006E48CE"/>
    <w:rsid w:val="00700353"/>
    <w:rsid w:val="00705AB0"/>
    <w:rsid w:val="00705D33"/>
    <w:rsid w:val="00724698"/>
    <w:rsid w:val="00731EBD"/>
    <w:rsid w:val="00747140"/>
    <w:rsid w:val="007535DF"/>
    <w:rsid w:val="00755478"/>
    <w:rsid w:val="007619D2"/>
    <w:rsid w:val="0076244D"/>
    <w:rsid w:val="007637B3"/>
    <w:rsid w:val="0078103F"/>
    <w:rsid w:val="007953C8"/>
    <w:rsid w:val="007A2AF9"/>
    <w:rsid w:val="007C0B82"/>
    <w:rsid w:val="007C10F8"/>
    <w:rsid w:val="007D4911"/>
    <w:rsid w:val="007D70C2"/>
    <w:rsid w:val="007F4AA6"/>
    <w:rsid w:val="007F4E53"/>
    <w:rsid w:val="008041CB"/>
    <w:rsid w:val="0081418D"/>
    <w:rsid w:val="00814798"/>
    <w:rsid w:val="00814EF7"/>
    <w:rsid w:val="00831519"/>
    <w:rsid w:val="0083298D"/>
    <w:rsid w:val="00832A53"/>
    <w:rsid w:val="00866231"/>
    <w:rsid w:val="0089147E"/>
    <w:rsid w:val="008A17FD"/>
    <w:rsid w:val="008B4127"/>
    <w:rsid w:val="008C0449"/>
    <w:rsid w:val="008C1AE3"/>
    <w:rsid w:val="008C258B"/>
    <w:rsid w:val="008D6752"/>
    <w:rsid w:val="008E04F2"/>
    <w:rsid w:val="00931626"/>
    <w:rsid w:val="00933B71"/>
    <w:rsid w:val="00947C1F"/>
    <w:rsid w:val="009524C3"/>
    <w:rsid w:val="00960F94"/>
    <w:rsid w:val="00974C83"/>
    <w:rsid w:val="009A56D3"/>
    <w:rsid w:val="009C0FEB"/>
    <w:rsid w:val="009C4E8B"/>
    <w:rsid w:val="009C79CE"/>
    <w:rsid w:val="009E6293"/>
    <w:rsid w:val="009E6AA5"/>
    <w:rsid w:val="009E6D67"/>
    <w:rsid w:val="00A00D2C"/>
    <w:rsid w:val="00A254F3"/>
    <w:rsid w:val="00A44419"/>
    <w:rsid w:val="00A5148B"/>
    <w:rsid w:val="00A516EF"/>
    <w:rsid w:val="00A73127"/>
    <w:rsid w:val="00A849EC"/>
    <w:rsid w:val="00A9138B"/>
    <w:rsid w:val="00AA215C"/>
    <w:rsid w:val="00AC1323"/>
    <w:rsid w:val="00AD50BE"/>
    <w:rsid w:val="00AD6953"/>
    <w:rsid w:val="00B00BA9"/>
    <w:rsid w:val="00B14873"/>
    <w:rsid w:val="00B17019"/>
    <w:rsid w:val="00B31B0D"/>
    <w:rsid w:val="00B3253A"/>
    <w:rsid w:val="00B333F0"/>
    <w:rsid w:val="00B33A70"/>
    <w:rsid w:val="00B4269F"/>
    <w:rsid w:val="00B61DF2"/>
    <w:rsid w:val="00B715D7"/>
    <w:rsid w:val="00B871AC"/>
    <w:rsid w:val="00BA35CE"/>
    <w:rsid w:val="00BC1979"/>
    <w:rsid w:val="00BD64E7"/>
    <w:rsid w:val="00BF7AAF"/>
    <w:rsid w:val="00C0789B"/>
    <w:rsid w:val="00C07A2D"/>
    <w:rsid w:val="00C1046A"/>
    <w:rsid w:val="00C323A3"/>
    <w:rsid w:val="00C356C2"/>
    <w:rsid w:val="00C411DE"/>
    <w:rsid w:val="00C47CB8"/>
    <w:rsid w:val="00C50AE8"/>
    <w:rsid w:val="00C56A0E"/>
    <w:rsid w:val="00C5784C"/>
    <w:rsid w:val="00C656CF"/>
    <w:rsid w:val="00C6692A"/>
    <w:rsid w:val="00C71319"/>
    <w:rsid w:val="00C73ADC"/>
    <w:rsid w:val="00C740F5"/>
    <w:rsid w:val="00C77D79"/>
    <w:rsid w:val="00C8362D"/>
    <w:rsid w:val="00C9314F"/>
    <w:rsid w:val="00C94FDD"/>
    <w:rsid w:val="00CB59D0"/>
    <w:rsid w:val="00CC13F8"/>
    <w:rsid w:val="00CE0B7D"/>
    <w:rsid w:val="00CF05A6"/>
    <w:rsid w:val="00CF2B15"/>
    <w:rsid w:val="00D11FE8"/>
    <w:rsid w:val="00D33198"/>
    <w:rsid w:val="00D578A8"/>
    <w:rsid w:val="00D65290"/>
    <w:rsid w:val="00D658CF"/>
    <w:rsid w:val="00D7184D"/>
    <w:rsid w:val="00D718FE"/>
    <w:rsid w:val="00D73DB3"/>
    <w:rsid w:val="00D86F3D"/>
    <w:rsid w:val="00D9642F"/>
    <w:rsid w:val="00DB3B33"/>
    <w:rsid w:val="00DB6DDA"/>
    <w:rsid w:val="00DC1736"/>
    <w:rsid w:val="00DC3739"/>
    <w:rsid w:val="00DC5242"/>
    <w:rsid w:val="00DD09D3"/>
    <w:rsid w:val="00DD0F1C"/>
    <w:rsid w:val="00DD192A"/>
    <w:rsid w:val="00DE3C71"/>
    <w:rsid w:val="00DF0B98"/>
    <w:rsid w:val="00DF4729"/>
    <w:rsid w:val="00DF5523"/>
    <w:rsid w:val="00E02439"/>
    <w:rsid w:val="00E02784"/>
    <w:rsid w:val="00E11486"/>
    <w:rsid w:val="00E156E3"/>
    <w:rsid w:val="00E157C4"/>
    <w:rsid w:val="00E24374"/>
    <w:rsid w:val="00E4421F"/>
    <w:rsid w:val="00E5494A"/>
    <w:rsid w:val="00E74E75"/>
    <w:rsid w:val="00E806F6"/>
    <w:rsid w:val="00E81BEB"/>
    <w:rsid w:val="00E8699B"/>
    <w:rsid w:val="00E91199"/>
    <w:rsid w:val="00EB3E24"/>
    <w:rsid w:val="00EB46CB"/>
    <w:rsid w:val="00EC1224"/>
    <w:rsid w:val="00EC1AD5"/>
    <w:rsid w:val="00EF139D"/>
    <w:rsid w:val="00EF179A"/>
    <w:rsid w:val="00F01B91"/>
    <w:rsid w:val="00F3104F"/>
    <w:rsid w:val="00F46A65"/>
    <w:rsid w:val="00F52C8A"/>
    <w:rsid w:val="00F63828"/>
    <w:rsid w:val="00F641D6"/>
    <w:rsid w:val="00F73CFC"/>
    <w:rsid w:val="00F925B3"/>
    <w:rsid w:val="00FA107B"/>
    <w:rsid w:val="00FB0CC6"/>
    <w:rsid w:val="00FB2563"/>
    <w:rsid w:val="00FB7AAC"/>
    <w:rsid w:val="00FD794F"/>
    <w:rsid w:val="00F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5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75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75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09AA"/>
    <w:pPr>
      <w:keepNext/>
      <w:ind w:firstLine="284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0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40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402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402F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0C09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0C09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2402F"/>
    <w:rPr>
      <w:rFonts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01B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2402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01B9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86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402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5F756F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2402F"/>
    <w:rPr>
      <w:rFonts w:cs="Times New Roman"/>
      <w:sz w:val="16"/>
      <w:szCs w:val="16"/>
    </w:rPr>
  </w:style>
  <w:style w:type="paragraph" w:styleId="a8">
    <w:name w:val="Block Text"/>
    <w:basedOn w:val="a"/>
    <w:uiPriority w:val="99"/>
    <w:rsid w:val="005F756F"/>
    <w:pPr>
      <w:ind w:left="142" w:right="33" w:firstLine="567"/>
      <w:jc w:val="both"/>
    </w:pPr>
    <w:rPr>
      <w:sz w:val="20"/>
      <w:szCs w:val="20"/>
    </w:rPr>
  </w:style>
  <w:style w:type="paragraph" w:styleId="a9">
    <w:name w:val="Normal (Web)"/>
    <w:basedOn w:val="a"/>
    <w:uiPriority w:val="99"/>
    <w:rsid w:val="005F756F"/>
    <w:pPr>
      <w:spacing w:before="100" w:after="100"/>
    </w:pPr>
    <w:rPr>
      <w:rFonts w:ascii="Verdana" w:hAnsi="Verdana" w:cs="Verdana"/>
      <w:color w:val="000000"/>
      <w:sz w:val="21"/>
      <w:szCs w:val="21"/>
    </w:rPr>
  </w:style>
  <w:style w:type="paragraph" w:customStyle="1" w:styleId="fieldcomment">
    <w:name w:val="field_comment"/>
    <w:basedOn w:val="a"/>
    <w:uiPriority w:val="99"/>
    <w:rsid w:val="005F756F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5F756F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5F756F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5F756F"/>
    <w:pPr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paragraph" w:customStyle="1" w:styleId="fielddata">
    <w:name w:val="field_data"/>
    <w:basedOn w:val="a"/>
    <w:uiPriority w:val="99"/>
    <w:rsid w:val="005F756F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5F756F"/>
    <w:rPr>
      <w:rFonts w:ascii="Times New Roman" w:hAnsi="Times New Roman"/>
      <w:sz w:val="9"/>
    </w:rPr>
  </w:style>
  <w:style w:type="paragraph" w:styleId="aa">
    <w:name w:val="footer"/>
    <w:basedOn w:val="a"/>
    <w:link w:val="ab"/>
    <w:uiPriority w:val="99"/>
    <w:rsid w:val="003A34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2402F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3A3414"/>
    <w:rPr>
      <w:rFonts w:cs="Times New Roman"/>
    </w:rPr>
  </w:style>
  <w:style w:type="paragraph" w:customStyle="1" w:styleId="33">
    <w:name w:val="Âåðòèêàëüíûé îòñòóï 3"/>
    <w:uiPriority w:val="99"/>
    <w:rsid w:val="007C10F8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F64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2402F"/>
    <w:rPr>
      <w:rFonts w:ascii="Courier New" w:hAnsi="Courier New" w:cs="Courier New"/>
      <w:sz w:val="20"/>
      <w:szCs w:val="20"/>
    </w:rPr>
  </w:style>
  <w:style w:type="paragraph" w:customStyle="1" w:styleId="separator">
    <w:name w:val="separator"/>
    <w:basedOn w:val="a"/>
    <w:uiPriority w:val="99"/>
    <w:rsid w:val="00A849EC"/>
    <w:pPr>
      <w:spacing w:before="100" w:beforeAutospacing="1" w:after="100" w:afterAutospacing="1"/>
    </w:pPr>
    <w:rPr>
      <w:color w:val="000080"/>
    </w:rPr>
  </w:style>
  <w:style w:type="paragraph" w:styleId="ad">
    <w:name w:val="header"/>
    <w:basedOn w:val="a"/>
    <w:link w:val="ae"/>
    <w:uiPriority w:val="99"/>
    <w:rsid w:val="0038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65FF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AD3A5AFA17AEBD278820A9737D5B45186C9ACC0615CB0AD883765E034y0H0N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FAD3A5AFA17AEBD278820A9737D5B45186C9ACC0615CB0AD883765E034y0H0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005_вступают в силу с 23.06.15</Статус_x0020_документа>
    <_EndDate xmlns="http://schemas.microsoft.com/sharepoint/v3/fields">13.05.2015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28597-4F1C-409A-BD1A-2DFE43F659D9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4B1FDD0-F916-4DE7-B126-65B789ED2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1C50F-5E54-46E8-AE3E-05BCDC977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9289</Characters>
  <Application>Microsoft Office Word</Application>
  <DocSecurity>0</DocSecurity>
  <Lines>77</Lines>
  <Paragraphs>21</Paragraphs>
  <ScaleCrop>false</ScaleCrop>
  <Company>ᜄс„䄢⃴ᑂ∔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2</dc:title>
  <dc:creator>Антонова</dc:creator>
  <cp:lastModifiedBy>kulkova</cp:lastModifiedBy>
  <cp:revision>2</cp:revision>
  <cp:lastPrinted>2015-03-13T15:51:00Z</cp:lastPrinted>
  <dcterms:created xsi:type="dcterms:W3CDTF">2015-05-22T08:51:00Z</dcterms:created>
  <dcterms:modified xsi:type="dcterms:W3CDTF">2015-05-22T08:51:00Z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татус">
    <vt:lpwstr>В работе, файл созд. заново</vt:lpwstr>
  </property>
  <property fmtid="{D5CDD505-2E9C-101B-9397-08002B2CF9AE}" pid="3" name="ContentType">
    <vt:lpwstr>Документ</vt:lpwstr>
  </property>
  <property fmtid="{D5CDD505-2E9C-101B-9397-08002B2CF9AE}" pid="4" name="ContentTypeId">
    <vt:lpwstr>0x0101000A208CA240C4E143B0AB8415F7D7A4C9</vt:lpwstr>
  </property>
</Properties>
</file>