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B7" w:rsidRPr="000D7A62" w:rsidRDefault="00C72DB7" w:rsidP="0026699B">
      <w:pPr>
        <w:keepNext/>
        <w:autoSpaceDE w:val="0"/>
        <w:autoSpaceDN w:val="0"/>
        <w:jc w:val="right"/>
        <w:outlineLvl w:val="1"/>
        <w:rPr>
          <w:b/>
          <w:szCs w:val="20"/>
        </w:rPr>
      </w:pPr>
      <w:r w:rsidRPr="000D7A62">
        <w:rPr>
          <w:b/>
          <w:szCs w:val="20"/>
        </w:rPr>
        <w:t>«УТВЕРЖДЕНО»</w:t>
      </w:r>
    </w:p>
    <w:p w:rsidR="00C72DB7" w:rsidRPr="000D7A62" w:rsidRDefault="00C72DB7" w:rsidP="0026699B">
      <w:pPr>
        <w:autoSpaceDE w:val="0"/>
        <w:autoSpaceDN w:val="0"/>
        <w:ind w:left="5040"/>
        <w:jc w:val="right"/>
        <w:rPr>
          <w:b/>
        </w:rPr>
      </w:pPr>
      <w:r w:rsidRPr="000D7A62">
        <w:rPr>
          <w:b/>
        </w:rPr>
        <w:t>Генеральн</w:t>
      </w:r>
      <w:r>
        <w:rPr>
          <w:b/>
        </w:rPr>
        <w:t>ый директор</w:t>
      </w:r>
    </w:p>
    <w:p w:rsidR="00C72DB7" w:rsidRPr="000D7A62" w:rsidRDefault="00C72DB7" w:rsidP="0026699B">
      <w:pPr>
        <w:autoSpaceDE w:val="0"/>
        <w:autoSpaceDN w:val="0"/>
        <w:ind w:left="4680"/>
        <w:jc w:val="right"/>
        <w:rPr>
          <w:b/>
        </w:rPr>
      </w:pPr>
      <w:r w:rsidRPr="000D7A62">
        <w:rPr>
          <w:b/>
        </w:rPr>
        <w:t>ООО «УК «ГЕРФИН»</w:t>
      </w:r>
    </w:p>
    <w:p w:rsidR="00C72DB7" w:rsidRPr="000D7A62" w:rsidRDefault="00C72DB7" w:rsidP="0026699B">
      <w:pPr>
        <w:autoSpaceDE w:val="0"/>
        <w:autoSpaceDN w:val="0"/>
        <w:ind w:left="5040"/>
        <w:jc w:val="right"/>
        <w:rPr>
          <w:b/>
        </w:rPr>
      </w:pPr>
    </w:p>
    <w:p w:rsidR="00C72DB7" w:rsidRDefault="00C72DB7" w:rsidP="0026699B">
      <w:pPr>
        <w:autoSpaceDE w:val="0"/>
        <w:autoSpaceDN w:val="0"/>
        <w:ind w:left="5040"/>
        <w:jc w:val="right"/>
        <w:rPr>
          <w:b/>
          <w:szCs w:val="20"/>
        </w:rPr>
      </w:pPr>
      <w:r w:rsidRPr="000D7A62">
        <w:rPr>
          <w:u w:val="single"/>
        </w:rPr>
        <w:t xml:space="preserve">                                        </w:t>
      </w:r>
      <w:r w:rsidRPr="000D7A62">
        <w:rPr>
          <w:b/>
        </w:rPr>
        <w:t xml:space="preserve"> Герасимов</w:t>
      </w:r>
      <w:r w:rsidRPr="000D7A62">
        <w:rPr>
          <w:b/>
          <w:szCs w:val="20"/>
        </w:rPr>
        <w:t xml:space="preserve"> С.Я.</w:t>
      </w:r>
    </w:p>
    <w:p w:rsidR="00C72DB7" w:rsidRDefault="00C72DB7" w:rsidP="0026699B">
      <w:pPr>
        <w:autoSpaceDE w:val="0"/>
        <w:autoSpaceDN w:val="0"/>
        <w:ind w:left="5040"/>
        <w:jc w:val="right"/>
        <w:rPr>
          <w:b/>
          <w:szCs w:val="20"/>
        </w:rPr>
      </w:pPr>
    </w:p>
    <w:p w:rsidR="00FA7538" w:rsidRDefault="00C72DB7" w:rsidP="0026699B">
      <w:pPr>
        <w:autoSpaceDE w:val="0"/>
        <w:autoSpaceDN w:val="0"/>
        <w:ind w:left="4248" w:firstLine="708"/>
        <w:jc w:val="right"/>
        <w:rPr>
          <w:b/>
          <w:bCs/>
          <w:spacing w:val="30"/>
          <w:sz w:val="28"/>
          <w:szCs w:val="28"/>
        </w:rPr>
      </w:pPr>
      <w:r>
        <w:rPr>
          <w:b/>
        </w:rPr>
        <w:t xml:space="preserve"> </w:t>
      </w:r>
      <w:r w:rsidRPr="000D7A62">
        <w:rPr>
          <w:b/>
        </w:rPr>
        <w:t>Приказ</w:t>
      </w:r>
      <w:r w:rsidR="00962384">
        <w:rPr>
          <w:b/>
        </w:rPr>
        <w:t xml:space="preserve"> №</w:t>
      </w:r>
      <w:r w:rsidR="00962384" w:rsidRPr="00962384">
        <w:rPr>
          <w:b/>
        </w:rPr>
        <w:t xml:space="preserve"> 0301/1 </w:t>
      </w:r>
      <w:r w:rsidR="0026699B">
        <w:rPr>
          <w:b/>
        </w:rPr>
        <w:t xml:space="preserve">от </w:t>
      </w:r>
      <w:r w:rsidR="00962384">
        <w:rPr>
          <w:b/>
        </w:rPr>
        <w:t>«01» марта 2017 г.</w:t>
      </w:r>
      <w:r w:rsidR="006269C8">
        <w:rPr>
          <w:b/>
        </w:rPr>
        <w:t xml:space="preserve">                   </w:t>
      </w:r>
    </w:p>
    <w:p w:rsidR="00E54348" w:rsidRPr="0026699B" w:rsidRDefault="00E56580" w:rsidP="0026699B">
      <w:pPr>
        <w:keepNext/>
        <w:widowControl w:val="0"/>
        <w:suppressLineNumbers/>
        <w:suppressAutoHyphens/>
        <w:adjustRightInd w:val="0"/>
        <w:jc w:val="right"/>
        <w:outlineLvl w:val="0"/>
        <w:rPr>
          <w:b/>
          <w:bCs/>
          <w:spacing w:val="30"/>
          <w:sz w:val="28"/>
          <w:szCs w:val="28"/>
        </w:rPr>
      </w:pPr>
      <w:r>
        <w:rPr>
          <w:b/>
        </w:rPr>
        <w:t xml:space="preserve">Протокол общего собрания от </w:t>
      </w:r>
      <w:r w:rsidR="00962384">
        <w:rPr>
          <w:b/>
        </w:rPr>
        <w:t xml:space="preserve">«27» февраля 2017 </w:t>
      </w:r>
      <w:r>
        <w:rPr>
          <w:b/>
        </w:rPr>
        <w:t>г.</w:t>
      </w:r>
    </w:p>
    <w:p w:rsidR="00E54348" w:rsidRDefault="00E54348" w:rsidP="006035D1">
      <w:pPr>
        <w:keepNext/>
        <w:widowControl w:val="0"/>
        <w:suppressLineNumbers/>
        <w:suppressAutoHyphens/>
        <w:adjustRightInd w:val="0"/>
        <w:outlineLvl w:val="0"/>
        <w:rPr>
          <w:b/>
          <w:bCs/>
          <w:spacing w:val="30"/>
          <w:sz w:val="28"/>
          <w:szCs w:val="28"/>
        </w:rPr>
      </w:pPr>
    </w:p>
    <w:p w:rsidR="0026699B" w:rsidRDefault="0026699B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FA7538" w:rsidRPr="00FA2C8C" w:rsidRDefault="00FA7538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 xml:space="preserve">ИЗМЕНЕНИЯ И ДОПОЛНЕНИЯ № </w:t>
      </w:r>
      <w:r w:rsidR="006269C8">
        <w:rPr>
          <w:b/>
          <w:bCs/>
          <w:spacing w:val="30"/>
          <w:sz w:val="28"/>
          <w:szCs w:val="28"/>
        </w:rPr>
        <w:t>6</w:t>
      </w: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FC0904" w:rsidRDefault="00FC0904" w:rsidP="00FA753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в </w:t>
      </w:r>
      <w:r w:rsidR="00FA7538">
        <w:rPr>
          <w:b/>
          <w:bCs/>
          <w:sz w:val="28"/>
          <w:szCs w:val="28"/>
          <w:lang w:eastAsia="en-US"/>
        </w:rPr>
        <w:t xml:space="preserve">ПРАВИЛА </w:t>
      </w:r>
    </w:p>
    <w:p w:rsidR="00FA7538" w:rsidRDefault="00FC0904" w:rsidP="00FA753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доверительного управления</w:t>
      </w:r>
    </w:p>
    <w:p w:rsidR="00FA7538" w:rsidRDefault="00FA7538" w:rsidP="00FA753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FA7538" w:rsidRDefault="00FA7538" w:rsidP="00FA753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З</w:t>
      </w:r>
      <w:r w:rsidR="008E7275">
        <w:rPr>
          <w:b/>
          <w:bCs/>
          <w:sz w:val="28"/>
          <w:szCs w:val="28"/>
          <w:lang w:eastAsia="en-US"/>
        </w:rPr>
        <w:t>акрытым</w:t>
      </w:r>
      <w:r>
        <w:rPr>
          <w:b/>
          <w:bCs/>
          <w:sz w:val="28"/>
          <w:szCs w:val="28"/>
          <w:lang w:eastAsia="en-US"/>
        </w:rPr>
        <w:t xml:space="preserve"> </w:t>
      </w:r>
      <w:r w:rsidR="008E7275">
        <w:rPr>
          <w:b/>
          <w:bCs/>
          <w:sz w:val="28"/>
          <w:szCs w:val="28"/>
          <w:lang w:eastAsia="en-US"/>
        </w:rPr>
        <w:t>паевым</w:t>
      </w:r>
      <w:r>
        <w:rPr>
          <w:b/>
          <w:bCs/>
          <w:sz w:val="28"/>
          <w:szCs w:val="28"/>
          <w:lang w:eastAsia="en-US"/>
        </w:rPr>
        <w:t xml:space="preserve"> </w:t>
      </w:r>
      <w:r w:rsidR="008E7275">
        <w:rPr>
          <w:b/>
          <w:bCs/>
          <w:sz w:val="28"/>
          <w:szCs w:val="28"/>
          <w:lang w:eastAsia="en-US"/>
        </w:rPr>
        <w:t>инвестиционным фондом недвижимости</w:t>
      </w:r>
      <w:r>
        <w:rPr>
          <w:b/>
          <w:bCs/>
          <w:sz w:val="28"/>
          <w:szCs w:val="28"/>
          <w:lang w:eastAsia="en-US"/>
        </w:rPr>
        <w:t xml:space="preserve"> </w:t>
      </w:r>
    </w:p>
    <w:p w:rsidR="00FA7538" w:rsidRDefault="00FA7538" w:rsidP="00FA753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FA7538" w:rsidRDefault="00FA7538" w:rsidP="00FA753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«ГЕРФИН – </w:t>
      </w:r>
      <w:r w:rsidR="00EE1D5D">
        <w:rPr>
          <w:b/>
          <w:bCs/>
          <w:sz w:val="28"/>
          <w:szCs w:val="28"/>
          <w:lang w:eastAsia="en-US"/>
        </w:rPr>
        <w:t>фонд недвижимости</w:t>
      </w:r>
      <w:r>
        <w:rPr>
          <w:b/>
          <w:bCs/>
          <w:sz w:val="28"/>
          <w:szCs w:val="28"/>
          <w:lang w:eastAsia="en-US"/>
        </w:rPr>
        <w:t>»</w:t>
      </w: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rPr>
          <w:b/>
          <w:bCs/>
          <w:sz w:val="28"/>
          <w:szCs w:val="28"/>
        </w:rPr>
      </w:pPr>
    </w:p>
    <w:p w:rsidR="00FA7538" w:rsidRPr="007C10F8" w:rsidRDefault="00FA7538" w:rsidP="00FA7538"/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961"/>
      </w:tblGrid>
      <w:tr w:rsidR="00FA7538" w:rsidTr="006E4402">
        <w:trPr>
          <w:trHeight w:val="628"/>
        </w:trPr>
        <w:tc>
          <w:tcPr>
            <w:tcW w:w="2455" w:type="pct"/>
            <w:vAlign w:val="center"/>
          </w:tcPr>
          <w:p w:rsidR="00FA7538" w:rsidRPr="00BC3692" w:rsidRDefault="00FA7538" w:rsidP="00FA7538">
            <w:pPr>
              <w:pStyle w:val="4"/>
              <w:ind w:left="-288"/>
              <w:rPr>
                <w:sz w:val="28"/>
                <w:szCs w:val="28"/>
              </w:rPr>
            </w:pPr>
            <w:r w:rsidRPr="00BC3692">
              <w:rPr>
                <w:sz w:val="28"/>
                <w:szCs w:val="28"/>
              </w:rPr>
              <w:t>Старая редакция</w:t>
            </w:r>
          </w:p>
        </w:tc>
        <w:tc>
          <w:tcPr>
            <w:tcW w:w="2545" w:type="pct"/>
            <w:vAlign w:val="center"/>
          </w:tcPr>
          <w:p w:rsidR="00FA7538" w:rsidRPr="00567DE9" w:rsidRDefault="00FA7538" w:rsidP="00FA7538">
            <w:pPr>
              <w:pStyle w:val="4"/>
              <w:ind w:left="-288"/>
              <w:rPr>
                <w:sz w:val="28"/>
                <w:szCs w:val="28"/>
              </w:rPr>
            </w:pPr>
            <w:r w:rsidRPr="00567DE9">
              <w:rPr>
                <w:sz w:val="28"/>
                <w:szCs w:val="28"/>
              </w:rPr>
              <w:t>Новая редакция</w:t>
            </w:r>
          </w:p>
        </w:tc>
      </w:tr>
      <w:tr w:rsidR="00673FFB" w:rsidTr="006E4402">
        <w:trPr>
          <w:trHeight w:val="628"/>
        </w:trPr>
        <w:tc>
          <w:tcPr>
            <w:tcW w:w="2455" w:type="pct"/>
            <w:vAlign w:val="center"/>
          </w:tcPr>
          <w:p w:rsidR="006269C8" w:rsidRDefault="006269C8" w:rsidP="006269C8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15. Полное фирменное наименование лиц, осуществляющих оценку имущества, составляющего фонд (далее – оценщик):</w:t>
            </w:r>
          </w:p>
          <w:p w:rsidR="006269C8" w:rsidRPr="004B7AED" w:rsidRDefault="006269C8" w:rsidP="006269C8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</w:rPr>
            </w:pPr>
            <w:r>
              <w:t xml:space="preserve">15.1. </w:t>
            </w:r>
            <w:r w:rsidRPr="004B7AED">
              <w:rPr>
                <w:b/>
              </w:rPr>
              <w:t xml:space="preserve">Индивидуальный предприниматель </w:t>
            </w:r>
            <w:proofErr w:type="spellStart"/>
            <w:r w:rsidRPr="004B7AED">
              <w:rPr>
                <w:b/>
              </w:rPr>
              <w:t>Брюхин</w:t>
            </w:r>
            <w:proofErr w:type="spellEnd"/>
            <w:r w:rsidRPr="004B7AED">
              <w:rPr>
                <w:b/>
              </w:rPr>
              <w:t xml:space="preserve"> Василий Сергеевич.</w:t>
            </w:r>
          </w:p>
          <w:p w:rsidR="00673FFB" w:rsidRPr="00673FFB" w:rsidRDefault="006269C8" w:rsidP="006269C8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15.2. Общество с ограниченной ответственностью «</w:t>
            </w:r>
            <w:proofErr w:type="spellStart"/>
            <w:r>
              <w:t>Консалт</w:t>
            </w:r>
            <w:proofErr w:type="spellEnd"/>
            <w:proofErr w:type="gramStart"/>
            <w:r>
              <w:t xml:space="preserve">  П</w:t>
            </w:r>
            <w:proofErr w:type="gramEnd"/>
            <w:r>
              <w:t>ро Оценка».</w:t>
            </w:r>
          </w:p>
        </w:tc>
        <w:tc>
          <w:tcPr>
            <w:tcW w:w="2545" w:type="pct"/>
            <w:vAlign w:val="center"/>
          </w:tcPr>
          <w:p w:rsidR="006269C8" w:rsidRDefault="006269C8" w:rsidP="006269C8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15. Полное фирменное наименование лиц, осуществляющих оценку имущества, составляющего фонд (далее – оценщик):</w:t>
            </w:r>
          </w:p>
          <w:p w:rsidR="006269C8" w:rsidRPr="004B7AED" w:rsidRDefault="006269C8" w:rsidP="006269C8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</w:rPr>
            </w:pPr>
            <w:r>
              <w:t xml:space="preserve">15.1. </w:t>
            </w:r>
            <w:r w:rsidRPr="004B7AED">
              <w:rPr>
                <w:b/>
              </w:rPr>
              <w:t>Общество с ограниченной ответственностью «Центр корпоративных решений».</w:t>
            </w:r>
          </w:p>
          <w:p w:rsidR="00673FFB" w:rsidRPr="00567DE9" w:rsidRDefault="006269C8" w:rsidP="006269C8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t>15.2. Общество с ограниченной ответственностью «</w:t>
            </w:r>
            <w:proofErr w:type="spellStart"/>
            <w:r>
              <w:t>Консалт</w:t>
            </w:r>
            <w:proofErr w:type="spellEnd"/>
            <w:proofErr w:type="gramStart"/>
            <w:r>
              <w:t xml:space="preserve">  П</w:t>
            </w:r>
            <w:proofErr w:type="gramEnd"/>
            <w:r>
              <w:t>ро Оценка».</w:t>
            </w:r>
          </w:p>
        </w:tc>
      </w:tr>
      <w:tr w:rsidR="00673FFB" w:rsidTr="006E4402">
        <w:trPr>
          <w:trHeight w:val="628"/>
        </w:trPr>
        <w:tc>
          <w:tcPr>
            <w:tcW w:w="2455" w:type="pct"/>
            <w:vAlign w:val="center"/>
          </w:tcPr>
          <w:p w:rsidR="006269C8" w:rsidRDefault="006269C8" w:rsidP="006269C8">
            <w:pPr>
              <w:ind w:firstLine="720"/>
              <w:jc w:val="both"/>
            </w:pPr>
            <w:r>
              <w:t xml:space="preserve">16. Место нахождения оценщика: </w:t>
            </w:r>
          </w:p>
          <w:p w:rsidR="006269C8" w:rsidRPr="004B7AED" w:rsidRDefault="006269C8" w:rsidP="006269C8">
            <w:pPr>
              <w:ind w:firstLine="720"/>
              <w:jc w:val="both"/>
              <w:rPr>
                <w:b/>
              </w:rPr>
            </w:pPr>
            <w:r>
              <w:t xml:space="preserve">16.1. </w:t>
            </w:r>
            <w:r w:rsidRPr="004B7AED">
              <w:rPr>
                <w:b/>
              </w:rPr>
              <w:t xml:space="preserve">Место нахождения Индивидуального предпринимателя </w:t>
            </w:r>
            <w:proofErr w:type="spellStart"/>
            <w:r w:rsidRPr="004B7AED">
              <w:rPr>
                <w:b/>
              </w:rPr>
              <w:t>Брюхина</w:t>
            </w:r>
            <w:proofErr w:type="spellEnd"/>
            <w:r w:rsidRPr="004B7AED">
              <w:rPr>
                <w:b/>
              </w:rPr>
              <w:t xml:space="preserve"> Василия Сергеевича - 109469, г. Москва, ул. </w:t>
            </w:r>
            <w:proofErr w:type="spellStart"/>
            <w:r w:rsidRPr="004B7AED">
              <w:rPr>
                <w:b/>
              </w:rPr>
              <w:t>Братиславская</w:t>
            </w:r>
            <w:proofErr w:type="spellEnd"/>
            <w:r w:rsidRPr="004B7AED">
              <w:rPr>
                <w:b/>
              </w:rPr>
              <w:t>, д.31, корп.1, кв.311.</w:t>
            </w:r>
          </w:p>
          <w:p w:rsidR="00673FFB" w:rsidRPr="004013C8" w:rsidRDefault="006269C8" w:rsidP="006269C8">
            <w:pPr>
              <w:ind w:firstLine="720"/>
              <w:jc w:val="both"/>
            </w:pPr>
            <w:r>
              <w:t>16.2. Место нахождения Общества с ограниченной ответственностью «</w:t>
            </w:r>
            <w:proofErr w:type="spellStart"/>
            <w:r>
              <w:t>Консалт</w:t>
            </w:r>
            <w:proofErr w:type="spellEnd"/>
            <w:proofErr w:type="gramStart"/>
            <w:r>
              <w:t xml:space="preserve">  П</w:t>
            </w:r>
            <w:proofErr w:type="gramEnd"/>
            <w:r>
              <w:t>ро Оценка» - 117593, г. Москва, проезд Соловьиный, д.2, офис 1.</w:t>
            </w:r>
          </w:p>
        </w:tc>
        <w:tc>
          <w:tcPr>
            <w:tcW w:w="2545" w:type="pct"/>
            <w:vAlign w:val="center"/>
          </w:tcPr>
          <w:p w:rsidR="006269C8" w:rsidRDefault="006269C8" w:rsidP="006269C8">
            <w:pPr>
              <w:ind w:firstLine="720"/>
              <w:jc w:val="both"/>
            </w:pPr>
            <w:r>
              <w:t xml:space="preserve">16. Место нахождения оценщика: </w:t>
            </w:r>
          </w:p>
          <w:p w:rsidR="006032C8" w:rsidRPr="001B713D" w:rsidRDefault="006269C8" w:rsidP="006032C8">
            <w:pPr>
              <w:ind w:firstLine="720"/>
              <w:jc w:val="both"/>
              <w:rPr>
                <w:b/>
              </w:rPr>
            </w:pPr>
            <w:r>
              <w:t xml:space="preserve">16.1. </w:t>
            </w:r>
            <w:r w:rsidRPr="006032C8">
              <w:rPr>
                <w:b/>
              </w:rPr>
              <w:t xml:space="preserve">Место нахождения Общества с ограниченной ответственностью «Центр корпоративных решений» - </w:t>
            </w:r>
            <w:r w:rsidR="006032C8" w:rsidRPr="001B713D">
              <w:rPr>
                <w:b/>
              </w:rPr>
              <w:t xml:space="preserve">Российская Федерация, 119049, г. Москва, пер. 1-й </w:t>
            </w:r>
            <w:proofErr w:type="spellStart"/>
            <w:r w:rsidR="006032C8" w:rsidRPr="001B713D">
              <w:rPr>
                <w:b/>
              </w:rPr>
              <w:t>Люсиновский</w:t>
            </w:r>
            <w:proofErr w:type="spellEnd"/>
            <w:r w:rsidR="006032C8" w:rsidRPr="001B713D">
              <w:rPr>
                <w:b/>
              </w:rPr>
              <w:t>, д. 3 Б.</w:t>
            </w:r>
          </w:p>
          <w:p w:rsidR="00673FFB" w:rsidRPr="004013C8" w:rsidRDefault="006269C8" w:rsidP="006269C8">
            <w:pPr>
              <w:ind w:firstLine="720"/>
              <w:jc w:val="both"/>
            </w:pPr>
            <w:r>
              <w:t>16.2. Место нахождения Общества с ограниченной ответственностью «</w:t>
            </w:r>
            <w:proofErr w:type="spellStart"/>
            <w:r>
              <w:t>Консалт</w:t>
            </w:r>
            <w:proofErr w:type="spellEnd"/>
            <w:proofErr w:type="gramStart"/>
            <w:r>
              <w:t xml:space="preserve">  П</w:t>
            </w:r>
            <w:proofErr w:type="gramEnd"/>
            <w:r>
              <w:t>ро Оценка» - 117593, г. Москва, проезд Соловьиный, д.2, офис 1.</w:t>
            </w:r>
          </w:p>
        </w:tc>
      </w:tr>
      <w:tr w:rsidR="00E56580" w:rsidTr="006E4402">
        <w:trPr>
          <w:trHeight w:val="628"/>
        </w:trPr>
        <w:tc>
          <w:tcPr>
            <w:tcW w:w="2455" w:type="pct"/>
            <w:vAlign w:val="center"/>
          </w:tcPr>
          <w:p w:rsidR="00E56580" w:rsidRPr="009401AB" w:rsidRDefault="00E56580" w:rsidP="00F241D9">
            <w:pPr>
              <w:ind w:firstLine="709"/>
              <w:jc w:val="both"/>
            </w:pPr>
            <w:r w:rsidRPr="009401AB">
              <w:t>29. Управляющая компания обязана:</w:t>
            </w:r>
          </w:p>
          <w:p w:rsidR="00E56580" w:rsidRPr="009401AB" w:rsidRDefault="00E56580" w:rsidP="00F241D9">
            <w:pPr>
              <w:ind w:firstLine="709"/>
              <w:jc w:val="both"/>
            </w:pPr>
            <w:r w:rsidRPr="009401AB">
              <w:t xml:space="preserve">1) осуществлять доверительное управление фондом в соответствии с Федеральным законом "Об инвестиционных фондах", другими федеральными законами, нормативными актами </w:t>
            </w:r>
            <w:r>
              <w:t>в сфере финансовых рынков</w:t>
            </w:r>
            <w:r w:rsidRPr="009401AB">
              <w:t xml:space="preserve"> и настоящими Правилами;</w:t>
            </w:r>
          </w:p>
          <w:p w:rsidR="00E56580" w:rsidRPr="009401AB" w:rsidRDefault="00E56580" w:rsidP="00F241D9">
            <w:pPr>
              <w:ind w:firstLine="709"/>
              <w:jc w:val="both"/>
            </w:pPr>
            <w:r w:rsidRPr="009401AB">
              <w:t xml:space="preserve">2) при осуществлении доверительного управления фондом, действовать разумно и добросовестно в </w:t>
            </w:r>
            <w:r w:rsidRPr="009401AB">
              <w:lastRenderedPageBreak/>
              <w:t>интересах владельцев инвестиционных паев;</w:t>
            </w:r>
          </w:p>
          <w:p w:rsidR="00E56580" w:rsidRPr="009401AB" w:rsidRDefault="00E56580" w:rsidP="00F241D9">
            <w:pPr>
              <w:ind w:firstLine="720"/>
              <w:jc w:val="both"/>
            </w:pPr>
            <w:r w:rsidRPr="009401AB">
              <w:t xml:space="preserve">3) передавать имущество, составляющее фонд, для учета и (или) хранения специализированному депозитарию, если для отдельных видов имущества нормативными правовыми актами Российской Федерации, в том числе нормативными </w:t>
            </w:r>
            <w:r>
              <w:t>актами в сфере финансовых рынков</w:t>
            </w:r>
            <w:r w:rsidRPr="009401AB">
              <w:t>, не предусмотрено иное;</w:t>
            </w:r>
          </w:p>
          <w:p w:rsidR="00E56580" w:rsidRPr="009401AB" w:rsidRDefault="00E56580" w:rsidP="00F241D9">
            <w:pPr>
              <w:ind w:firstLine="709"/>
              <w:jc w:val="both"/>
            </w:pPr>
            <w:r w:rsidRPr="009401AB">
              <w:t xml:space="preserve">4) передавать специализированному депозитарию копии всех первичных документов в отношении имущества, составляющего фонд, незамедлительно с момента их составления или получения; </w:t>
            </w:r>
          </w:p>
          <w:p w:rsidR="00E56580" w:rsidRPr="009401AB" w:rsidRDefault="00E56580" w:rsidP="00F241D9">
            <w:pPr>
              <w:ind w:firstLine="709"/>
              <w:jc w:val="both"/>
            </w:pPr>
            <w:r w:rsidRPr="009401AB">
              <w:t>5) передавать специализированному депозитарию подлинные экземпляры документов, подтверждающих права на недвижимое имущество;</w:t>
            </w:r>
          </w:p>
          <w:p w:rsidR="00E56580" w:rsidRPr="009401AB" w:rsidRDefault="00E56580">
            <w:pPr>
              <w:pStyle w:val="ConsPlusNormal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9401A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6) </w:t>
            </w:r>
            <w:r w:rsidRPr="00B728B2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страховать здания, сооружения, помещения, составляющие фонд, от рисков их утраты и повреждения. При этом:</w:t>
            </w:r>
          </w:p>
          <w:p w:rsidR="00E56580" w:rsidRPr="009401AB" w:rsidRDefault="00E56580">
            <w:pPr>
              <w:pStyle w:val="ConsPlusNormal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9401A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- ми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нимальная страховая сумма </w:t>
            </w:r>
            <w:r w:rsidRPr="009401A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 составля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е</w:t>
            </w:r>
            <w:r w:rsidRPr="009401A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т 50 процентов оценочной стоимости объекта недвижимого имущества на дату заключения договора страхования;</w:t>
            </w:r>
          </w:p>
          <w:p w:rsidR="00E56580" w:rsidRPr="009401AB" w:rsidRDefault="00E56580">
            <w:pPr>
              <w:pStyle w:val="ConsPlusNormal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- максимальный размер </w:t>
            </w:r>
            <w:r w:rsidRPr="009401A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частичного освобождения страховщика от выплаты страхо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вого возмещения (франшизы) </w:t>
            </w:r>
            <w:r w:rsidRPr="009401A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составля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е</w:t>
            </w:r>
            <w:r w:rsidRPr="009401A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т 1 процент страховой суммы;</w:t>
            </w:r>
          </w:p>
          <w:p w:rsidR="00E56580" w:rsidRPr="009401AB" w:rsidRDefault="00E56580">
            <w:pPr>
              <w:pStyle w:val="ConsPlusNormal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9401A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- максимальный срок, в течение которого недвижимое имущество,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 составляющее фонд, должно быть застраховано, </w:t>
            </w:r>
            <w:r w:rsidRPr="009401A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составля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е</w:t>
            </w:r>
            <w:r w:rsidRPr="009401A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т 30 дней </w:t>
            </w:r>
            <w:proofErr w:type="gramStart"/>
            <w:r w:rsidRPr="009401A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с даты включения</w:t>
            </w:r>
            <w:proofErr w:type="gramEnd"/>
            <w:r w:rsidRPr="009401A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 недвижимого имущества в состав имущества фонда;</w:t>
            </w:r>
          </w:p>
          <w:p w:rsidR="00E56580" w:rsidRPr="009401AB" w:rsidRDefault="00E56580">
            <w:pPr>
              <w:pStyle w:val="ConsPlusNormal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9401A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- максимальный срок, в течение которого в договор страхования должны быть внесены изменения (заключен новый договор страхования) в случае несоответствия страховой суммы, указанной в договоре, требованиям настоящих Правил вследствие увеличения оценочной стоимости недвижимого имущества составля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е</w:t>
            </w:r>
            <w:r w:rsidRPr="009401A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т 30 дней </w:t>
            </w:r>
            <w:proofErr w:type="gramStart"/>
            <w:r w:rsidRPr="009401A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с даты увеличения</w:t>
            </w:r>
            <w:proofErr w:type="gramEnd"/>
            <w:r w:rsidRPr="009401A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 оценочной стоимости недвижимого имущества.</w:t>
            </w:r>
          </w:p>
          <w:p w:rsidR="00E56580" w:rsidRPr="009401AB" w:rsidRDefault="00E56580" w:rsidP="007879DF">
            <w:pPr>
              <w:ind w:firstLine="709"/>
              <w:jc w:val="both"/>
            </w:pPr>
            <w:r w:rsidRPr="009401AB">
              <w:t>Управляющая компания вправе возложить обязанность, предусмотренную настоящим подпунктом, на арендатора недвижимого имущества.</w:t>
            </w:r>
          </w:p>
          <w:p w:rsidR="00E56580" w:rsidRPr="009401AB" w:rsidRDefault="00E56580" w:rsidP="007879DF">
            <w:pPr>
              <w:autoSpaceDE w:val="0"/>
              <w:autoSpaceDN w:val="0"/>
              <w:adjustRightInd w:val="0"/>
              <w:ind w:firstLine="720"/>
              <w:jc w:val="both"/>
            </w:pPr>
            <w:r w:rsidRPr="009401AB">
              <w:t xml:space="preserve">7) раскрывать информацию о дате </w:t>
            </w:r>
            <w:r w:rsidRPr="009401AB">
              <w:lastRenderedPageBreak/>
              <w:t>составления списка владельцев инвестиционных паев для осуществления ими своих прав не позднее 3 рабочих дней до даты составления указанного списка;</w:t>
            </w:r>
          </w:p>
          <w:p w:rsidR="00E56580" w:rsidRPr="009401AB" w:rsidRDefault="00E56580" w:rsidP="007879DF">
            <w:pPr>
              <w:autoSpaceDE w:val="0"/>
              <w:autoSpaceDN w:val="0"/>
              <w:adjustRightInd w:val="0"/>
              <w:ind w:firstLine="720"/>
              <w:jc w:val="both"/>
            </w:pPr>
            <w:r w:rsidRPr="009401AB">
              <w:t xml:space="preserve">8) раскрывать отчеты, требования к которым устанавливаются </w:t>
            </w:r>
            <w:r>
              <w:t>Банком России</w:t>
            </w:r>
            <w:r w:rsidRPr="009401AB">
              <w:t>.</w:t>
            </w:r>
          </w:p>
          <w:p w:rsidR="00E56580" w:rsidRDefault="00E56580">
            <w:pPr>
              <w:ind w:firstLine="720"/>
              <w:jc w:val="both"/>
            </w:pPr>
          </w:p>
        </w:tc>
        <w:tc>
          <w:tcPr>
            <w:tcW w:w="2545" w:type="pct"/>
            <w:vAlign w:val="center"/>
          </w:tcPr>
          <w:p w:rsidR="00E56580" w:rsidRPr="009401AB" w:rsidRDefault="00E56580" w:rsidP="00F241D9">
            <w:pPr>
              <w:ind w:firstLine="709"/>
              <w:jc w:val="both"/>
            </w:pPr>
            <w:r w:rsidRPr="009401AB">
              <w:lastRenderedPageBreak/>
              <w:t>29. Управляющая компания обязана:</w:t>
            </w:r>
          </w:p>
          <w:p w:rsidR="00E56580" w:rsidRPr="009401AB" w:rsidRDefault="00E56580" w:rsidP="00F241D9">
            <w:pPr>
              <w:ind w:firstLine="709"/>
              <w:jc w:val="both"/>
            </w:pPr>
            <w:r w:rsidRPr="009401AB">
              <w:t xml:space="preserve">1) осуществлять доверительное управление фондом в соответствии с Федеральным законом "Об инвестиционных фондах", другими федеральными законами, нормативными актами </w:t>
            </w:r>
            <w:r>
              <w:t>в сфере финансовых рынков</w:t>
            </w:r>
            <w:r w:rsidRPr="009401AB">
              <w:t xml:space="preserve"> и настоящими Правилами;</w:t>
            </w:r>
          </w:p>
          <w:p w:rsidR="00E56580" w:rsidRPr="009401AB" w:rsidRDefault="00E56580" w:rsidP="00F241D9">
            <w:pPr>
              <w:ind w:firstLine="709"/>
              <w:jc w:val="both"/>
            </w:pPr>
            <w:r w:rsidRPr="009401AB">
              <w:t xml:space="preserve">2) при осуществлении доверительного управления фондом, действовать разумно и добросовестно в интересах владельцев </w:t>
            </w:r>
            <w:r w:rsidRPr="009401AB">
              <w:lastRenderedPageBreak/>
              <w:t>инвестиционных паев;</w:t>
            </w:r>
          </w:p>
          <w:p w:rsidR="00E56580" w:rsidRPr="009401AB" w:rsidRDefault="00E56580" w:rsidP="00F241D9">
            <w:pPr>
              <w:ind w:firstLine="720"/>
              <w:jc w:val="both"/>
            </w:pPr>
            <w:r w:rsidRPr="009401AB">
              <w:t xml:space="preserve">3) передавать имущество, составляющее фонд, для учета и (или) хранения специализированному депозитарию, если для отдельных видов имущества нормативными правовыми актами Российской Федерации, в том числе нормативными </w:t>
            </w:r>
            <w:r>
              <w:t>актами в сфере финансовых рынков</w:t>
            </w:r>
            <w:r w:rsidRPr="009401AB">
              <w:t>, не предусмотрено иное;</w:t>
            </w:r>
          </w:p>
          <w:p w:rsidR="00E56580" w:rsidRPr="009401AB" w:rsidRDefault="00E56580" w:rsidP="00F241D9">
            <w:pPr>
              <w:ind w:firstLine="709"/>
              <w:jc w:val="both"/>
            </w:pPr>
            <w:r w:rsidRPr="009401AB">
              <w:t xml:space="preserve">4) передавать специализированному депозитарию копии всех первичных документов в отношении имущества, составляющего фонд, незамедлительно с момента их составления или получения; </w:t>
            </w:r>
          </w:p>
          <w:p w:rsidR="00E56580" w:rsidRPr="009401AB" w:rsidRDefault="00E56580" w:rsidP="00F241D9">
            <w:pPr>
              <w:ind w:firstLine="709"/>
              <w:jc w:val="both"/>
            </w:pPr>
            <w:r w:rsidRPr="009401AB">
              <w:t>5) передавать специализированному депозитарию подлинные экземпляры документов, подтверждающих права на недвижимое имущество;</w:t>
            </w:r>
          </w:p>
          <w:p w:rsidR="00E56580" w:rsidRPr="009401AB" w:rsidRDefault="00E56580">
            <w:pPr>
              <w:pStyle w:val="ConsPlusNormal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9401A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6) </w:t>
            </w:r>
            <w:r w:rsidRPr="00B728B2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страховать здания, сооружения, помещения, составляющие фонд, от рисков их утраты и повреждения. При этом:</w:t>
            </w:r>
          </w:p>
          <w:p w:rsidR="00E56580" w:rsidRPr="009401AB" w:rsidRDefault="00E56580">
            <w:pPr>
              <w:pStyle w:val="ConsPlusNormal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9401A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- ми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нимальная страховая сумма </w:t>
            </w:r>
            <w:r w:rsidRPr="009401A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 составля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е</w:t>
            </w:r>
            <w:r w:rsidRPr="009401A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т 50 процентов оценочной стоимости объекта недвижимого имущества на дату заключения договора страхования;</w:t>
            </w:r>
          </w:p>
          <w:p w:rsidR="00E56580" w:rsidRPr="009401AB" w:rsidRDefault="00E56580">
            <w:pPr>
              <w:pStyle w:val="ConsPlusNormal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- максимальный размер </w:t>
            </w:r>
            <w:r w:rsidRPr="009401A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частичного освобождения страховщика от выплаты страхо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вого возмещения (франшизы) </w:t>
            </w:r>
            <w:r w:rsidRPr="009401A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составля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е</w:t>
            </w:r>
            <w:r w:rsidRPr="009401A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т 1 процент страховой суммы;</w:t>
            </w:r>
          </w:p>
          <w:p w:rsidR="00E56580" w:rsidRPr="009401AB" w:rsidRDefault="00E56580">
            <w:pPr>
              <w:pStyle w:val="ConsPlusNormal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9401A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- максимальный срок, в течение которого недвижимое имущество,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 составляющее фонд, должно быть застраховано, </w:t>
            </w:r>
            <w:r w:rsidRPr="009401A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составля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е</w:t>
            </w:r>
            <w:r w:rsidRPr="009401A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т 30 дней </w:t>
            </w:r>
            <w:proofErr w:type="gramStart"/>
            <w:r w:rsidRPr="009401A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с даты включения</w:t>
            </w:r>
            <w:proofErr w:type="gramEnd"/>
            <w:r w:rsidRPr="009401A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 недвижимого имущества в состав имущества фонда;</w:t>
            </w:r>
          </w:p>
          <w:p w:rsidR="00E56580" w:rsidRPr="009401AB" w:rsidRDefault="00E56580">
            <w:pPr>
              <w:pStyle w:val="ConsPlusNormal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9401A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- максимальный срок, в течение которого в договор страхования должны быть внесены изменения (заключен новый договор страхования) в случае несоответствия страховой суммы, указанной в договоре, требованиям настоящих Правил вследствие увеличения оценочной стоимости недвижимого имущества составля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е</w:t>
            </w:r>
            <w:r w:rsidRPr="009401A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т 30 дней </w:t>
            </w:r>
            <w:proofErr w:type="gramStart"/>
            <w:r w:rsidRPr="009401A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с даты увеличения</w:t>
            </w:r>
            <w:proofErr w:type="gramEnd"/>
            <w:r w:rsidRPr="009401A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 оценочной стоимости недвижимого имущества.</w:t>
            </w:r>
          </w:p>
          <w:p w:rsidR="00E56580" w:rsidRPr="009401AB" w:rsidRDefault="00E56580" w:rsidP="007879DF">
            <w:pPr>
              <w:ind w:firstLine="709"/>
              <w:jc w:val="both"/>
            </w:pPr>
            <w:r w:rsidRPr="009401AB">
              <w:t>Управляющая компания вправе возложить обязанность, предусмотренную настоящим подпунктом, на арендатора недвижимого имущества.</w:t>
            </w:r>
          </w:p>
          <w:p w:rsidR="00E56580" w:rsidRPr="009401AB" w:rsidRDefault="00E56580" w:rsidP="007879DF">
            <w:pPr>
              <w:autoSpaceDE w:val="0"/>
              <w:autoSpaceDN w:val="0"/>
              <w:adjustRightInd w:val="0"/>
              <w:ind w:firstLine="720"/>
              <w:jc w:val="both"/>
            </w:pPr>
            <w:r w:rsidRPr="009401AB">
              <w:t xml:space="preserve">7) раскрывать информацию о дате составления списка владельцев инвестиционных паев для осуществления ими </w:t>
            </w:r>
            <w:r w:rsidRPr="009401AB">
              <w:lastRenderedPageBreak/>
              <w:t>своих прав</w:t>
            </w:r>
            <w:r>
              <w:t xml:space="preserve">, </w:t>
            </w:r>
            <w:r w:rsidRPr="007879DF">
              <w:rPr>
                <w:b/>
              </w:rPr>
              <w:t>а также для частичного погашения инвестиционных паев без заявления ими требований об их погашении,</w:t>
            </w:r>
            <w:r w:rsidRPr="00BE5ED7">
              <w:rPr>
                <w:sz w:val="20"/>
                <w:szCs w:val="20"/>
              </w:rPr>
              <w:t xml:space="preserve"> </w:t>
            </w:r>
            <w:r w:rsidRPr="00BE5ED7">
              <w:rPr>
                <w:bCs/>
                <w:sz w:val="20"/>
                <w:szCs w:val="20"/>
              </w:rPr>
              <w:t xml:space="preserve"> </w:t>
            </w:r>
            <w:r w:rsidRPr="009401AB">
              <w:t>не позднее 3 рабочих дней до даты составления указанного списка;</w:t>
            </w:r>
          </w:p>
          <w:p w:rsidR="00E56580" w:rsidRDefault="00E56580" w:rsidP="007879DF">
            <w:pPr>
              <w:autoSpaceDE w:val="0"/>
              <w:autoSpaceDN w:val="0"/>
              <w:adjustRightInd w:val="0"/>
              <w:ind w:firstLine="720"/>
              <w:jc w:val="both"/>
            </w:pPr>
            <w:r w:rsidRPr="009401AB">
              <w:t xml:space="preserve">8) раскрывать отчеты, требования к которым устанавливаются </w:t>
            </w:r>
            <w:r>
              <w:t>Банком России</w:t>
            </w:r>
            <w:r w:rsidRPr="009401AB">
              <w:t>.</w:t>
            </w:r>
          </w:p>
        </w:tc>
      </w:tr>
      <w:tr w:rsidR="00E56580" w:rsidTr="007879DF">
        <w:trPr>
          <w:trHeight w:val="628"/>
        </w:trPr>
        <w:tc>
          <w:tcPr>
            <w:tcW w:w="2455" w:type="pct"/>
          </w:tcPr>
          <w:p w:rsidR="00E56580" w:rsidRPr="009401AB" w:rsidRDefault="00E56580" w:rsidP="007879DF">
            <w:pPr>
              <w:ind w:firstLine="720"/>
              <w:jc w:val="both"/>
            </w:pPr>
            <w:r w:rsidRPr="009401AB">
              <w:lastRenderedPageBreak/>
              <w:t xml:space="preserve">49. Управляющая компания осуществляет выдачу инвестиционных паев после завершения (окончания) формирования фонда при досрочном погашении инвестиционных паев. </w:t>
            </w:r>
          </w:p>
          <w:p w:rsidR="00E56580" w:rsidRDefault="00E56580">
            <w:pPr>
              <w:ind w:firstLine="720"/>
              <w:jc w:val="both"/>
            </w:pPr>
          </w:p>
        </w:tc>
        <w:tc>
          <w:tcPr>
            <w:tcW w:w="2545" w:type="pct"/>
            <w:vAlign w:val="center"/>
          </w:tcPr>
          <w:p w:rsidR="00E56580" w:rsidRPr="00E56580" w:rsidRDefault="00E56580" w:rsidP="007879DF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9401AB">
              <w:t>49. Управляющая компания осуществляет выдачу инвестиционных паев после завершения (окончания) формирования фонда при досрочном погашении инвестиционных паев</w:t>
            </w:r>
            <w:r w:rsidRPr="007879DF">
              <w:rPr>
                <w:b/>
              </w:rPr>
              <w:t>, за исключением случая досрочного частичного погашения инвестиционных паев в соответствии с пунктом 9</w:t>
            </w:r>
            <w:r>
              <w:rPr>
                <w:b/>
              </w:rPr>
              <w:t>7</w:t>
            </w:r>
            <w:r w:rsidRPr="007879DF">
              <w:rPr>
                <w:b/>
              </w:rPr>
              <w:t xml:space="preserve">.1. Правил. </w:t>
            </w:r>
          </w:p>
        </w:tc>
      </w:tr>
      <w:tr w:rsidR="005C75AE" w:rsidTr="006E4402">
        <w:trPr>
          <w:trHeight w:val="628"/>
        </w:trPr>
        <w:tc>
          <w:tcPr>
            <w:tcW w:w="2455" w:type="pct"/>
            <w:vAlign w:val="center"/>
          </w:tcPr>
          <w:p w:rsidR="005C75AE" w:rsidRDefault="005C75AE" w:rsidP="005C75AE">
            <w:pPr>
              <w:ind w:firstLine="720"/>
              <w:jc w:val="both"/>
            </w:pPr>
            <w:r>
              <w:tab/>
            </w:r>
          </w:p>
        </w:tc>
        <w:tc>
          <w:tcPr>
            <w:tcW w:w="2545" w:type="pct"/>
            <w:vAlign w:val="center"/>
          </w:tcPr>
          <w:p w:rsidR="005C75AE" w:rsidRPr="00C66849" w:rsidRDefault="005C75AE" w:rsidP="005C75A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849">
              <w:rPr>
                <w:b/>
              </w:rPr>
              <w:t>Добавить п</w:t>
            </w:r>
            <w:r w:rsidR="006032C8">
              <w:rPr>
                <w:b/>
              </w:rPr>
              <w:t>ункт</w:t>
            </w:r>
            <w:r w:rsidRPr="00C66849">
              <w:rPr>
                <w:b/>
              </w:rPr>
              <w:t xml:space="preserve"> 97.1 </w:t>
            </w:r>
          </w:p>
          <w:p w:rsidR="005C75AE" w:rsidRPr="00C66849" w:rsidRDefault="005C75AE" w:rsidP="005C75AE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</w:rPr>
            </w:pPr>
            <w:r w:rsidRPr="00C66849">
              <w:rPr>
                <w:b/>
              </w:rPr>
              <w:t>97.1. Частичное погашение инвестиционных паев (далее – частичное погашение) осуществляется без заявления владельцем инвестиционных паев требования об их погашении в случаях и порядке, которые установлены нормативными актами в сфере финансовых рынков.</w:t>
            </w:r>
          </w:p>
          <w:p w:rsidR="005C75AE" w:rsidRPr="00C66849" w:rsidRDefault="005C75AE" w:rsidP="005C75AE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</w:rPr>
            </w:pPr>
            <w:r w:rsidRPr="00C66849">
              <w:rPr>
                <w:b/>
              </w:rPr>
              <w:t xml:space="preserve">      Частичное погашение не осуществляется после возникновения основания для прекращения </w:t>
            </w:r>
            <w:r w:rsidR="00E56580">
              <w:rPr>
                <w:b/>
              </w:rPr>
              <w:t>ф</w:t>
            </w:r>
            <w:r w:rsidRPr="00C66849">
              <w:rPr>
                <w:b/>
              </w:rPr>
              <w:t>онда.</w:t>
            </w:r>
          </w:p>
          <w:p w:rsidR="005C75AE" w:rsidRPr="00C66849" w:rsidRDefault="005C75AE" w:rsidP="005C75AE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</w:rPr>
            </w:pPr>
            <w:r w:rsidRPr="00C66849">
              <w:rPr>
                <w:b/>
              </w:rPr>
              <w:t>На основании распоряжения управляющей компании в соответствии с требованиями подпункта 8.1 пункта 2 статьи 39 Федерального закона «Об инвестиционных фондах» составляется список владельцев инвестиционных паев фонда для частичного погашения (далее - список владельцев) по состоянию на следующие даты:</w:t>
            </w:r>
          </w:p>
          <w:p w:rsidR="005C75AE" w:rsidRPr="00C66849" w:rsidRDefault="00CD60C9" w:rsidP="005C75AE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</w:rPr>
            </w:pPr>
            <w:r>
              <w:rPr>
                <w:b/>
              </w:rPr>
              <w:t xml:space="preserve">25 </w:t>
            </w:r>
            <w:r w:rsidR="00F241D9">
              <w:rPr>
                <w:b/>
              </w:rPr>
              <w:t xml:space="preserve">мая </w:t>
            </w:r>
            <w:r w:rsidR="005C75AE" w:rsidRPr="00C66849">
              <w:rPr>
                <w:b/>
              </w:rPr>
              <w:t>201</w:t>
            </w:r>
            <w:r w:rsidR="005C75AE">
              <w:rPr>
                <w:b/>
              </w:rPr>
              <w:t>7</w:t>
            </w:r>
            <w:r w:rsidR="005C75AE" w:rsidRPr="00C66849">
              <w:rPr>
                <w:b/>
              </w:rPr>
              <w:t xml:space="preserve"> года;</w:t>
            </w:r>
          </w:p>
          <w:p w:rsidR="005C75AE" w:rsidRPr="00C66849" w:rsidRDefault="005C75AE" w:rsidP="005C75AE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</w:rPr>
            </w:pPr>
            <w:r w:rsidRPr="00C66849">
              <w:rPr>
                <w:b/>
              </w:rPr>
              <w:t>1</w:t>
            </w:r>
            <w:r>
              <w:rPr>
                <w:b/>
              </w:rPr>
              <w:t>5</w:t>
            </w:r>
            <w:r w:rsidRPr="00C66849">
              <w:rPr>
                <w:b/>
              </w:rPr>
              <w:t xml:space="preserve"> </w:t>
            </w:r>
            <w:r>
              <w:rPr>
                <w:b/>
              </w:rPr>
              <w:t>сентября</w:t>
            </w:r>
            <w:r w:rsidRPr="00C66849">
              <w:rPr>
                <w:b/>
              </w:rPr>
              <w:t xml:space="preserve"> 201</w:t>
            </w:r>
            <w:r>
              <w:rPr>
                <w:b/>
              </w:rPr>
              <w:t>7 года.</w:t>
            </w:r>
          </w:p>
          <w:p w:rsidR="005C75AE" w:rsidRPr="00C66849" w:rsidRDefault="005C75AE" w:rsidP="005C75AE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</w:rPr>
            </w:pPr>
            <w:r w:rsidRPr="00C66849">
              <w:rPr>
                <w:b/>
              </w:rPr>
              <w:t xml:space="preserve">Максимальное количество инвестиционных паев </w:t>
            </w:r>
            <w:r w:rsidR="00E56580">
              <w:rPr>
                <w:b/>
              </w:rPr>
              <w:t>ф</w:t>
            </w:r>
            <w:r w:rsidRPr="00C66849">
              <w:rPr>
                <w:b/>
              </w:rPr>
              <w:t xml:space="preserve">онда, которое погашается, составляет 20 процентов от общего количества выданных инвестиционных паев </w:t>
            </w:r>
            <w:r w:rsidR="00E56580">
              <w:rPr>
                <w:b/>
              </w:rPr>
              <w:t>ф</w:t>
            </w:r>
            <w:r w:rsidRPr="00C66849">
              <w:rPr>
                <w:b/>
              </w:rPr>
              <w:t>онда на дату составления списка владельцев.</w:t>
            </w:r>
          </w:p>
          <w:p w:rsidR="005C75AE" w:rsidRDefault="005C75AE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</w:rPr>
            </w:pPr>
            <w:r w:rsidRPr="00C66849">
              <w:rPr>
                <w:b/>
              </w:rPr>
              <w:t xml:space="preserve">Частичное погашение осуществляется в течение 10 рабочих дней </w:t>
            </w:r>
            <w:proofErr w:type="gramStart"/>
            <w:r w:rsidRPr="00C66849">
              <w:rPr>
                <w:b/>
              </w:rPr>
              <w:t>с даты составления</w:t>
            </w:r>
            <w:proofErr w:type="gramEnd"/>
            <w:r w:rsidRPr="00C66849">
              <w:rPr>
                <w:b/>
              </w:rPr>
              <w:t xml:space="preserve"> списка владельцев.</w:t>
            </w:r>
            <w:r w:rsidR="00EF7CDF" w:rsidRPr="00C66849">
              <w:rPr>
                <w:b/>
              </w:rPr>
              <w:t xml:space="preserve"> </w:t>
            </w:r>
          </w:p>
          <w:p w:rsidR="00EF7CDF" w:rsidRPr="001E7880" w:rsidRDefault="007879DF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</w:rPr>
            </w:pPr>
            <w:r w:rsidRPr="007879DF">
              <w:rPr>
                <w:b/>
              </w:rPr>
              <w:t>Сумма денежной компенсации, подлежащая выплате в связи с частичным погашением, определяется на основе расчетной стоимости инвестиционного пая на дату составления списка владельцев.</w:t>
            </w:r>
          </w:p>
        </w:tc>
      </w:tr>
      <w:tr w:rsidR="001C391A" w:rsidTr="00352199">
        <w:trPr>
          <w:trHeight w:val="628"/>
        </w:trPr>
        <w:tc>
          <w:tcPr>
            <w:tcW w:w="2455" w:type="pct"/>
          </w:tcPr>
          <w:p w:rsidR="001C391A" w:rsidRDefault="001C391A" w:rsidP="00352199">
            <w:pPr>
              <w:ind w:firstLine="720"/>
              <w:jc w:val="both"/>
            </w:pPr>
            <w:r>
              <w:lastRenderedPageBreak/>
              <w:t xml:space="preserve">111. Выплата денежной компенсации осуществляется в течение 1 (Одного) месяца со дня окончания срока приема заявок на погашение инвестиционных паев. </w:t>
            </w:r>
          </w:p>
          <w:p w:rsidR="001C391A" w:rsidRPr="005C75AE" w:rsidRDefault="001C391A" w:rsidP="00352199">
            <w:pPr>
              <w:ind w:firstLine="720"/>
              <w:jc w:val="both"/>
            </w:pPr>
            <w:r>
              <w:t>Требование настоящего пункта не распространяется на случаи погашения инвестиционных паев при прекращении фонда.</w:t>
            </w:r>
          </w:p>
        </w:tc>
        <w:tc>
          <w:tcPr>
            <w:tcW w:w="2545" w:type="pct"/>
            <w:vAlign w:val="center"/>
          </w:tcPr>
          <w:p w:rsidR="001C391A" w:rsidRDefault="001C391A" w:rsidP="001C391A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111. Выплата денежной компенсации осуществляется в течение 1 (Одного) месяца со дня окончания срока приема заявок на погашение инвестиционных паев. </w:t>
            </w:r>
          </w:p>
          <w:p w:rsidR="001C391A" w:rsidRDefault="001C391A" w:rsidP="001C391A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Требование настоящего пункта не распространяется на случаи погашения инвестиционных паев при прекращении фонда.</w:t>
            </w:r>
          </w:p>
          <w:p w:rsidR="001C391A" w:rsidRPr="001C391A" w:rsidRDefault="001C391A" w:rsidP="001C391A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</w:rPr>
            </w:pPr>
            <w:r w:rsidRPr="001C391A">
              <w:rPr>
                <w:b/>
              </w:rPr>
              <w:t xml:space="preserve">Выплата денежной компенсации в связи с частичным погашением инвестиционного пая без заявления владельцем инвестиционных паев требования о его погашении должна осуществляться в течение 5 рабочих дней со дня погашения инвестиционного пая. В этом случае инвестиционные паи блокируются на лицевых счетах в реестре владельцев инвестиционных паев и </w:t>
            </w:r>
            <w:proofErr w:type="gramStart"/>
            <w:r w:rsidRPr="001C391A">
              <w:rPr>
                <w:b/>
              </w:rPr>
              <w:t>на счетах депо в депозитариях с даты составления списка владельцев инвестиционных паев до даты совершения операций по лицевым счетам</w:t>
            </w:r>
            <w:proofErr w:type="gramEnd"/>
            <w:r w:rsidRPr="001C391A">
              <w:rPr>
                <w:b/>
              </w:rPr>
              <w:t xml:space="preserve"> в реестре владельцев инвестиционных паев и по счетам депо в связи с погашением этих инвестиционных паев.</w:t>
            </w:r>
          </w:p>
        </w:tc>
      </w:tr>
      <w:tr w:rsidR="005C75AE" w:rsidTr="005C75AE">
        <w:trPr>
          <w:trHeight w:val="699"/>
        </w:trPr>
        <w:tc>
          <w:tcPr>
            <w:tcW w:w="2455" w:type="pct"/>
          </w:tcPr>
          <w:p w:rsidR="005C75AE" w:rsidRPr="00D86D9C" w:rsidRDefault="005C75AE" w:rsidP="005C75AE">
            <w:pPr>
              <w:jc w:val="both"/>
            </w:pPr>
            <w:r w:rsidRPr="00D86D9C">
              <w:t xml:space="preserve">114. За счет имущества, составляющего фонд, выплачиваются вознаграждения управляющей компании в размере 3,0 (Трёх) процентов среднегодовой стоимости чистых активов фонда,  а также специализированному депозитарию, регистратору, аудиторской организации и оценщику в размере не более </w:t>
            </w:r>
            <w:r w:rsidRPr="006032C8">
              <w:rPr>
                <w:b/>
              </w:rPr>
              <w:t>3,7 (Трёх целых семи десятых) процентов</w:t>
            </w:r>
            <w:r w:rsidRPr="00D86D9C">
              <w:t xml:space="preserve"> среднегодовой стоимости чистых активов фонда.</w:t>
            </w:r>
          </w:p>
        </w:tc>
        <w:tc>
          <w:tcPr>
            <w:tcW w:w="2545" w:type="pct"/>
          </w:tcPr>
          <w:p w:rsidR="005C75AE" w:rsidRDefault="005C75AE" w:rsidP="006032C8">
            <w:pPr>
              <w:jc w:val="both"/>
            </w:pPr>
            <w:r w:rsidRPr="00D86D9C">
              <w:t xml:space="preserve">114. За счет имущества, составляющего фонд, выплачиваются вознаграждения управляющей компании в размере 3,0 (Трёх) процентов среднегодовой стоимости чистых активов фонда,  а также специализированному депозитарию, регистратору, аудиторской организации и оценщику в размере не более </w:t>
            </w:r>
            <w:r w:rsidRPr="006032C8">
              <w:rPr>
                <w:b/>
              </w:rPr>
              <w:t>4,3 (</w:t>
            </w:r>
            <w:r w:rsidR="006032C8">
              <w:rPr>
                <w:b/>
              </w:rPr>
              <w:t>Ч</w:t>
            </w:r>
            <w:r w:rsidRPr="006032C8">
              <w:rPr>
                <w:b/>
              </w:rPr>
              <w:t>етырёх целых трёх десятых)  процентов</w:t>
            </w:r>
            <w:r w:rsidRPr="00D86D9C">
              <w:t xml:space="preserve"> среднегодовой стоимости чистых активов фонда.</w:t>
            </w:r>
          </w:p>
        </w:tc>
      </w:tr>
    </w:tbl>
    <w:p w:rsidR="00FA7538" w:rsidRDefault="00FA7538" w:rsidP="005C75AE">
      <w:pPr>
        <w:pStyle w:val="a3"/>
        <w:jc w:val="both"/>
      </w:pPr>
    </w:p>
    <w:p w:rsidR="00962384" w:rsidRPr="006032C8" w:rsidRDefault="00962384" w:rsidP="00FA75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00"/>
        </w:tabs>
      </w:pPr>
    </w:p>
    <w:p w:rsidR="00962384" w:rsidRPr="00A04078" w:rsidRDefault="00962384" w:rsidP="00FA75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00"/>
        </w:tabs>
      </w:pPr>
    </w:p>
    <w:p w:rsidR="00A97DE6" w:rsidRPr="00A04078" w:rsidRDefault="00A97DE6" w:rsidP="00FA75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00"/>
        </w:tabs>
      </w:pPr>
    </w:p>
    <w:p w:rsidR="00FA7538" w:rsidRDefault="00FA7538" w:rsidP="00FA75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00"/>
        </w:tabs>
      </w:pPr>
      <w:r>
        <w:t>Генеральный директор</w:t>
      </w:r>
      <w:r>
        <w:tab/>
      </w:r>
      <w:r>
        <w:tab/>
      </w:r>
    </w:p>
    <w:p w:rsidR="00FA7538" w:rsidRDefault="00FA7538" w:rsidP="00FA7538">
      <w:pPr>
        <w:pStyle w:val="a3"/>
      </w:pPr>
      <w:r>
        <w:t xml:space="preserve">ООО «УК «ГЕРФИН»                   </w:t>
      </w:r>
      <w:r>
        <w:tab/>
      </w:r>
      <w:r>
        <w:tab/>
      </w:r>
      <w:r>
        <w:tab/>
        <w:t xml:space="preserve">            </w:t>
      </w:r>
      <w:r w:rsidR="004A76E0">
        <w:t xml:space="preserve">                </w:t>
      </w:r>
      <w:r w:rsidR="00B47C43">
        <w:tab/>
      </w:r>
      <w:r w:rsidR="004A76E0">
        <w:t xml:space="preserve"> </w:t>
      </w:r>
      <w:r>
        <w:t xml:space="preserve">   /Герасимов С.Я./</w:t>
      </w:r>
    </w:p>
    <w:p w:rsidR="00FA7538" w:rsidRDefault="00FA7538"/>
    <w:sectPr w:rsidR="00FA7538" w:rsidSect="00001FD8"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9B5" w:rsidRDefault="008A79B5">
      <w:r>
        <w:separator/>
      </w:r>
    </w:p>
  </w:endnote>
  <w:endnote w:type="continuationSeparator" w:id="0">
    <w:p w:rsidR="008A79B5" w:rsidRDefault="008A7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84" w:rsidRDefault="00C23FA8" w:rsidP="00FA7538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623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4078">
      <w:rPr>
        <w:rStyle w:val="a7"/>
        <w:noProof/>
      </w:rPr>
      <w:t>2</w:t>
    </w:r>
    <w:r>
      <w:rPr>
        <w:rStyle w:val="a7"/>
      </w:rPr>
      <w:fldChar w:fldCharType="end"/>
    </w:r>
  </w:p>
  <w:p w:rsidR="00962384" w:rsidRDefault="00962384" w:rsidP="00FA753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9B5" w:rsidRDefault="008A79B5">
      <w:r>
        <w:separator/>
      </w:r>
    </w:p>
  </w:footnote>
  <w:footnote w:type="continuationSeparator" w:id="0">
    <w:p w:rsidR="008A79B5" w:rsidRDefault="008A7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0001"/>
    <w:multiLevelType w:val="hybridMultilevel"/>
    <w:tmpl w:val="DB98E08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538"/>
    <w:rsid w:val="00001FD8"/>
    <w:rsid w:val="0004102A"/>
    <w:rsid w:val="000D2BDC"/>
    <w:rsid w:val="000D7A62"/>
    <w:rsid w:val="000E3C21"/>
    <w:rsid w:val="001764D9"/>
    <w:rsid w:val="001A554A"/>
    <w:rsid w:val="001B3670"/>
    <w:rsid w:val="001B713D"/>
    <w:rsid w:val="001C391A"/>
    <w:rsid w:val="001C5BE4"/>
    <w:rsid w:val="001E7880"/>
    <w:rsid w:val="00215728"/>
    <w:rsid w:val="0026699B"/>
    <w:rsid w:val="002A5A3C"/>
    <w:rsid w:val="00315E72"/>
    <w:rsid w:val="00352199"/>
    <w:rsid w:val="00360011"/>
    <w:rsid w:val="00396604"/>
    <w:rsid w:val="00396608"/>
    <w:rsid w:val="003B56B3"/>
    <w:rsid w:val="00400270"/>
    <w:rsid w:val="004013C8"/>
    <w:rsid w:val="00424CBE"/>
    <w:rsid w:val="00444490"/>
    <w:rsid w:val="004708AA"/>
    <w:rsid w:val="0048168C"/>
    <w:rsid w:val="004A76E0"/>
    <w:rsid w:val="004B5261"/>
    <w:rsid w:val="004B7AED"/>
    <w:rsid w:val="0055412C"/>
    <w:rsid w:val="00567DE9"/>
    <w:rsid w:val="00567DF6"/>
    <w:rsid w:val="005C75AE"/>
    <w:rsid w:val="006032C8"/>
    <w:rsid w:val="006035D1"/>
    <w:rsid w:val="00606363"/>
    <w:rsid w:val="006269C8"/>
    <w:rsid w:val="00642085"/>
    <w:rsid w:val="00646A62"/>
    <w:rsid w:val="00673FFB"/>
    <w:rsid w:val="006D52DB"/>
    <w:rsid w:val="006E4402"/>
    <w:rsid w:val="007879DF"/>
    <w:rsid w:val="007C10F8"/>
    <w:rsid w:val="007C7809"/>
    <w:rsid w:val="00855CBB"/>
    <w:rsid w:val="00892F12"/>
    <w:rsid w:val="008A79B5"/>
    <w:rsid w:val="008B6996"/>
    <w:rsid w:val="008E7275"/>
    <w:rsid w:val="00912465"/>
    <w:rsid w:val="009401AB"/>
    <w:rsid w:val="00962384"/>
    <w:rsid w:val="00996981"/>
    <w:rsid w:val="009C72DE"/>
    <w:rsid w:val="009E6735"/>
    <w:rsid w:val="00A04078"/>
    <w:rsid w:val="00A066A0"/>
    <w:rsid w:val="00A079C8"/>
    <w:rsid w:val="00A43262"/>
    <w:rsid w:val="00A46B9C"/>
    <w:rsid w:val="00A8687E"/>
    <w:rsid w:val="00A87EB7"/>
    <w:rsid w:val="00A97DE6"/>
    <w:rsid w:val="00AF43C3"/>
    <w:rsid w:val="00B35326"/>
    <w:rsid w:val="00B47C43"/>
    <w:rsid w:val="00B728B2"/>
    <w:rsid w:val="00B73689"/>
    <w:rsid w:val="00B75A31"/>
    <w:rsid w:val="00B810E5"/>
    <w:rsid w:val="00B95EA2"/>
    <w:rsid w:val="00BB360F"/>
    <w:rsid w:val="00BC3692"/>
    <w:rsid w:val="00BE4ECD"/>
    <w:rsid w:val="00BE5ED7"/>
    <w:rsid w:val="00C1466F"/>
    <w:rsid w:val="00C23722"/>
    <w:rsid w:val="00C23FA8"/>
    <w:rsid w:val="00C435B6"/>
    <w:rsid w:val="00C66849"/>
    <w:rsid w:val="00C66A4A"/>
    <w:rsid w:val="00C71D3C"/>
    <w:rsid w:val="00C72DB7"/>
    <w:rsid w:val="00C81C0E"/>
    <w:rsid w:val="00C9693B"/>
    <w:rsid w:val="00CD60C9"/>
    <w:rsid w:val="00CE4900"/>
    <w:rsid w:val="00CE5F25"/>
    <w:rsid w:val="00D31886"/>
    <w:rsid w:val="00D86D9C"/>
    <w:rsid w:val="00DD479C"/>
    <w:rsid w:val="00DF527E"/>
    <w:rsid w:val="00DF6DE0"/>
    <w:rsid w:val="00E54348"/>
    <w:rsid w:val="00E56580"/>
    <w:rsid w:val="00EA2122"/>
    <w:rsid w:val="00EB7CBD"/>
    <w:rsid w:val="00EE1D5D"/>
    <w:rsid w:val="00EF7CDF"/>
    <w:rsid w:val="00F241D9"/>
    <w:rsid w:val="00F81C19"/>
    <w:rsid w:val="00FA2C8C"/>
    <w:rsid w:val="00FA7538"/>
    <w:rsid w:val="00FC0904"/>
    <w:rsid w:val="00FF0AF1"/>
    <w:rsid w:val="00FF6FE8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38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A7538"/>
    <w:pPr>
      <w:keepNext/>
      <w:ind w:firstLine="284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FA7538"/>
    <w:rPr>
      <w:rFonts w:cs="Times New Roman"/>
      <w:b/>
      <w:sz w:val="24"/>
      <w:lang w:val="ru-RU" w:eastAsia="ru-RU"/>
    </w:rPr>
  </w:style>
  <w:style w:type="paragraph" w:styleId="a3">
    <w:name w:val="Body Text"/>
    <w:basedOn w:val="a"/>
    <w:link w:val="a4"/>
    <w:uiPriority w:val="99"/>
    <w:rsid w:val="00FA753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A7538"/>
    <w:rPr>
      <w:rFonts w:cs="Times New Roman"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FA75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A7538"/>
    <w:rPr>
      <w:rFonts w:cs="Times New Roman"/>
      <w:sz w:val="24"/>
      <w:lang w:val="ru-RU" w:eastAsia="ru-RU"/>
    </w:rPr>
  </w:style>
  <w:style w:type="character" w:styleId="a7">
    <w:name w:val="page number"/>
    <w:basedOn w:val="a0"/>
    <w:uiPriority w:val="99"/>
    <w:rsid w:val="00FA7538"/>
    <w:rPr>
      <w:rFonts w:cs="Times New Roman"/>
    </w:rPr>
  </w:style>
  <w:style w:type="paragraph" w:customStyle="1" w:styleId="3">
    <w:name w:val="Âåðòèêàëüíûé îòñòóï 3"/>
    <w:uiPriority w:val="99"/>
    <w:rsid w:val="00FA7538"/>
    <w:pPr>
      <w:autoSpaceDE w:val="0"/>
      <w:autoSpaceDN w:val="0"/>
      <w:spacing w:after="0" w:line="240" w:lineRule="auto"/>
      <w:jc w:val="center"/>
    </w:pPr>
    <w:rPr>
      <w:b/>
      <w:bCs/>
      <w:sz w:val="28"/>
      <w:szCs w:val="28"/>
    </w:rPr>
  </w:style>
  <w:style w:type="paragraph" w:styleId="a8">
    <w:name w:val="List Paragraph"/>
    <w:basedOn w:val="a"/>
    <w:uiPriority w:val="99"/>
    <w:qFormat/>
    <w:rsid w:val="008B6996"/>
    <w:pPr>
      <w:spacing w:line="360" w:lineRule="atLeast"/>
      <w:ind w:left="720"/>
      <w:contextualSpacing/>
      <w:jc w:val="both"/>
    </w:pPr>
    <w:rPr>
      <w:rFonts w:ascii="Times New Roman CYR" w:hAnsi="Times New Roman CYR" w:cs="Times New Roman CYR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rsid w:val="00E543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543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56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006_не вступили в силу.Ждем публикацию</Статус_x0020_документа>
    <_EndDate xmlns="http://schemas.microsoft.com/sharepoint/v3/fields">28.03.2017</_En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45022-A6C0-4BF5-B71E-910871C3DE8C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C8F167E6-AB66-481C-933B-70094FF8D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F8C017E-A7C1-4AD7-99C3-FA956E0FA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E4FEC6-77EB-4EFD-91E8-06DA537F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1464</Words>
  <Characters>8350</Characters>
  <Application>Microsoft Office Word</Application>
  <DocSecurity>0</DocSecurity>
  <Lines>69</Lines>
  <Paragraphs>19</Paragraphs>
  <ScaleCrop>false</ScaleCrop>
  <Company>NhT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№ 1</dc:title>
  <dc:creator>user</dc:creator>
  <cp:lastModifiedBy>gluskina</cp:lastModifiedBy>
  <cp:revision>2</cp:revision>
  <cp:lastPrinted>2016-06-06T13:23:00Z</cp:lastPrinted>
  <dcterms:created xsi:type="dcterms:W3CDTF">2017-04-07T08:43:00Z</dcterms:created>
  <dcterms:modified xsi:type="dcterms:W3CDTF">2017-04-07T08:43:00Z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