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77B" w:rsidRPr="000D7A62" w:rsidRDefault="0013286E" w:rsidP="00456540">
      <w:pPr>
        <w:keepNext/>
        <w:autoSpaceDE w:val="0"/>
        <w:autoSpaceDN w:val="0"/>
        <w:jc w:val="right"/>
        <w:outlineLvl w:val="1"/>
        <w:rPr>
          <w:b/>
          <w:szCs w:val="20"/>
        </w:rPr>
      </w:pPr>
      <w:r>
        <w:rPr>
          <w:b/>
          <w:szCs w:val="20"/>
        </w:rPr>
        <w:t xml:space="preserve"> </w:t>
      </w:r>
      <w:r w:rsidR="0086077B" w:rsidRPr="000D7A62">
        <w:rPr>
          <w:b/>
          <w:szCs w:val="20"/>
        </w:rPr>
        <w:t>«УТВЕРЖДЕНО»</w:t>
      </w:r>
    </w:p>
    <w:p w:rsidR="0086077B" w:rsidRPr="000D7A62" w:rsidRDefault="0086077B" w:rsidP="00456540">
      <w:pPr>
        <w:autoSpaceDE w:val="0"/>
        <w:autoSpaceDN w:val="0"/>
        <w:ind w:left="5040"/>
        <w:jc w:val="right"/>
        <w:rPr>
          <w:b/>
        </w:rPr>
      </w:pPr>
      <w:r w:rsidRPr="000D7A62">
        <w:rPr>
          <w:b/>
        </w:rPr>
        <w:t>Генеральн</w:t>
      </w:r>
      <w:r>
        <w:rPr>
          <w:b/>
        </w:rPr>
        <w:t>ый директор</w:t>
      </w:r>
    </w:p>
    <w:p w:rsidR="0086077B" w:rsidRPr="000D7A62" w:rsidRDefault="0086077B" w:rsidP="00456540">
      <w:pPr>
        <w:autoSpaceDE w:val="0"/>
        <w:autoSpaceDN w:val="0"/>
        <w:ind w:left="4680"/>
        <w:jc w:val="right"/>
        <w:rPr>
          <w:b/>
        </w:rPr>
      </w:pPr>
      <w:r w:rsidRPr="000D7A62">
        <w:rPr>
          <w:b/>
        </w:rPr>
        <w:t>ООО «УК «ГЕРФИН»</w:t>
      </w:r>
    </w:p>
    <w:p w:rsidR="0086077B" w:rsidRPr="000D7A62" w:rsidRDefault="0086077B" w:rsidP="00456540">
      <w:pPr>
        <w:autoSpaceDE w:val="0"/>
        <w:autoSpaceDN w:val="0"/>
        <w:ind w:left="5040"/>
        <w:jc w:val="right"/>
        <w:rPr>
          <w:b/>
        </w:rPr>
      </w:pPr>
    </w:p>
    <w:p w:rsidR="0086077B" w:rsidRDefault="0086077B" w:rsidP="00456540">
      <w:pPr>
        <w:autoSpaceDE w:val="0"/>
        <w:autoSpaceDN w:val="0"/>
        <w:ind w:left="5040"/>
        <w:jc w:val="right"/>
        <w:rPr>
          <w:b/>
          <w:szCs w:val="20"/>
        </w:rPr>
      </w:pPr>
      <w:r w:rsidRPr="000D7A62">
        <w:rPr>
          <w:u w:val="single"/>
        </w:rPr>
        <w:t xml:space="preserve">                                        </w:t>
      </w:r>
      <w:r w:rsidRPr="000D7A62">
        <w:rPr>
          <w:b/>
        </w:rPr>
        <w:t xml:space="preserve"> Герасимов</w:t>
      </w:r>
      <w:r w:rsidRPr="000D7A62">
        <w:rPr>
          <w:b/>
          <w:szCs w:val="20"/>
        </w:rPr>
        <w:t xml:space="preserve"> С.Я.</w:t>
      </w:r>
    </w:p>
    <w:p w:rsidR="0086077B" w:rsidRDefault="0086077B" w:rsidP="00456540">
      <w:pPr>
        <w:autoSpaceDE w:val="0"/>
        <w:autoSpaceDN w:val="0"/>
        <w:ind w:left="5040"/>
        <w:jc w:val="right"/>
        <w:rPr>
          <w:b/>
          <w:szCs w:val="20"/>
        </w:rPr>
      </w:pPr>
    </w:p>
    <w:p w:rsidR="0086077B" w:rsidRPr="000D7A62" w:rsidRDefault="008968DA" w:rsidP="008968DA">
      <w:pPr>
        <w:autoSpaceDE w:val="0"/>
        <w:autoSpaceDN w:val="0"/>
        <w:rPr>
          <w:b/>
        </w:rPr>
      </w:pPr>
      <w:r>
        <w:rPr>
          <w:b/>
        </w:rPr>
        <w:t xml:space="preserve">                                                  </w:t>
      </w:r>
      <w:r w:rsidR="000F19C7">
        <w:rPr>
          <w:b/>
        </w:rPr>
        <w:t xml:space="preserve">                              </w:t>
      </w:r>
      <w:r w:rsidR="005F2118">
        <w:rPr>
          <w:b/>
        </w:rPr>
        <w:t xml:space="preserve">    </w:t>
      </w:r>
      <w:r w:rsidR="0086077B" w:rsidRPr="000D7A62">
        <w:rPr>
          <w:b/>
        </w:rPr>
        <w:t>Приказ</w:t>
      </w:r>
      <w:r w:rsidR="00A54277" w:rsidRPr="00A85AEC">
        <w:rPr>
          <w:b/>
        </w:rPr>
        <w:t xml:space="preserve"> </w:t>
      </w:r>
      <w:r w:rsidR="00A54277" w:rsidRPr="00F7529F">
        <w:rPr>
          <w:b/>
        </w:rPr>
        <w:t>№</w:t>
      </w:r>
      <w:r w:rsidR="00A85AEC" w:rsidRPr="00F7529F">
        <w:rPr>
          <w:b/>
        </w:rPr>
        <w:t xml:space="preserve"> </w:t>
      </w:r>
      <w:r w:rsidR="005F2118" w:rsidRPr="005F2118">
        <w:rPr>
          <w:b/>
        </w:rPr>
        <w:t>0410</w:t>
      </w:r>
      <w:r w:rsidR="000F19C7" w:rsidRPr="005F2118">
        <w:rPr>
          <w:b/>
        </w:rPr>
        <w:t xml:space="preserve">/1 </w:t>
      </w:r>
      <w:r w:rsidR="0086077B" w:rsidRPr="005F2118">
        <w:rPr>
          <w:b/>
        </w:rPr>
        <w:t>от</w:t>
      </w:r>
      <w:r w:rsidR="0085312F" w:rsidRPr="005F2118">
        <w:rPr>
          <w:b/>
        </w:rPr>
        <w:t xml:space="preserve"> </w:t>
      </w:r>
      <w:r w:rsidR="000C54DF" w:rsidRPr="005F2118">
        <w:rPr>
          <w:b/>
        </w:rPr>
        <w:t>«</w:t>
      </w:r>
      <w:r w:rsidR="000F19C7" w:rsidRPr="005F2118">
        <w:rPr>
          <w:b/>
        </w:rPr>
        <w:t>1</w:t>
      </w:r>
      <w:r w:rsidR="005F2118" w:rsidRPr="005F2118">
        <w:rPr>
          <w:b/>
        </w:rPr>
        <w:t>0</w:t>
      </w:r>
      <w:r w:rsidR="000C54DF" w:rsidRPr="005F2118">
        <w:rPr>
          <w:b/>
        </w:rPr>
        <w:t>»</w:t>
      </w:r>
      <w:r w:rsidR="000F19C7" w:rsidRPr="005F2118">
        <w:rPr>
          <w:b/>
        </w:rPr>
        <w:t xml:space="preserve"> </w:t>
      </w:r>
      <w:r w:rsidR="005F2118" w:rsidRPr="005F2118">
        <w:rPr>
          <w:b/>
        </w:rPr>
        <w:t>апреля</w:t>
      </w:r>
      <w:r w:rsidR="0013286E" w:rsidRPr="00F7529F">
        <w:rPr>
          <w:b/>
        </w:rPr>
        <w:t xml:space="preserve"> </w:t>
      </w:r>
      <w:r w:rsidRPr="00F7529F">
        <w:rPr>
          <w:b/>
        </w:rPr>
        <w:t>20</w:t>
      </w:r>
      <w:r w:rsidR="00F7529F">
        <w:rPr>
          <w:b/>
        </w:rPr>
        <w:t>20</w:t>
      </w:r>
      <w:r w:rsidRPr="00F7529F">
        <w:rPr>
          <w:b/>
        </w:rPr>
        <w:t xml:space="preserve"> </w:t>
      </w:r>
      <w:r w:rsidR="000C54DF" w:rsidRPr="00F7529F">
        <w:rPr>
          <w:b/>
        </w:rPr>
        <w:t>г.</w:t>
      </w:r>
    </w:p>
    <w:p w:rsidR="0086077B" w:rsidRPr="000D7A62" w:rsidRDefault="0086077B" w:rsidP="00456540">
      <w:pPr>
        <w:autoSpaceDE w:val="0"/>
        <w:autoSpaceDN w:val="0"/>
        <w:ind w:left="5040"/>
        <w:jc w:val="right"/>
        <w:rPr>
          <w:b/>
        </w:rPr>
      </w:pPr>
    </w:p>
    <w:p w:rsidR="0086077B" w:rsidRDefault="0086077B" w:rsidP="00020784">
      <w:pPr>
        <w:keepNext/>
        <w:widowControl w:val="0"/>
        <w:suppressLineNumbers/>
        <w:suppressAutoHyphens/>
        <w:autoSpaceDE w:val="0"/>
        <w:autoSpaceDN w:val="0"/>
        <w:adjustRightInd w:val="0"/>
        <w:spacing w:line="360" w:lineRule="atLeast"/>
        <w:rPr>
          <w:rFonts w:ascii="Times New Roman CYR" w:hAnsi="Times New Roman CYR" w:cs="Times New Roman CYR"/>
          <w:b/>
          <w:bCs/>
          <w:sz w:val="28"/>
          <w:szCs w:val="28"/>
        </w:rPr>
      </w:pPr>
    </w:p>
    <w:p w:rsidR="00832859" w:rsidRPr="00020784" w:rsidRDefault="00832859" w:rsidP="00020784">
      <w:pPr>
        <w:keepNext/>
        <w:widowControl w:val="0"/>
        <w:suppressLineNumbers/>
        <w:suppressAutoHyphens/>
        <w:autoSpaceDE w:val="0"/>
        <w:autoSpaceDN w:val="0"/>
        <w:adjustRightInd w:val="0"/>
        <w:spacing w:line="360" w:lineRule="atLeast"/>
        <w:rPr>
          <w:rFonts w:ascii="Times New Roman CYR" w:hAnsi="Times New Roman CYR" w:cs="Times New Roman CYR"/>
          <w:b/>
          <w:bCs/>
          <w:sz w:val="28"/>
          <w:szCs w:val="28"/>
        </w:rPr>
      </w:pPr>
    </w:p>
    <w:p w:rsidR="0086077B" w:rsidRDefault="0086077B" w:rsidP="00CD2BC5">
      <w:pPr>
        <w:keepNext/>
        <w:widowControl w:val="0"/>
        <w:suppressLineNumbers/>
        <w:suppressAutoHyphens/>
        <w:adjustRightInd w:val="0"/>
        <w:jc w:val="center"/>
        <w:outlineLvl w:val="0"/>
        <w:rPr>
          <w:b/>
          <w:bCs/>
          <w:spacing w:val="30"/>
          <w:sz w:val="28"/>
          <w:szCs w:val="28"/>
        </w:rPr>
      </w:pPr>
      <w:r>
        <w:rPr>
          <w:b/>
          <w:bCs/>
          <w:spacing w:val="30"/>
          <w:sz w:val="28"/>
          <w:szCs w:val="28"/>
        </w:rPr>
        <w:t>ИЗМЕНЕНИЯ И ДОПОЛНЕНИЯ №</w:t>
      </w:r>
      <w:r w:rsidR="00A85AEC">
        <w:rPr>
          <w:b/>
          <w:bCs/>
          <w:spacing w:val="30"/>
          <w:sz w:val="28"/>
          <w:szCs w:val="28"/>
        </w:rPr>
        <w:t xml:space="preserve"> </w:t>
      </w:r>
      <w:r w:rsidR="0085312F">
        <w:rPr>
          <w:b/>
          <w:bCs/>
          <w:spacing w:val="30"/>
          <w:sz w:val="28"/>
          <w:szCs w:val="28"/>
        </w:rPr>
        <w:t>1</w:t>
      </w:r>
      <w:r w:rsidR="00D75014">
        <w:rPr>
          <w:b/>
          <w:bCs/>
          <w:spacing w:val="30"/>
          <w:sz w:val="28"/>
          <w:szCs w:val="28"/>
        </w:rPr>
        <w:t>2</w:t>
      </w:r>
    </w:p>
    <w:p w:rsidR="0086077B" w:rsidRDefault="0086077B" w:rsidP="00CD2BC5">
      <w:pPr>
        <w:keepNext/>
        <w:widowControl w:val="0"/>
        <w:suppressLineNumbers/>
        <w:suppressAutoHyphens/>
        <w:adjustRightInd w:val="0"/>
        <w:jc w:val="center"/>
        <w:outlineLvl w:val="0"/>
        <w:rPr>
          <w:b/>
          <w:bCs/>
          <w:spacing w:val="30"/>
          <w:sz w:val="28"/>
          <w:szCs w:val="28"/>
        </w:rPr>
      </w:pPr>
    </w:p>
    <w:p w:rsidR="00465D18" w:rsidRDefault="00465D18" w:rsidP="00CD2BC5">
      <w:pPr>
        <w:widowControl w:val="0"/>
        <w:spacing w:line="320" w:lineRule="atLeast"/>
        <w:jc w:val="center"/>
        <w:rPr>
          <w:b/>
          <w:bCs/>
          <w:sz w:val="28"/>
          <w:szCs w:val="28"/>
          <w:lang w:eastAsia="en-US"/>
        </w:rPr>
      </w:pPr>
      <w:r>
        <w:rPr>
          <w:b/>
          <w:bCs/>
          <w:sz w:val="28"/>
          <w:szCs w:val="28"/>
          <w:lang w:eastAsia="en-US"/>
        </w:rPr>
        <w:t>в</w:t>
      </w:r>
      <w:r w:rsidR="0086077B">
        <w:rPr>
          <w:b/>
          <w:bCs/>
          <w:sz w:val="28"/>
          <w:szCs w:val="28"/>
          <w:lang w:eastAsia="en-US"/>
        </w:rPr>
        <w:t xml:space="preserve"> </w:t>
      </w:r>
      <w:r w:rsidR="00832859">
        <w:rPr>
          <w:b/>
          <w:bCs/>
          <w:sz w:val="28"/>
          <w:szCs w:val="28"/>
          <w:lang w:eastAsia="en-US"/>
        </w:rPr>
        <w:t xml:space="preserve"> </w:t>
      </w:r>
      <w:r w:rsidR="0086077B">
        <w:rPr>
          <w:b/>
          <w:bCs/>
          <w:sz w:val="28"/>
          <w:szCs w:val="28"/>
          <w:lang w:eastAsia="en-US"/>
        </w:rPr>
        <w:t>ПРАВИЛА</w:t>
      </w:r>
    </w:p>
    <w:p w:rsidR="0086077B" w:rsidRDefault="00465D18" w:rsidP="00CD2BC5">
      <w:pPr>
        <w:widowControl w:val="0"/>
        <w:spacing w:line="320" w:lineRule="atLeast"/>
        <w:jc w:val="center"/>
        <w:rPr>
          <w:b/>
          <w:bCs/>
          <w:sz w:val="28"/>
          <w:szCs w:val="28"/>
          <w:lang w:eastAsia="en-US"/>
        </w:rPr>
      </w:pPr>
      <w:r>
        <w:rPr>
          <w:b/>
          <w:bCs/>
          <w:sz w:val="28"/>
          <w:szCs w:val="28"/>
          <w:lang w:eastAsia="en-US"/>
        </w:rPr>
        <w:t>доверительного управления</w:t>
      </w:r>
    </w:p>
    <w:p w:rsidR="0086077B" w:rsidRDefault="0086077B" w:rsidP="005A39A9">
      <w:pPr>
        <w:widowControl w:val="0"/>
        <w:spacing w:line="320" w:lineRule="atLeast"/>
        <w:ind w:firstLine="709"/>
        <w:jc w:val="center"/>
        <w:rPr>
          <w:b/>
          <w:bCs/>
          <w:sz w:val="28"/>
          <w:szCs w:val="28"/>
          <w:lang w:eastAsia="en-US"/>
        </w:rPr>
      </w:pPr>
    </w:p>
    <w:p w:rsidR="00DE34DA" w:rsidRDefault="0086077B" w:rsidP="00DE34DA">
      <w:pPr>
        <w:widowControl w:val="0"/>
        <w:spacing w:line="320" w:lineRule="atLeast"/>
        <w:ind w:firstLine="709"/>
        <w:jc w:val="center"/>
        <w:rPr>
          <w:b/>
          <w:bCs/>
          <w:sz w:val="28"/>
          <w:szCs w:val="28"/>
          <w:lang w:eastAsia="en-US"/>
        </w:rPr>
      </w:pPr>
      <w:r>
        <w:rPr>
          <w:b/>
          <w:bCs/>
          <w:sz w:val="28"/>
          <w:szCs w:val="28"/>
          <w:lang w:eastAsia="en-US"/>
        </w:rPr>
        <w:t>О</w:t>
      </w:r>
      <w:r w:rsidR="00465D18">
        <w:rPr>
          <w:b/>
          <w:bCs/>
          <w:sz w:val="28"/>
          <w:szCs w:val="28"/>
          <w:lang w:eastAsia="en-US"/>
        </w:rPr>
        <w:t>ткрытым</w:t>
      </w:r>
      <w:r>
        <w:rPr>
          <w:b/>
          <w:bCs/>
          <w:sz w:val="28"/>
          <w:szCs w:val="28"/>
          <w:lang w:eastAsia="en-US"/>
        </w:rPr>
        <w:t xml:space="preserve"> </w:t>
      </w:r>
      <w:r w:rsidR="00465D18">
        <w:rPr>
          <w:b/>
          <w:bCs/>
          <w:sz w:val="28"/>
          <w:szCs w:val="28"/>
          <w:lang w:eastAsia="en-US"/>
        </w:rPr>
        <w:t>паевым</w:t>
      </w:r>
      <w:r>
        <w:rPr>
          <w:b/>
          <w:bCs/>
          <w:sz w:val="28"/>
          <w:szCs w:val="28"/>
          <w:lang w:eastAsia="en-US"/>
        </w:rPr>
        <w:t xml:space="preserve"> </w:t>
      </w:r>
      <w:r w:rsidR="00465D18">
        <w:rPr>
          <w:b/>
          <w:bCs/>
          <w:sz w:val="28"/>
          <w:szCs w:val="28"/>
          <w:lang w:eastAsia="en-US"/>
        </w:rPr>
        <w:t>инвестиционным</w:t>
      </w:r>
      <w:r>
        <w:rPr>
          <w:b/>
          <w:bCs/>
          <w:sz w:val="28"/>
          <w:szCs w:val="28"/>
          <w:lang w:eastAsia="en-US"/>
        </w:rPr>
        <w:t xml:space="preserve"> </w:t>
      </w:r>
      <w:r w:rsidR="00465D18">
        <w:rPr>
          <w:b/>
          <w:bCs/>
          <w:sz w:val="28"/>
          <w:szCs w:val="28"/>
          <w:lang w:eastAsia="en-US"/>
        </w:rPr>
        <w:t xml:space="preserve">фондом </w:t>
      </w:r>
      <w:proofErr w:type="gramStart"/>
      <w:r w:rsidR="001A02A6">
        <w:rPr>
          <w:b/>
          <w:bCs/>
          <w:sz w:val="28"/>
          <w:szCs w:val="28"/>
          <w:lang w:eastAsia="en-US"/>
        </w:rPr>
        <w:t>рыночных</w:t>
      </w:r>
      <w:proofErr w:type="gramEnd"/>
    </w:p>
    <w:p w:rsidR="0086077B" w:rsidRDefault="001A02A6" w:rsidP="00DE34DA">
      <w:pPr>
        <w:widowControl w:val="0"/>
        <w:spacing w:line="320" w:lineRule="atLeast"/>
        <w:ind w:firstLine="709"/>
        <w:jc w:val="center"/>
        <w:rPr>
          <w:b/>
          <w:bCs/>
          <w:sz w:val="28"/>
          <w:szCs w:val="28"/>
          <w:lang w:eastAsia="en-US"/>
        </w:rPr>
      </w:pPr>
      <w:r>
        <w:rPr>
          <w:b/>
          <w:bCs/>
          <w:sz w:val="28"/>
          <w:szCs w:val="28"/>
          <w:lang w:eastAsia="en-US"/>
        </w:rPr>
        <w:t xml:space="preserve">финансовых инструментов </w:t>
      </w:r>
      <w:r w:rsidR="0086077B">
        <w:rPr>
          <w:b/>
          <w:bCs/>
          <w:sz w:val="28"/>
          <w:szCs w:val="28"/>
          <w:lang w:eastAsia="en-US"/>
        </w:rPr>
        <w:t>«ГЕРФИН – фонд облигаций»</w:t>
      </w:r>
    </w:p>
    <w:p w:rsidR="0086077B" w:rsidRDefault="0086077B" w:rsidP="00832859">
      <w:pPr>
        <w:keepNext/>
        <w:widowControl w:val="0"/>
        <w:suppressLineNumbers/>
        <w:suppressAutoHyphens/>
        <w:adjustRightInd w:val="0"/>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0"/>
        <w:gridCol w:w="4801"/>
      </w:tblGrid>
      <w:tr w:rsidR="0086077B" w:rsidTr="0071665C">
        <w:trPr>
          <w:trHeight w:val="731"/>
        </w:trPr>
        <w:tc>
          <w:tcPr>
            <w:tcW w:w="2492" w:type="pct"/>
            <w:vAlign w:val="center"/>
          </w:tcPr>
          <w:p w:rsidR="0086077B" w:rsidRPr="00E4421F" w:rsidRDefault="0086077B" w:rsidP="002749C3">
            <w:pPr>
              <w:spacing w:after="100" w:afterAutospacing="1"/>
              <w:jc w:val="center"/>
              <w:rPr>
                <w:b/>
                <w:sz w:val="28"/>
                <w:szCs w:val="28"/>
              </w:rPr>
            </w:pPr>
            <w:r w:rsidRPr="00E4421F">
              <w:rPr>
                <w:b/>
                <w:sz w:val="28"/>
                <w:szCs w:val="28"/>
              </w:rPr>
              <w:t>Старая редакция</w:t>
            </w:r>
          </w:p>
        </w:tc>
        <w:tc>
          <w:tcPr>
            <w:tcW w:w="2508" w:type="pct"/>
            <w:vAlign w:val="center"/>
          </w:tcPr>
          <w:p w:rsidR="0086077B" w:rsidRPr="0081418D" w:rsidRDefault="0086077B" w:rsidP="00607EE3">
            <w:pPr>
              <w:pStyle w:val="4"/>
              <w:ind w:left="-288"/>
              <w:rPr>
                <w:sz w:val="28"/>
                <w:szCs w:val="28"/>
              </w:rPr>
            </w:pPr>
            <w:r w:rsidRPr="0081418D">
              <w:rPr>
                <w:sz w:val="28"/>
                <w:szCs w:val="28"/>
              </w:rPr>
              <w:t>Новая редакция</w:t>
            </w:r>
          </w:p>
        </w:tc>
      </w:tr>
      <w:tr w:rsidR="00D75014" w:rsidTr="0071665C">
        <w:trPr>
          <w:trHeight w:val="731"/>
        </w:trPr>
        <w:tc>
          <w:tcPr>
            <w:tcW w:w="2492" w:type="pct"/>
            <w:vAlign w:val="center"/>
          </w:tcPr>
          <w:p w:rsidR="00D75014" w:rsidRPr="008E04F2" w:rsidRDefault="00D75014" w:rsidP="00D75014">
            <w:pPr>
              <w:ind w:firstLine="360"/>
              <w:jc w:val="both"/>
            </w:pPr>
            <w:r w:rsidRPr="008E04F2">
              <w:t>13. Полное фирменное наименование аудитор</w:t>
            </w:r>
            <w:proofErr w:type="gramStart"/>
            <w:r w:rsidRPr="008E04F2">
              <w:rPr>
                <w:lang w:val="en-US"/>
              </w:rPr>
              <w:t>c</w:t>
            </w:r>
            <w:proofErr w:type="gramEnd"/>
            <w:r w:rsidRPr="008E04F2">
              <w:t xml:space="preserve">кой организации Фонда (далее – Аудиторская организация): </w:t>
            </w:r>
            <w:r w:rsidRPr="008E04F2">
              <w:rPr>
                <w:rFonts w:ascii="Minion Pro Cyr" w:hAnsi="Minion Pro Cyr"/>
              </w:rPr>
              <w:t>Закрытое акционерное общество Аудиторская компания «</w:t>
            </w:r>
            <w:proofErr w:type="spellStart"/>
            <w:r w:rsidRPr="008E04F2">
              <w:rPr>
                <w:rFonts w:ascii="Minion Pro Cyr" w:hAnsi="Minion Pro Cyr"/>
              </w:rPr>
              <w:t>Арт-Аудит</w:t>
            </w:r>
            <w:proofErr w:type="spellEnd"/>
            <w:r w:rsidRPr="008E04F2">
              <w:rPr>
                <w:rFonts w:ascii="Minion Pro Cyr" w:hAnsi="Minion Pro Cyr"/>
              </w:rPr>
              <w:t>»</w:t>
            </w:r>
            <w:r w:rsidRPr="008E04F2">
              <w:t>.</w:t>
            </w:r>
          </w:p>
          <w:p w:rsidR="00D75014" w:rsidRPr="00E4421F" w:rsidRDefault="00D75014" w:rsidP="002749C3">
            <w:pPr>
              <w:spacing w:after="100" w:afterAutospacing="1"/>
              <w:jc w:val="center"/>
              <w:rPr>
                <w:b/>
                <w:sz w:val="28"/>
                <w:szCs w:val="28"/>
              </w:rPr>
            </w:pPr>
          </w:p>
        </w:tc>
        <w:tc>
          <w:tcPr>
            <w:tcW w:w="2508" w:type="pct"/>
            <w:vAlign w:val="center"/>
          </w:tcPr>
          <w:p w:rsidR="00D75014" w:rsidRPr="00D75014" w:rsidRDefault="00D75014" w:rsidP="00D75014">
            <w:pPr>
              <w:pStyle w:val="4"/>
              <w:ind w:left="-288"/>
              <w:jc w:val="left"/>
              <w:rPr>
                <w:b w:val="0"/>
                <w:sz w:val="28"/>
                <w:szCs w:val="28"/>
              </w:rPr>
            </w:pPr>
            <w:r w:rsidRPr="00D75014">
              <w:rPr>
                <w:b w:val="0"/>
                <w:bCs w:val="0"/>
              </w:rPr>
              <w:t>Исключить пункт 13.</w:t>
            </w:r>
          </w:p>
        </w:tc>
      </w:tr>
      <w:tr w:rsidR="00D75014" w:rsidTr="0071665C">
        <w:trPr>
          <w:trHeight w:val="731"/>
        </w:trPr>
        <w:tc>
          <w:tcPr>
            <w:tcW w:w="2492" w:type="pct"/>
            <w:vAlign w:val="center"/>
          </w:tcPr>
          <w:p w:rsidR="00D75014" w:rsidRPr="008E04F2" w:rsidRDefault="00D75014" w:rsidP="00D75014">
            <w:pPr>
              <w:ind w:firstLine="360"/>
              <w:jc w:val="both"/>
            </w:pPr>
            <w:r w:rsidRPr="008E04F2">
              <w:t xml:space="preserve">14. Место нахождения аудиторской организации: </w:t>
            </w:r>
            <w:bookmarkStart w:id="0" w:name="p_15"/>
            <w:bookmarkStart w:id="1" w:name="p_16"/>
            <w:bookmarkStart w:id="2" w:name="p_17"/>
            <w:bookmarkStart w:id="3" w:name="p_18"/>
            <w:bookmarkStart w:id="4" w:name="p_19"/>
            <w:bookmarkEnd w:id="0"/>
            <w:bookmarkEnd w:id="1"/>
            <w:bookmarkEnd w:id="2"/>
            <w:bookmarkEnd w:id="3"/>
            <w:bookmarkEnd w:id="4"/>
            <w:r>
              <w:rPr>
                <w:rFonts w:ascii="Minion Pro Cyr" w:hAnsi="Minion Pro Cyr"/>
              </w:rPr>
              <w:t>Российская Федерация,</w:t>
            </w:r>
            <w:r w:rsidRPr="008E04F2">
              <w:rPr>
                <w:rFonts w:ascii="Minion Pro Cyr" w:hAnsi="Minion Pro Cyr"/>
              </w:rPr>
              <w:t xml:space="preserve"> 123007, Россия, </w:t>
            </w:r>
            <w:proofErr w:type="gramStart"/>
            <w:r w:rsidRPr="008E04F2">
              <w:rPr>
                <w:rFonts w:ascii="Minion Pro Cyr" w:hAnsi="Minion Pro Cyr"/>
              </w:rPr>
              <w:t>г</w:t>
            </w:r>
            <w:proofErr w:type="gramEnd"/>
            <w:r w:rsidRPr="008E04F2">
              <w:rPr>
                <w:rFonts w:ascii="Minion Pro Cyr" w:hAnsi="Minion Pro Cyr"/>
              </w:rPr>
              <w:t>. Москва, Хорошевское шоссе, д. 32А стр. 22</w:t>
            </w:r>
            <w:r w:rsidRPr="008E04F2">
              <w:t>.</w:t>
            </w:r>
          </w:p>
        </w:tc>
        <w:tc>
          <w:tcPr>
            <w:tcW w:w="2508" w:type="pct"/>
            <w:vAlign w:val="center"/>
          </w:tcPr>
          <w:p w:rsidR="00D75014" w:rsidRPr="00D75014" w:rsidRDefault="00D75014" w:rsidP="00D75014">
            <w:pPr>
              <w:pStyle w:val="4"/>
              <w:ind w:left="-288"/>
              <w:jc w:val="left"/>
              <w:rPr>
                <w:b w:val="0"/>
                <w:sz w:val="28"/>
                <w:szCs w:val="28"/>
              </w:rPr>
            </w:pPr>
            <w:r w:rsidRPr="00D75014">
              <w:rPr>
                <w:b w:val="0"/>
                <w:bCs w:val="0"/>
              </w:rPr>
              <w:t>Исключить пункт 14.</w:t>
            </w:r>
          </w:p>
        </w:tc>
      </w:tr>
      <w:tr w:rsidR="00292AE0" w:rsidTr="00292AE0">
        <w:trPr>
          <w:trHeight w:val="731"/>
        </w:trPr>
        <w:tc>
          <w:tcPr>
            <w:tcW w:w="5000" w:type="pct"/>
            <w:gridSpan w:val="2"/>
            <w:vAlign w:val="center"/>
          </w:tcPr>
          <w:p w:rsidR="00292AE0" w:rsidRPr="00D75014" w:rsidRDefault="00292AE0" w:rsidP="00292AE0">
            <w:pPr>
              <w:pStyle w:val="4"/>
              <w:ind w:left="-288"/>
              <w:rPr>
                <w:b w:val="0"/>
                <w:bCs w:val="0"/>
              </w:rPr>
            </w:pPr>
            <w:r>
              <w:rPr>
                <w:b w:val="0"/>
                <w:bCs w:val="0"/>
              </w:rPr>
              <w:t>Пункты 15-110 считать пунктами 13-108 соответственно</w:t>
            </w:r>
          </w:p>
        </w:tc>
      </w:tr>
      <w:tr w:rsidR="00D75014" w:rsidTr="0071665C">
        <w:trPr>
          <w:trHeight w:val="731"/>
        </w:trPr>
        <w:tc>
          <w:tcPr>
            <w:tcW w:w="2492" w:type="pct"/>
            <w:vAlign w:val="center"/>
          </w:tcPr>
          <w:p w:rsidR="00D75014" w:rsidRPr="00C8499F" w:rsidRDefault="00D75014" w:rsidP="00D75014">
            <w:pPr>
              <w:ind w:firstLine="720"/>
              <w:jc w:val="both"/>
            </w:pPr>
            <w:r w:rsidRPr="00C8499F">
              <w:t>21. Инвестиционная политика управляющей компании:</w:t>
            </w:r>
          </w:p>
          <w:p w:rsidR="00D75014" w:rsidRPr="00C8499F" w:rsidRDefault="00D75014" w:rsidP="00D75014">
            <w:pPr>
              <w:ind w:firstLine="720"/>
              <w:jc w:val="both"/>
              <w:rPr>
                <w:i/>
                <w:iCs/>
              </w:rPr>
            </w:pPr>
            <w:r w:rsidRPr="00C8499F">
              <w:t>Инвестиционной политикой Управляющей компании является долгосрочное вложение сре</w:t>
            </w:r>
            <w:proofErr w:type="gramStart"/>
            <w:r w:rsidRPr="00C8499F">
              <w:t>дств в ц</w:t>
            </w:r>
            <w:proofErr w:type="gramEnd"/>
            <w:r w:rsidRPr="00C8499F">
              <w:t>енные бумаги, краткосрочное вложение средств в ценные бумаги (акции) и краткосрочное вложение средств в имущественные права из фьючерсных и опционных договоров (контрактов)</w:t>
            </w:r>
            <w:r w:rsidRPr="00C8499F">
              <w:rPr>
                <w:i/>
                <w:iCs/>
              </w:rPr>
              <w:t>.</w:t>
            </w:r>
          </w:p>
          <w:p w:rsidR="00D75014" w:rsidRPr="00C8499F" w:rsidRDefault="00D75014" w:rsidP="00D75014">
            <w:pPr>
              <w:ind w:firstLine="720"/>
              <w:jc w:val="both"/>
            </w:pPr>
          </w:p>
          <w:p w:rsidR="00D75014" w:rsidRPr="00C8499F" w:rsidRDefault="00D75014" w:rsidP="00D75014">
            <w:pPr>
              <w:ind w:firstLine="720"/>
              <w:jc w:val="both"/>
            </w:pPr>
            <w:proofErr w:type="gramStart"/>
            <w:r w:rsidRPr="00C8499F">
              <w:t xml:space="preserve">Имущественные права из фьючерсных и опционных договоров (контрактов) могут включаться в состав активов Фонда для случаев хеджирования  (защиты от) ценового или валютного риска во времени либо с целью получения дохода </w:t>
            </w:r>
            <w:r w:rsidRPr="00C8499F">
              <w:lastRenderedPageBreak/>
              <w:t>от изменения цены базового актива, в целях настоящих Правил под которым понимаются активы, указанные в пункте 22 настоящих Правил (в том числе изменения значения индекса, рассчитываемого исходя из стоимости данных</w:t>
            </w:r>
            <w:proofErr w:type="gramEnd"/>
            <w:r w:rsidRPr="00C8499F">
              <w:t xml:space="preserve"> активов), а также денежные средства в иностранной валюте, величины процентных ставок, уровень инфляции, курсы валют.</w:t>
            </w:r>
          </w:p>
          <w:p w:rsidR="00D75014" w:rsidRPr="008E04F2" w:rsidRDefault="00D75014" w:rsidP="00D75014">
            <w:pPr>
              <w:ind w:firstLine="360"/>
              <w:jc w:val="both"/>
            </w:pPr>
          </w:p>
        </w:tc>
        <w:tc>
          <w:tcPr>
            <w:tcW w:w="2508" w:type="pct"/>
            <w:vAlign w:val="center"/>
          </w:tcPr>
          <w:p w:rsidR="00D75014" w:rsidRPr="00C8499F" w:rsidRDefault="00D75014" w:rsidP="00D75014">
            <w:pPr>
              <w:ind w:firstLine="720"/>
              <w:jc w:val="both"/>
            </w:pPr>
            <w:r>
              <w:lastRenderedPageBreak/>
              <w:t>19</w:t>
            </w:r>
            <w:r w:rsidRPr="00C8499F">
              <w:t>. Инвестиционная политика управляющей компании:</w:t>
            </w:r>
          </w:p>
          <w:p w:rsidR="000121FF" w:rsidRPr="00AD0024" w:rsidRDefault="000121FF" w:rsidP="000121FF">
            <w:pPr>
              <w:pStyle w:val="ConsPlusNormal"/>
              <w:spacing w:before="80"/>
              <w:ind w:firstLine="319"/>
              <w:jc w:val="both"/>
              <w:rPr>
                <w:rFonts w:ascii="Times New Roman" w:hAnsi="Times New Roman"/>
                <w:sz w:val="24"/>
                <w:szCs w:val="24"/>
              </w:rPr>
            </w:pPr>
            <w:r w:rsidRPr="00AD0024">
              <w:rPr>
                <w:rFonts w:ascii="Times New Roman" w:hAnsi="Times New Roman"/>
                <w:b/>
                <w:sz w:val="24"/>
                <w:szCs w:val="24"/>
              </w:rPr>
              <w:t xml:space="preserve">Основным направлением </w:t>
            </w:r>
            <w:r w:rsidRPr="000121FF">
              <w:rPr>
                <w:rFonts w:ascii="Times New Roman" w:hAnsi="Times New Roman"/>
                <w:sz w:val="24"/>
                <w:szCs w:val="24"/>
              </w:rPr>
              <w:t>и</w:t>
            </w:r>
            <w:r w:rsidRPr="00AD0024">
              <w:rPr>
                <w:rFonts w:ascii="Times New Roman" w:hAnsi="Times New Roman"/>
                <w:sz w:val="24"/>
                <w:szCs w:val="24"/>
              </w:rPr>
              <w:t xml:space="preserve">нвестиционной политики </w:t>
            </w:r>
            <w:r w:rsidR="00292AE0">
              <w:rPr>
                <w:rFonts w:ascii="Times New Roman" w:hAnsi="Times New Roman"/>
                <w:sz w:val="24"/>
                <w:szCs w:val="24"/>
              </w:rPr>
              <w:t>у</w:t>
            </w:r>
            <w:r w:rsidRPr="00AD0024">
              <w:rPr>
                <w:rFonts w:ascii="Times New Roman" w:hAnsi="Times New Roman"/>
                <w:sz w:val="24"/>
                <w:szCs w:val="24"/>
              </w:rPr>
              <w:t xml:space="preserve">правляющей компании является вложение средств в </w:t>
            </w:r>
            <w:r w:rsidR="006C7064">
              <w:rPr>
                <w:rFonts w:ascii="Times New Roman" w:hAnsi="Times New Roman"/>
                <w:b/>
                <w:sz w:val="24"/>
                <w:szCs w:val="24"/>
              </w:rPr>
              <w:t>облигации</w:t>
            </w:r>
            <w:r w:rsidRPr="00AD0024">
              <w:rPr>
                <w:rFonts w:ascii="Times New Roman" w:hAnsi="Times New Roman"/>
                <w:b/>
                <w:sz w:val="24"/>
                <w:szCs w:val="24"/>
              </w:rPr>
              <w:t xml:space="preserve">, а также российские и иностранные депозитарные расписки, паи (акции) иностранных инвестиционных фондов,  </w:t>
            </w:r>
            <w:r w:rsidRPr="00AD0024">
              <w:rPr>
                <w:rFonts w:ascii="Times New Roman" w:hAnsi="Times New Roman"/>
                <w:sz w:val="24"/>
                <w:szCs w:val="24"/>
              </w:rPr>
              <w:t xml:space="preserve">имущественные права из фьючерсных и опционных договоров (контрактов), </w:t>
            </w:r>
            <w:r w:rsidRPr="00AD0024">
              <w:rPr>
                <w:rFonts w:ascii="Times New Roman" w:hAnsi="Times New Roman"/>
                <w:b/>
                <w:sz w:val="24"/>
                <w:szCs w:val="24"/>
              </w:rPr>
              <w:t xml:space="preserve">базисным активом которых являются </w:t>
            </w:r>
            <w:r w:rsidR="006C7064">
              <w:rPr>
                <w:rFonts w:ascii="Times New Roman" w:hAnsi="Times New Roman"/>
                <w:b/>
                <w:sz w:val="24"/>
                <w:szCs w:val="24"/>
              </w:rPr>
              <w:t>облигации</w:t>
            </w:r>
            <w:r w:rsidRPr="00AD0024">
              <w:rPr>
                <w:rFonts w:ascii="Times New Roman" w:hAnsi="Times New Roman"/>
                <w:sz w:val="24"/>
                <w:szCs w:val="24"/>
              </w:rPr>
              <w:t>.</w:t>
            </w:r>
          </w:p>
          <w:p w:rsidR="000121FF" w:rsidRPr="00AD0024" w:rsidRDefault="000121FF" w:rsidP="000121FF">
            <w:pPr>
              <w:shd w:val="clear" w:color="auto" w:fill="FFFFFF"/>
              <w:ind w:right="21" w:firstLine="319"/>
              <w:jc w:val="both"/>
            </w:pPr>
            <w:proofErr w:type="gramStart"/>
            <w:r w:rsidRPr="00AD0024">
              <w:t xml:space="preserve">Имущественные права из фьючерсных и опционных договоров (контрактов) могут включаться в состав активов </w:t>
            </w:r>
            <w:r w:rsidR="00292AE0">
              <w:t>Ф</w:t>
            </w:r>
            <w:r w:rsidRPr="00AD0024">
              <w:t xml:space="preserve">онда для случаев хеджирования  (защиты от) </w:t>
            </w:r>
            <w:r w:rsidRPr="00AD0024">
              <w:lastRenderedPageBreak/>
              <w:t xml:space="preserve">ценового или валютного риска во времени либо с целью получения дохода от изменения цены базового актива, в целях настоящих Правил под которым понимаются активы, указанные в </w:t>
            </w:r>
            <w:r>
              <w:t xml:space="preserve">пункте </w:t>
            </w:r>
            <w:r w:rsidR="00821F2A" w:rsidRPr="002205BD">
              <w:rPr>
                <w:b/>
              </w:rPr>
              <w:t xml:space="preserve">20 </w:t>
            </w:r>
            <w:r w:rsidRPr="00AD0024">
              <w:t>настоящих Правил (в том числе изменения значения индекса, рассчитываемого исходя из стоимости данных</w:t>
            </w:r>
            <w:proofErr w:type="gramEnd"/>
            <w:r w:rsidRPr="00AD0024">
              <w:t xml:space="preserve"> активов), величины процентных ставок, уровень инфляции, курсы валют.</w:t>
            </w:r>
          </w:p>
          <w:p w:rsidR="00D75014" w:rsidRDefault="00D75014" w:rsidP="00D75014">
            <w:pPr>
              <w:pStyle w:val="4"/>
              <w:ind w:left="-288"/>
              <w:jc w:val="left"/>
              <w:rPr>
                <w:b w:val="0"/>
                <w:bCs w:val="0"/>
              </w:rPr>
            </w:pPr>
          </w:p>
        </w:tc>
      </w:tr>
      <w:tr w:rsidR="00A33919" w:rsidTr="0071665C">
        <w:trPr>
          <w:trHeight w:val="731"/>
        </w:trPr>
        <w:tc>
          <w:tcPr>
            <w:tcW w:w="2492" w:type="pct"/>
          </w:tcPr>
          <w:p w:rsidR="00A01171" w:rsidRPr="00C8499F" w:rsidRDefault="00A01171" w:rsidP="00A01171">
            <w:pPr>
              <w:ind w:firstLine="720"/>
              <w:jc w:val="both"/>
            </w:pPr>
            <w:r w:rsidRPr="00C8499F">
              <w:lastRenderedPageBreak/>
              <w:t xml:space="preserve">22.1. Имущество, составляющее Фонд, может быть инвестировано </w:t>
            </w:r>
            <w:proofErr w:type="gramStart"/>
            <w:r w:rsidRPr="00C8499F">
              <w:t>в</w:t>
            </w:r>
            <w:proofErr w:type="gramEnd"/>
            <w:r w:rsidRPr="00C8499F">
              <w:t>:</w:t>
            </w:r>
          </w:p>
          <w:p w:rsidR="00A01171" w:rsidRPr="00A01171" w:rsidRDefault="00A01171" w:rsidP="00A01171">
            <w:pPr>
              <w:ind w:firstLine="720"/>
              <w:jc w:val="both"/>
            </w:pPr>
            <w:proofErr w:type="gramStart"/>
            <w:r w:rsidRPr="00C8499F">
              <w:t>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утвержденный Указанием Банка России</w:t>
            </w:r>
            <w:proofErr w:type="gramEnd"/>
            <w:r w:rsidRPr="00C8499F">
              <w:t xml:space="preserve"> </w:t>
            </w:r>
            <w:proofErr w:type="gramStart"/>
            <w:r w:rsidRPr="00C8499F">
              <w:t>от 28 января 2016 года №</w:t>
            </w:r>
            <w:r>
              <w:t xml:space="preserve"> </w:t>
            </w:r>
            <w:r w:rsidRPr="00C8499F">
              <w:t xml:space="preserve">3949-У «Об утверждении перечня иностранных бирж, прохождения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 проведения организациями, осуществляющими операции с денежными средствами или иным имуществом, идентификации </w:t>
            </w:r>
            <w:proofErr w:type="spellStart"/>
            <w:r w:rsidRPr="00C8499F">
              <w:t>бенефициарных</w:t>
            </w:r>
            <w:proofErr w:type="spellEnd"/>
            <w:r w:rsidRPr="00C8499F">
              <w:t xml:space="preserve"> владельцев иностранных организаций, чьи ценные бумаги прошли процедуру листинга на</w:t>
            </w:r>
            <w:proofErr w:type="gramEnd"/>
            <w:r w:rsidRPr="00C8499F">
              <w:t xml:space="preserve"> таких </w:t>
            </w:r>
            <w:proofErr w:type="gramStart"/>
            <w:r w:rsidRPr="00C8499F">
              <w:t>биржах</w:t>
            </w:r>
            <w:proofErr w:type="gramEnd"/>
            <w:r w:rsidRPr="00C8499F">
              <w:t>»</w:t>
            </w:r>
            <w:r>
              <w:t>,</w:t>
            </w:r>
            <w:r w:rsidRPr="00FB76ED">
              <w:rPr>
                <w:color w:val="22272F"/>
                <w:sz w:val="23"/>
                <w:szCs w:val="23"/>
                <w:shd w:val="clear" w:color="auto" w:fill="FFFFFF"/>
              </w:rPr>
              <w:t xml:space="preserve"> </w:t>
            </w:r>
            <w:r w:rsidRPr="00A01171">
              <w:t xml:space="preserve">за исключением инвестиционных паев фондов для квалифицированных инвесторов, и активы, являющиеся клиринговыми сертификатами участия: </w:t>
            </w:r>
          </w:p>
          <w:p w:rsidR="00A01171" w:rsidRPr="00A01171" w:rsidRDefault="00A01171" w:rsidP="00A01171">
            <w:pPr>
              <w:numPr>
                <w:ilvl w:val="1"/>
                <w:numId w:val="7"/>
              </w:numPr>
              <w:jc w:val="both"/>
            </w:pPr>
            <w:r w:rsidRPr="00A01171">
              <w:t>паи (акции) иностранных инвестиционных фондов;</w:t>
            </w:r>
          </w:p>
          <w:p w:rsidR="00A01171" w:rsidRPr="00A01171" w:rsidRDefault="00A01171" w:rsidP="00A01171">
            <w:pPr>
              <w:numPr>
                <w:ilvl w:val="1"/>
                <w:numId w:val="7"/>
              </w:numPr>
              <w:jc w:val="both"/>
            </w:pPr>
            <w:r w:rsidRPr="00A01171">
              <w:t xml:space="preserve">акции российских акционерных обществ, за исключением акций акционерных инвестиционных фондов; </w:t>
            </w:r>
          </w:p>
          <w:p w:rsidR="00A01171" w:rsidRPr="00A01171" w:rsidRDefault="00A01171" w:rsidP="00A01171">
            <w:pPr>
              <w:numPr>
                <w:ilvl w:val="1"/>
                <w:numId w:val="7"/>
              </w:numPr>
              <w:jc w:val="both"/>
            </w:pPr>
            <w:r w:rsidRPr="00A01171">
              <w:lastRenderedPageBreak/>
              <w:t xml:space="preserve">акции иностранных акционерных обществ; </w:t>
            </w:r>
          </w:p>
          <w:p w:rsidR="00A01171" w:rsidRPr="00A01171" w:rsidRDefault="00A01171" w:rsidP="00A01171">
            <w:pPr>
              <w:numPr>
                <w:ilvl w:val="1"/>
                <w:numId w:val="7"/>
              </w:numPr>
              <w:jc w:val="both"/>
            </w:pPr>
            <w:r w:rsidRPr="00A01171">
              <w:t>облигации российских юридических лиц, в том числе биржевые;</w:t>
            </w:r>
          </w:p>
          <w:p w:rsidR="00A01171" w:rsidRPr="00A01171" w:rsidRDefault="00A01171" w:rsidP="00A01171">
            <w:pPr>
              <w:numPr>
                <w:ilvl w:val="1"/>
                <w:numId w:val="7"/>
              </w:numPr>
              <w:jc w:val="both"/>
            </w:pPr>
            <w:r w:rsidRPr="00A01171">
              <w:t>государственные ценные бумаги субъектов Российской Федерации и муниципальные ценные бумаги;</w:t>
            </w:r>
          </w:p>
          <w:p w:rsidR="00A01171" w:rsidRPr="00A01171" w:rsidRDefault="00A01171" w:rsidP="00A01171">
            <w:pPr>
              <w:numPr>
                <w:ilvl w:val="1"/>
                <w:numId w:val="7"/>
              </w:numPr>
              <w:jc w:val="both"/>
            </w:pPr>
            <w:r w:rsidRPr="00A01171">
              <w:t>облигации иностранных эмитентов и международных финансовых организаций (далее вместе - облигации иностранных эмитентов);</w:t>
            </w:r>
          </w:p>
          <w:p w:rsidR="00A01171" w:rsidRPr="00A01171" w:rsidRDefault="00A01171" w:rsidP="00A01171">
            <w:pPr>
              <w:numPr>
                <w:ilvl w:val="1"/>
                <w:numId w:val="7"/>
              </w:numPr>
              <w:jc w:val="both"/>
            </w:pPr>
            <w:r w:rsidRPr="00A01171">
              <w:t>российские и иностранные депозитарные расписки на ценные бумаги, предусмотренные настоящим пунктом;</w:t>
            </w:r>
          </w:p>
          <w:p w:rsidR="00A01171" w:rsidRPr="00A01171" w:rsidRDefault="00A01171" w:rsidP="00A01171">
            <w:pPr>
              <w:numPr>
                <w:ilvl w:val="1"/>
                <w:numId w:val="7"/>
              </w:numPr>
              <w:jc w:val="both"/>
            </w:pPr>
            <w:r w:rsidRPr="00A01171">
              <w:t>производные финансовые инструменты (фьючерсные и опционные договоры (контракты) при соблюдении условии, предусмотренных пунктом 22.6 настоящих Правил);</w:t>
            </w:r>
          </w:p>
          <w:p w:rsidR="00A01171" w:rsidRPr="00A01171" w:rsidRDefault="00A01171" w:rsidP="00A01171">
            <w:pPr>
              <w:ind w:firstLine="720"/>
              <w:jc w:val="both"/>
            </w:pPr>
            <w:r w:rsidRPr="00A01171">
              <w:t xml:space="preserve">2) инвестиционные паи открытых паевых инвестиционных фондов, относящихся к категории фондов рыночных финансовых инструментов; </w:t>
            </w:r>
          </w:p>
          <w:p w:rsidR="00A01171" w:rsidRPr="00A01171" w:rsidRDefault="00A01171" w:rsidP="00A01171">
            <w:pPr>
              <w:ind w:firstLine="720"/>
              <w:jc w:val="both"/>
            </w:pPr>
            <w:proofErr w:type="gramStart"/>
            <w:r w:rsidRPr="00A01171">
              <w:t>3)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w:t>
            </w:r>
            <w:proofErr w:type="gramEnd"/>
            <w:r w:rsidRPr="00A01171">
              <w:t xml:space="preserve"> денежный эквивалент драгоценных металлов по текущему курсу (далее - инструменты денежного рынка). </w:t>
            </w:r>
            <w:proofErr w:type="gramStart"/>
            <w:r w:rsidRPr="00A01171">
              <w:t xml:space="preserve">При этом денежные средства во вкладах (депозитах) в российских кредитных организациях и иностранных банках могут входить в состав активов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w:t>
            </w:r>
            <w:r w:rsidRPr="00A01171">
              <w:lastRenderedPageBreak/>
              <w:t>срок, не превышающий 7 рабочих дней;</w:t>
            </w:r>
            <w:proofErr w:type="gramEnd"/>
          </w:p>
          <w:p w:rsidR="00A01171" w:rsidRPr="00A01171" w:rsidRDefault="00A01171" w:rsidP="00A01171">
            <w:pPr>
              <w:ind w:firstLine="720"/>
              <w:jc w:val="both"/>
            </w:pPr>
            <w:r w:rsidRPr="00A01171">
              <w:t>4) права требования из договоров, заключенных для целей доверительного управления в отношении активов, указанных в пункте 22.1 настоящих Правил;</w:t>
            </w:r>
          </w:p>
          <w:p w:rsidR="00A01171" w:rsidRPr="00A01171" w:rsidRDefault="00A01171" w:rsidP="00A01171">
            <w:pPr>
              <w:ind w:firstLine="720"/>
              <w:jc w:val="both"/>
            </w:pPr>
            <w:r w:rsidRPr="00A01171">
              <w:t>5)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A33919" w:rsidRPr="00E4421F" w:rsidRDefault="00A33919" w:rsidP="00920BA6">
            <w:pPr>
              <w:ind w:firstLine="720"/>
              <w:jc w:val="both"/>
              <w:rPr>
                <w:b/>
                <w:sz w:val="28"/>
                <w:szCs w:val="28"/>
              </w:rPr>
            </w:pPr>
          </w:p>
        </w:tc>
        <w:tc>
          <w:tcPr>
            <w:tcW w:w="2508" w:type="pct"/>
            <w:vAlign w:val="center"/>
          </w:tcPr>
          <w:p w:rsidR="00927F61" w:rsidRPr="00C8499F" w:rsidRDefault="00927F61" w:rsidP="00927F61">
            <w:pPr>
              <w:ind w:firstLine="720"/>
              <w:jc w:val="both"/>
            </w:pPr>
            <w:r w:rsidRPr="00C8499F">
              <w:lastRenderedPageBreak/>
              <w:t>2</w:t>
            </w:r>
            <w:r w:rsidR="00990B45">
              <w:t>0</w:t>
            </w:r>
            <w:r w:rsidRPr="00C8499F">
              <w:t xml:space="preserve">.1. Имущество, составляющее Фонд, может быть инвестировано </w:t>
            </w:r>
            <w:proofErr w:type="gramStart"/>
            <w:r w:rsidRPr="00C8499F">
              <w:t>в</w:t>
            </w:r>
            <w:proofErr w:type="gramEnd"/>
            <w:r w:rsidRPr="00C8499F">
              <w:t>:</w:t>
            </w:r>
          </w:p>
          <w:p w:rsidR="00927F61" w:rsidRPr="00A01171" w:rsidRDefault="00927F61" w:rsidP="00927F61">
            <w:pPr>
              <w:ind w:firstLine="720"/>
              <w:jc w:val="both"/>
            </w:pPr>
            <w:proofErr w:type="gramStart"/>
            <w:r w:rsidRPr="00C8499F">
              <w:t xml:space="preserve">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w:t>
            </w:r>
            <w:r w:rsidR="00292AE0" w:rsidRPr="00AA4780">
              <w:rPr>
                <w:sz w:val="22"/>
                <w:szCs w:val="22"/>
              </w:rPr>
              <w:t>отвечающих условиям, предусмотренным Указанием Банка России от 05.09.2016 № 4129-У «О составе и структуре активов акционерных инвестиционных фондов и активов паевых инвестиционных фондов»</w:t>
            </w:r>
            <w:r w:rsidR="00292AE0">
              <w:rPr>
                <w:sz w:val="22"/>
                <w:szCs w:val="22"/>
              </w:rPr>
              <w:t xml:space="preserve"> (далее – иностранные государства)</w:t>
            </w:r>
            <w:r>
              <w:t>,</w:t>
            </w:r>
            <w:r w:rsidRPr="00FB76ED">
              <w:rPr>
                <w:color w:val="22272F"/>
                <w:sz w:val="23"/>
                <w:szCs w:val="23"/>
                <w:shd w:val="clear" w:color="auto" w:fill="FFFFFF"/>
              </w:rPr>
              <w:t xml:space="preserve"> </w:t>
            </w:r>
            <w:r w:rsidRPr="00A01171">
              <w:t>за исключением инвестиционных паев фондов для квалифицированных</w:t>
            </w:r>
            <w:proofErr w:type="gramEnd"/>
            <w:r w:rsidRPr="00A01171">
              <w:t xml:space="preserve"> инвесторов, и активы, являющиеся клиринговыми сертификатами участия: </w:t>
            </w:r>
          </w:p>
          <w:p w:rsidR="00927F61" w:rsidRPr="00A01171" w:rsidRDefault="00927F61" w:rsidP="00A01171">
            <w:pPr>
              <w:numPr>
                <w:ilvl w:val="1"/>
                <w:numId w:val="10"/>
              </w:numPr>
              <w:jc w:val="both"/>
            </w:pPr>
            <w:r w:rsidRPr="00A01171">
              <w:t>паи (акции) иностранных инвестиционных фондов;</w:t>
            </w:r>
          </w:p>
          <w:p w:rsidR="00927F61" w:rsidRPr="00A01171" w:rsidRDefault="00927F61" w:rsidP="00A01171">
            <w:pPr>
              <w:numPr>
                <w:ilvl w:val="1"/>
                <w:numId w:val="10"/>
              </w:numPr>
              <w:jc w:val="both"/>
            </w:pPr>
            <w:r w:rsidRPr="00A01171">
              <w:t xml:space="preserve">акции российских акционерных обществ, за исключением акций акционерных инвестиционных фондов; </w:t>
            </w:r>
          </w:p>
          <w:p w:rsidR="00927F61" w:rsidRPr="00A01171" w:rsidRDefault="00927F61" w:rsidP="00A01171">
            <w:pPr>
              <w:numPr>
                <w:ilvl w:val="1"/>
                <w:numId w:val="10"/>
              </w:numPr>
              <w:jc w:val="both"/>
            </w:pPr>
            <w:r w:rsidRPr="00A01171">
              <w:t xml:space="preserve">акции иностранных акционерных обществ; </w:t>
            </w:r>
          </w:p>
          <w:p w:rsidR="00927F61" w:rsidRPr="00A01171" w:rsidRDefault="00927F61" w:rsidP="00A01171">
            <w:pPr>
              <w:numPr>
                <w:ilvl w:val="1"/>
                <w:numId w:val="10"/>
              </w:numPr>
              <w:jc w:val="both"/>
            </w:pPr>
            <w:r w:rsidRPr="00A01171">
              <w:t>облигации российских юридических лиц, в том числе биржевые;</w:t>
            </w:r>
          </w:p>
          <w:p w:rsidR="00927F61" w:rsidRPr="00A01171" w:rsidRDefault="00927F61" w:rsidP="00A01171">
            <w:pPr>
              <w:numPr>
                <w:ilvl w:val="1"/>
                <w:numId w:val="10"/>
              </w:numPr>
              <w:jc w:val="both"/>
            </w:pPr>
            <w:r w:rsidRPr="00A01171">
              <w:t>государственные ценные бумаги субъектов Российской Федерации и муниципальные ценные бумаги;</w:t>
            </w:r>
          </w:p>
          <w:p w:rsidR="00927F61" w:rsidRDefault="00927F61" w:rsidP="00A01171">
            <w:pPr>
              <w:numPr>
                <w:ilvl w:val="1"/>
                <w:numId w:val="10"/>
              </w:numPr>
              <w:jc w:val="both"/>
            </w:pPr>
            <w:r w:rsidRPr="00A01171">
              <w:t>облигации иностранных эмитентов и международных финансовых организаций (далее вместе - облигации иностранных эмитентов);</w:t>
            </w:r>
          </w:p>
          <w:p w:rsidR="00927F61" w:rsidRPr="00A01171" w:rsidRDefault="00A01171" w:rsidP="00A01171">
            <w:pPr>
              <w:numPr>
                <w:ilvl w:val="1"/>
                <w:numId w:val="10"/>
              </w:numPr>
              <w:jc w:val="both"/>
            </w:pPr>
            <w:r w:rsidRPr="00A01171">
              <w:rPr>
                <w:color w:val="000000"/>
              </w:rPr>
              <w:t xml:space="preserve">российские и иностранные депозитарные расписки </w:t>
            </w:r>
            <w:r w:rsidRPr="00A01171">
              <w:rPr>
                <w:b/>
                <w:color w:val="000000"/>
              </w:rPr>
              <w:t xml:space="preserve">на акции российских акционерных обществ, акции иностранных коммерческих организаций, облигации российских юридических лиц, облигации иностранных </w:t>
            </w:r>
            <w:r w:rsidRPr="00A01171">
              <w:rPr>
                <w:b/>
                <w:color w:val="000000"/>
              </w:rPr>
              <w:lastRenderedPageBreak/>
              <w:t>эмитентов</w:t>
            </w:r>
            <w:r w:rsidRPr="00A01171">
              <w:rPr>
                <w:color w:val="000000"/>
              </w:rPr>
              <w:t xml:space="preserve">; </w:t>
            </w:r>
          </w:p>
          <w:p w:rsidR="00927F61" w:rsidRPr="00A01171" w:rsidRDefault="00927F61" w:rsidP="00A01171">
            <w:pPr>
              <w:numPr>
                <w:ilvl w:val="1"/>
                <w:numId w:val="10"/>
              </w:numPr>
              <w:jc w:val="both"/>
            </w:pPr>
            <w:r w:rsidRPr="00A01171">
              <w:t xml:space="preserve">производные финансовые инструменты (фьючерсные и опционные договоры (контракты) при соблюдении условии, предусмотренных </w:t>
            </w:r>
            <w:r w:rsidRPr="00A01171">
              <w:rPr>
                <w:b/>
              </w:rPr>
              <w:t>пунктом 2</w:t>
            </w:r>
            <w:r w:rsidR="00A01171" w:rsidRPr="00A01171">
              <w:rPr>
                <w:b/>
              </w:rPr>
              <w:t>0</w:t>
            </w:r>
            <w:r w:rsidRPr="00A01171">
              <w:rPr>
                <w:b/>
              </w:rPr>
              <w:t xml:space="preserve">.6 </w:t>
            </w:r>
            <w:r w:rsidRPr="00A01171">
              <w:t>настоящих Правил);</w:t>
            </w:r>
          </w:p>
          <w:p w:rsidR="00927F61" w:rsidRPr="00A01171" w:rsidRDefault="00927F61" w:rsidP="00927F61">
            <w:pPr>
              <w:ind w:firstLine="720"/>
              <w:jc w:val="both"/>
            </w:pPr>
            <w:r w:rsidRPr="00A01171">
              <w:t xml:space="preserve">2) инвестиционные паи открытых паевых инвестиционных фондов, относящихся к категории фондов рыночных финансовых инструментов; </w:t>
            </w:r>
          </w:p>
          <w:p w:rsidR="00927F61" w:rsidRPr="00A01171" w:rsidRDefault="00927F61" w:rsidP="00927F61">
            <w:pPr>
              <w:ind w:firstLine="720"/>
              <w:jc w:val="both"/>
            </w:pPr>
            <w:proofErr w:type="gramStart"/>
            <w:r w:rsidRPr="00A01171">
              <w:t>3)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w:t>
            </w:r>
            <w:proofErr w:type="gramEnd"/>
            <w:r w:rsidRPr="00A01171">
              <w:t xml:space="preserve"> денежный эквивалент драгоценных металлов по текущему курсу (далее - инструменты денежного рынка). </w:t>
            </w:r>
            <w:proofErr w:type="gramStart"/>
            <w:r w:rsidRPr="00A01171">
              <w:t>При этом денежные средства во вкладах (депозитах) в российских кредитных организациях и иностранных банках могут входить в состав активов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7 рабочих дней;</w:t>
            </w:r>
            <w:proofErr w:type="gramEnd"/>
          </w:p>
          <w:p w:rsidR="00927F61" w:rsidRPr="00A01171" w:rsidRDefault="00927F61" w:rsidP="00927F61">
            <w:pPr>
              <w:ind w:firstLine="720"/>
              <w:jc w:val="both"/>
            </w:pPr>
            <w:r w:rsidRPr="00A01171">
              <w:t xml:space="preserve">4) права требования из договоров, заключенных для целей доверительного управления в отношении активов, указанных в </w:t>
            </w:r>
            <w:r w:rsidRPr="00A01171">
              <w:rPr>
                <w:b/>
              </w:rPr>
              <w:t>пункте 2</w:t>
            </w:r>
            <w:r w:rsidR="00A01171" w:rsidRPr="00A01171">
              <w:rPr>
                <w:b/>
              </w:rPr>
              <w:t>0</w:t>
            </w:r>
            <w:r w:rsidRPr="00A01171">
              <w:rPr>
                <w:b/>
              </w:rPr>
              <w:t>.1</w:t>
            </w:r>
            <w:r w:rsidRPr="00A01171">
              <w:t xml:space="preserve"> настоящих Правил;</w:t>
            </w:r>
          </w:p>
          <w:p w:rsidR="00927F61" w:rsidRPr="00A01171" w:rsidRDefault="00927F61" w:rsidP="00927F61">
            <w:pPr>
              <w:ind w:firstLine="720"/>
              <w:jc w:val="both"/>
            </w:pPr>
            <w:r w:rsidRPr="00A01171">
              <w:t>5)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A277A3" w:rsidRPr="00A33919" w:rsidRDefault="00A277A3" w:rsidP="00920BA6">
            <w:pPr>
              <w:autoSpaceDE w:val="0"/>
              <w:autoSpaceDN w:val="0"/>
              <w:adjustRightInd w:val="0"/>
              <w:ind w:firstLine="720"/>
              <w:jc w:val="both"/>
              <w:rPr>
                <w:b/>
              </w:rPr>
            </w:pPr>
          </w:p>
        </w:tc>
      </w:tr>
      <w:tr w:rsidR="0037566B" w:rsidRPr="00990B45" w:rsidTr="00292AE0">
        <w:trPr>
          <w:trHeight w:val="2897"/>
        </w:trPr>
        <w:tc>
          <w:tcPr>
            <w:tcW w:w="2492" w:type="pct"/>
          </w:tcPr>
          <w:p w:rsidR="00990B45" w:rsidRPr="00990B45" w:rsidRDefault="00990B45" w:rsidP="00990B45">
            <w:pPr>
              <w:ind w:firstLine="720"/>
              <w:jc w:val="both"/>
            </w:pPr>
            <w:r w:rsidRPr="00990B45">
              <w:lastRenderedPageBreak/>
              <w:t>23. Структура активов Фонда.</w:t>
            </w:r>
          </w:p>
          <w:p w:rsidR="00990B45" w:rsidRPr="00990B45" w:rsidRDefault="00990B45" w:rsidP="00990B45">
            <w:pPr>
              <w:autoSpaceDE w:val="0"/>
              <w:autoSpaceDN w:val="0"/>
              <w:adjustRightInd w:val="0"/>
              <w:ind w:firstLine="720"/>
              <w:jc w:val="both"/>
            </w:pPr>
            <w:r w:rsidRPr="00990B45">
              <w:t xml:space="preserve">23.1. </w:t>
            </w:r>
            <w:proofErr w:type="gramStart"/>
            <w:r w:rsidRPr="00990B45">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15 процентов стоимости активов Фонда до 31 декабря 2019 года, с 1 января</w:t>
            </w:r>
            <w:proofErr w:type="gramEnd"/>
            <w:r w:rsidRPr="00990B45">
              <w:t xml:space="preserve">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990B45" w:rsidRPr="00990B45" w:rsidRDefault="00990B45" w:rsidP="00990B45">
            <w:pPr>
              <w:autoSpaceDE w:val="0"/>
              <w:autoSpaceDN w:val="0"/>
              <w:adjustRightInd w:val="0"/>
              <w:ind w:firstLine="720"/>
              <w:jc w:val="both"/>
            </w:pPr>
            <w:proofErr w:type="gramStart"/>
            <w:r w:rsidRPr="00990B45">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2021 года - 12 процентов</w:t>
            </w:r>
            <w:proofErr w:type="gramEnd"/>
            <w:r w:rsidRPr="00990B45">
              <w:t xml:space="preserve"> стоимости активов Фонда, с 1 июля 2021 года - 11 процентов стоимости активов Фонда, а с 1 </w:t>
            </w:r>
            <w:r w:rsidRPr="00990B45">
              <w:lastRenderedPageBreak/>
              <w:t>января 2022 года - 10 процентов стоимости активов Фонда.</w:t>
            </w:r>
          </w:p>
          <w:p w:rsidR="00990B45" w:rsidRPr="00990B45" w:rsidRDefault="00990B45" w:rsidP="00990B45">
            <w:pPr>
              <w:autoSpaceDE w:val="0"/>
              <w:autoSpaceDN w:val="0"/>
              <w:adjustRightInd w:val="0"/>
              <w:ind w:firstLine="720"/>
              <w:jc w:val="both"/>
            </w:pPr>
            <w:r w:rsidRPr="00990B45">
              <w:t xml:space="preserve">Для целей настоящего пункта российские и иностранные депозитарные расписки рассматриваются как ценные бумаги, права </w:t>
            </w:r>
            <w:proofErr w:type="gramStart"/>
            <w:r w:rsidRPr="00990B45">
              <w:t>собственности</w:t>
            </w:r>
            <w:proofErr w:type="gramEnd"/>
            <w:r w:rsidRPr="00990B45">
              <w:t xml:space="preserve"> на которые удостоверяют соответствующие депозитарные расписки.</w:t>
            </w:r>
          </w:p>
          <w:p w:rsidR="00990B45" w:rsidRPr="00990B45" w:rsidRDefault="00990B45" w:rsidP="00990B45">
            <w:pPr>
              <w:autoSpaceDE w:val="0"/>
              <w:autoSpaceDN w:val="0"/>
              <w:adjustRightInd w:val="0"/>
              <w:ind w:firstLine="720"/>
              <w:jc w:val="both"/>
            </w:pPr>
            <w:r w:rsidRPr="00990B45">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990B45">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990B45">
              <w:t xml:space="preserve"> (</w:t>
            </w:r>
            <w:proofErr w:type="gramStart"/>
            <w:r w:rsidRPr="00990B45">
              <w:t>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w:t>
            </w:r>
            <w:proofErr w:type="gramEnd"/>
            <w:r w:rsidRPr="00990B45">
              <w:t xml:space="preserve">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990B45" w:rsidRPr="00990B45" w:rsidRDefault="00990B45" w:rsidP="00990B45">
            <w:pPr>
              <w:autoSpaceDE w:val="0"/>
              <w:autoSpaceDN w:val="0"/>
              <w:adjustRightInd w:val="0"/>
              <w:ind w:firstLine="720"/>
              <w:jc w:val="both"/>
            </w:pPr>
            <w:proofErr w:type="gramStart"/>
            <w:r w:rsidRPr="00990B45">
              <w:t xml:space="preserve">Для целей расчета ограничения, указанного в абзаце первом настоящего пункта, при определении доли оценочной </w:t>
            </w:r>
            <w:r w:rsidRPr="00990B45">
              <w:lastRenderedPageBreak/>
              <w:t>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w:t>
            </w:r>
            <w:proofErr w:type="gramEnd"/>
            <w:r w:rsidRPr="00990B45">
              <w:t xml:space="preserve"> исполнение таким юридическим лицом обязательств в течение одного рабочего дня </w:t>
            </w:r>
            <w:proofErr w:type="gramStart"/>
            <w:r w:rsidRPr="00990B45">
              <w:t>с даты предъявления</w:t>
            </w:r>
            <w:proofErr w:type="gramEnd"/>
            <w:r w:rsidRPr="00990B45">
              <w:t xml:space="preserve">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w:t>
            </w:r>
          </w:p>
          <w:p w:rsidR="00990B45" w:rsidRPr="00990B45" w:rsidRDefault="00990B45" w:rsidP="00990B45">
            <w:pPr>
              <w:autoSpaceDE w:val="0"/>
              <w:autoSpaceDN w:val="0"/>
              <w:adjustRightInd w:val="0"/>
              <w:ind w:firstLine="720"/>
              <w:jc w:val="both"/>
            </w:pPr>
            <w:proofErr w:type="gramStart"/>
            <w:r w:rsidRPr="00990B45">
              <w:t>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w:t>
            </w:r>
            <w:proofErr w:type="gramEnd"/>
            <w:r w:rsidRPr="00990B45">
              <w:t xml:space="preserve"> общую сумму денежных средств, подлежащих выплате в связи с погашением инвестиционных паев Фонда на момент расчета ограничения.</w:t>
            </w:r>
          </w:p>
          <w:p w:rsidR="00990B45" w:rsidRPr="00990B45" w:rsidRDefault="00990B45" w:rsidP="00990B45">
            <w:pPr>
              <w:autoSpaceDE w:val="0"/>
              <w:autoSpaceDN w:val="0"/>
              <w:adjustRightInd w:val="0"/>
              <w:ind w:firstLine="720"/>
              <w:jc w:val="both"/>
            </w:pPr>
            <w:proofErr w:type="gramStart"/>
            <w:r w:rsidRPr="00990B45">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w:t>
            </w:r>
            <w:proofErr w:type="gramEnd"/>
            <w:r w:rsidRPr="00990B45">
              <w:t xml:space="preserve"> инвестиционных паев, в течение не более 2 рабочих дней </w:t>
            </w:r>
            <w:proofErr w:type="gramStart"/>
            <w:r w:rsidRPr="00990B45">
              <w:t>с даты</w:t>
            </w:r>
            <w:proofErr w:type="gramEnd"/>
            <w:r w:rsidRPr="00990B45">
              <w:t xml:space="preserve"> указанного включения.</w:t>
            </w:r>
          </w:p>
          <w:p w:rsidR="00990B45" w:rsidRPr="00990B45" w:rsidRDefault="00990B45" w:rsidP="00990B45">
            <w:pPr>
              <w:autoSpaceDE w:val="0"/>
              <w:autoSpaceDN w:val="0"/>
              <w:adjustRightInd w:val="0"/>
              <w:ind w:firstLine="720"/>
              <w:jc w:val="both"/>
            </w:pPr>
            <w:proofErr w:type="gramStart"/>
            <w:r w:rsidRPr="00990B45">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w:t>
            </w:r>
            <w:r w:rsidRPr="00990B45">
              <w:lastRenderedPageBreak/>
              <w:t>финансовых инструментов),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w:t>
            </w:r>
            <w:proofErr w:type="gramEnd"/>
            <w:r w:rsidRPr="00990B45">
              <w:t xml:space="preserve"> года N 156-ФЗ, в совокупности не должны превышать 40 процентов стоимости чистых активов Фонда.</w:t>
            </w:r>
          </w:p>
          <w:p w:rsidR="00990B45" w:rsidRPr="00990B45" w:rsidRDefault="00990B45" w:rsidP="00990B45">
            <w:pPr>
              <w:autoSpaceDE w:val="0"/>
              <w:autoSpaceDN w:val="0"/>
              <w:adjustRightInd w:val="0"/>
              <w:ind w:firstLine="720"/>
              <w:jc w:val="both"/>
            </w:pPr>
            <w:proofErr w:type="gramStart"/>
            <w:r w:rsidRPr="00990B45">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предыдущем абзаце настоящего пункта, с учетом заключенных ранее сделок, с указанных в настоящем абзаце, и заемных средств, предусмотренных подпунктом 5 пункта 1 статьи 40 Федерального закона от 29 ноября</w:t>
            </w:r>
            <w:proofErr w:type="gramEnd"/>
            <w:r w:rsidRPr="00990B45">
              <w:t xml:space="preserve"> 2001 года N 156-ФЗ, не должна превышать 20 процентов стоимости чистых активов Фонда.</w:t>
            </w:r>
          </w:p>
          <w:p w:rsidR="00990B45" w:rsidRPr="00990B45" w:rsidRDefault="00990B45" w:rsidP="00990B45">
            <w:pPr>
              <w:autoSpaceDE w:val="0"/>
              <w:autoSpaceDN w:val="0"/>
              <w:adjustRightInd w:val="0"/>
              <w:ind w:firstLine="720"/>
              <w:jc w:val="both"/>
            </w:pPr>
            <w:proofErr w:type="gramStart"/>
            <w:r w:rsidRPr="00990B45">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roofErr w:type="gramEnd"/>
          </w:p>
          <w:p w:rsidR="00990B45" w:rsidRPr="00990B45" w:rsidRDefault="00990B45" w:rsidP="00990B45">
            <w:pPr>
              <w:autoSpaceDE w:val="0"/>
              <w:autoSpaceDN w:val="0"/>
              <w:adjustRightInd w:val="0"/>
              <w:ind w:firstLine="720"/>
              <w:jc w:val="both"/>
            </w:pPr>
            <w:r w:rsidRPr="00990B45">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990B45" w:rsidRPr="00990B45" w:rsidRDefault="00990B45" w:rsidP="00990B45">
            <w:pPr>
              <w:ind w:firstLine="720"/>
              <w:jc w:val="both"/>
            </w:pPr>
            <w:r w:rsidRPr="00990B45">
              <w:t xml:space="preserve">23.2. </w:t>
            </w:r>
            <w:proofErr w:type="gramStart"/>
            <w:r w:rsidRPr="00990B45">
              <w:t>Доля стоимости инструментов денежного рынка со сроком до погашения (закрытия) менее трех месяцев,</w:t>
            </w:r>
            <w:r w:rsidRPr="00990B45">
              <w:rPr>
                <w:color w:val="22272F"/>
                <w:sz w:val="23"/>
                <w:szCs w:val="23"/>
                <w:shd w:val="clear" w:color="auto" w:fill="FFFFFF"/>
              </w:rPr>
              <w:t xml:space="preserve"> </w:t>
            </w:r>
            <w:r w:rsidRPr="00990B45">
              <w:t xml:space="preserve">прав требований к юридическому лицу, возникших на основании договора о брокерском обслуживании с таким лицом (при условии, что указанным договором </w:t>
            </w:r>
            <w:r w:rsidRPr="00990B45">
              <w:lastRenderedPageBreak/>
              <w:t>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w:t>
            </w:r>
            <w:proofErr w:type="gramEnd"/>
            <w:r w:rsidRPr="00990B45">
              <w:t xml:space="preserve"> (</w:t>
            </w:r>
            <w:proofErr w:type="gramStart"/>
            <w:r w:rsidRPr="00990B45">
              <w:t>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w:t>
            </w:r>
            <w:proofErr w:type="gramEnd"/>
            <w:r w:rsidRPr="00990B45">
              <w:t xml:space="preserve"> одну ступень, ценных бумаг, входящих в расчет следующих фондовых индексов:</w:t>
            </w:r>
          </w:p>
          <w:p w:rsidR="00990B45" w:rsidRPr="00990B45" w:rsidRDefault="00990B45" w:rsidP="00990B45">
            <w:pPr>
              <w:autoSpaceDE w:val="0"/>
              <w:autoSpaceDN w:val="0"/>
              <w:adjustRightInd w:val="0"/>
              <w:ind w:firstLine="720"/>
              <w:jc w:val="both"/>
            </w:pPr>
            <w:r w:rsidRPr="00990B45">
              <w:t>1. S&amp;P/ASX 200 (Австралия)</w:t>
            </w:r>
          </w:p>
          <w:p w:rsidR="00990B45" w:rsidRPr="00990B45" w:rsidRDefault="00990B45" w:rsidP="00990B45">
            <w:pPr>
              <w:autoSpaceDE w:val="0"/>
              <w:autoSpaceDN w:val="0"/>
              <w:adjustRightInd w:val="0"/>
              <w:ind w:firstLine="720"/>
              <w:jc w:val="both"/>
            </w:pPr>
            <w:r w:rsidRPr="00990B45">
              <w:t>2. ATX (Австрия)</w:t>
            </w:r>
          </w:p>
          <w:p w:rsidR="00990B45" w:rsidRPr="00990B45" w:rsidRDefault="00990B45" w:rsidP="00990B45">
            <w:pPr>
              <w:autoSpaceDE w:val="0"/>
              <w:autoSpaceDN w:val="0"/>
              <w:adjustRightInd w:val="0"/>
              <w:ind w:firstLine="720"/>
              <w:jc w:val="both"/>
            </w:pPr>
            <w:r w:rsidRPr="00990B45">
              <w:t>3. BEL20 (Бельгия)</w:t>
            </w:r>
          </w:p>
          <w:p w:rsidR="00990B45" w:rsidRPr="00990B45" w:rsidRDefault="00990B45" w:rsidP="00990B45">
            <w:pPr>
              <w:autoSpaceDE w:val="0"/>
              <w:autoSpaceDN w:val="0"/>
              <w:adjustRightInd w:val="0"/>
              <w:ind w:firstLine="720"/>
              <w:jc w:val="both"/>
            </w:pPr>
            <w:r w:rsidRPr="00990B45">
              <w:t xml:space="preserve">4. </w:t>
            </w:r>
            <w:proofErr w:type="spellStart"/>
            <w:r w:rsidRPr="00990B45">
              <w:t>Bovespa</w:t>
            </w:r>
            <w:proofErr w:type="spellEnd"/>
            <w:r w:rsidRPr="00990B45">
              <w:t xml:space="preserve"> </w:t>
            </w:r>
            <w:proofErr w:type="spellStart"/>
            <w:r w:rsidRPr="00990B45">
              <w:t>Index</w:t>
            </w:r>
            <w:proofErr w:type="spellEnd"/>
            <w:r w:rsidRPr="00990B45">
              <w:t xml:space="preserve"> (Бразилия)</w:t>
            </w:r>
          </w:p>
          <w:p w:rsidR="00990B45" w:rsidRPr="00990B45" w:rsidRDefault="00990B45" w:rsidP="00990B45">
            <w:pPr>
              <w:autoSpaceDE w:val="0"/>
              <w:autoSpaceDN w:val="0"/>
              <w:adjustRightInd w:val="0"/>
              <w:ind w:firstLine="720"/>
              <w:jc w:val="both"/>
            </w:pPr>
            <w:r w:rsidRPr="00990B45">
              <w:t>5. BUX (Венгрия)</w:t>
            </w:r>
          </w:p>
          <w:p w:rsidR="00990B45" w:rsidRPr="00990B45" w:rsidRDefault="00990B45" w:rsidP="00990B45">
            <w:pPr>
              <w:autoSpaceDE w:val="0"/>
              <w:autoSpaceDN w:val="0"/>
              <w:adjustRightInd w:val="0"/>
              <w:ind w:firstLine="720"/>
              <w:jc w:val="both"/>
            </w:pPr>
            <w:r w:rsidRPr="00990B45">
              <w:t>6. FTSE 100 (Великобритания)</w:t>
            </w:r>
          </w:p>
          <w:p w:rsidR="00990B45" w:rsidRPr="00990B45" w:rsidRDefault="00990B45" w:rsidP="00990B45">
            <w:pPr>
              <w:autoSpaceDE w:val="0"/>
              <w:autoSpaceDN w:val="0"/>
              <w:adjustRightInd w:val="0"/>
              <w:ind w:firstLine="720"/>
              <w:jc w:val="both"/>
            </w:pPr>
            <w:r w:rsidRPr="00990B45">
              <w:t xml:space="preserve">7. </w:t>
            </w:r>
            <w:proofErr w:type="spellStart"/>
            <w:r w:rsidRPr="00990B45">
              <w:t>Hang</w:t>
            </w:r>
            <w:proofErr w:type="spellEnd"/>
            <w:r w:rsidRPr="00990B45">
              <w:t xml:space="preserve"> </w:t>
            </w:r>
            <w:proofErr w:type="spellStart"/>
            <w:r w:rsidRPr="00990B45">
              <w:t>Seng</w:t>
            </w:r>
            <w:proofErr w:type="spellEnd"/>
            <w:r w:rsidRPr="00990B45">
              <w:t xml:space="preserve"> (Гонконг)</w:t>
            </w:r>
          </w:p>
          <w:p w:rsidR="00990B45" w:rsidRPr="00990B45" w:rsidRDefault="00990B45" w:rsidP="00990B45">
            <w:pPr>
              <w:autoSpaceDE w:val="0"/>
              <w:autoSpaceDN w:val="0"/>
              <w:adjustRightInd w:val="0"/>
              <w:ind w:firstLine="720"/>
              <w:jc w:val="both"/>
            </w:pPr>
            <w:r w:rsidRPr="00990B45">
              <w:t>8. DAX (Германия)</w:t>
            </w:r>
          </w:p>
          <w:p w:rsidR="00990B45" w:rsidRPr="00990B45" w:rsidRDefault="00990B45" w:rsidP="00990B45">
            <w:pPr>
              <w:autoSpaceDE w:val="0"/>
              <w:autoSpaceDN w:val="0"/>
              <w:adjustRightInd w:val="0"/>
              <w:ind w:firstLine="720"/>
              <w:jc w:val="both"/>
            </w:pPr>
            <w:r w:rsidRPr="00990B45">
              <w:t xml:space="preserve">9. OMX </w:t>
            </w:r>
            <w:proofErr w:type="spellStart"/>
            <w:r w:rsidRPr="00990B45">
              <w:t>Copenhagen</w:t>
            </w:r>
            <w:proofErr w:type="spellEnd"/>
            <w:r w:rsidRPr="00990B45">
              <w:t xml:space="preserve"> 20 (Дания)</w:t>
            </w:r>
          </w:p>
          <w:p w:rsidR="00990B45" w:rsidRPr="00990B45" w:rsidRDefault="00990B45" w:rsidP="00990B45">
            <w:pPr>
              <w:autoSpaceDE w:val="0"/>
              <w:autoSpaceDN w:val="0"/>
              <w:adjustRightInd w:val="0"/>
              <w:ind w:firstLine="720"/>
              <w:jc w:val="both"/>
              <w:rPr>
                <w:lang w:val="en-US"/>
              </w:rPr>
            </w:pPr>
            <w:r w:rsidRPr="00990B45">
              <w:rPr>
                <w:lang w:val="en-US"/>
              </w:rPr>
              <w:t xml:space="preserve">10. </w:t>
            </w:r>
            <w:r w:rsidRPr="00990B45">
              <w:t>ТА</w:t>
            </w:r>
            <w:r w:rsidRPr="00990B45">
              <w:rPr>
                <w:lang w:val="en-US"/>
              </w:rPr>
              <w:t>-35 (</w:t>
            </w:r>
            <w:r w:rsidRPr="00990B45">
              <w:t>Израиль</w:t>
            </w:r>
            <w:r w:rsidRPr="00990B45">
              <w:rPr>
                <w:lang w:val="en-US"/>
              </w:rPr>
              <w:t>)</w:t>
            </w:r>
          </w:p>
          <w:p w:rsidR="00990B45" w:rsidRPr="00990B45" w:rsidRDefault="00990B45" w:rsidP="00990B45">
            <w:pPr>
              <w:autoSpaceDE w:val="0"/>
              <w:autoSpaceDN w:val="0"/>
              <w:adjustRightInd w:val="0"/>
              <w:ind w:firstLine="720"/>
              <w:jc w:val="both"/>
              <w:rPr>
                <w:lang w:val="en-US"/>
              </w:rPr>
            </w:pPr>
            <w:r w:rsidRPr="00990B45">
              <w:rPr>
                <w:lang w:val="en-US"/>
              </w:rPr>
              <w:t>11. S&amp;P BSE SENSEX (</w:t>
            </w:r>
            <w:r w:rsidRPr="00990B45">
              <w:t>Индия</w:t>
            </w:r>
            <w:r w:rsidRPr="00990B45">
              <w:rPr>
                <w:lang w:val="en-US"/>
              </w:rPr>
              <w:t>)</w:t>
            </w:r>
          </w:p>
          <w:p w:rsidR="00990B45" w:rsidRPr="00990B45" w:rsidRDefault="00990B45" w:rsidP="00990B45">
            <w:pPr>
              <w:autoSpaceDE w:val="0"/>
              <w:autoSpaceDN w:val="0"/>
              <w:adjustRightInd w:val="0"/>
              <w:ind w:firstLine="720"/>
              <w:jc w:val="both"/>
              <w:rPr>
                <w:lang w:val="en-US"/>
              </w:rPr>
            </w:pPr>
            <w:r w:rsidRPr="00990B45">
              <w:rPr>
                <w:lang w:val="en-US"/>
              </w:rPr>
              <w:t>12. ISEQ 20 (</w:t>
            </w:r>
            <w:r w:rsidRPr="00990B45">
              <w:t>Ирландия</w:t>
            </w:r>
            <w:r w:rsidRPr="00990B45">
              <w:rPr>
                <w:lang w:val="en-US"/>
              </w:rPr>
              <w:t>)</w:t>
            </w:r>
          </w:p>
          <w:p w:rsidR="00990B45" w:rsidRPr="00990B45" w:rsidRDefault="00990B45" w:rsidP="00990B45">
            <w:pPr>
              <w:autoSpaceDE w:val="0"/>
              <w:autoSpaceDN w:val="0"/>
              <w:adjustRightInd w:val="0"/>
              <w:ind w:firstLine="720"/>
              <w:jc w:val="both"/>
              <w:rPr>
                <w:lang w:val="en-US"/>
              </w:rPr>
            </w:pPr>
            <w:r w:rsidRPr="00990B45">
              <w:rPr>
                <w:lang w:val="en-US"/>
              </w:rPr>
              <w:t xml:space="preserve">13. </w:t>
            </w:r>
            <w:r w:rsidRPr="00990B45">
              <w:t>ОМХ</w:t>
            </w:r>
            <w:r w:rsidRPr="00990B45">
              <w:rPr>
                <w:lang w:val="en-US"/>
              </w:rPr>
              <w:t xml:space="preserve"> Iceland 8 (</w:t>
            </w:r>
            <w:r w:rsidRPr="00990B45">
              <w:t>Исландия</w:t>
            </w:r>
            <w:r w:rsidRPr="00990B45">
              <w:rPr>
                <w:lang w:val="en-US"/>
              </w:rPr>
              <w:t>)</w:t>
            </w:r>
          </w:p>
          <w:p w:rsidR="00990B45" w:rsidRPr="00990B45" w:rsidRDefault="00990B45" w:rsidP="00990B45">
            <w:pPr>
              <w:autoSpaceDE w:val="0"/>
              <w:autoSpaceDN w:val="0"/>
              <w:adjustRightInd w:val="0"/>
              <w:ind w:firstLine="720"/>
              <w:jc w:val="both"/>
              <w:rPr>
                <w:lang w:val="en-US"/>
              </w:rPr>
            </w:pPr>
            <w:r w:rsidRPr="00990B45">
              <w:rPr>
                <w:lang w:val="en-US"/>
              </w:rPr>
              <w:t>14. IBEX 35 (</w:t>
            </w:r>
            <w:r w:rsidRPr="00990B45">
              <w:t>Испания</w:t>
            </w:r>
            <w:r w:rsidRPr="00990B45">
              <w:rPr>
                <w:lang w:val="en-US"/>
              </w:rPr>
              <w:t>)</w:t>
            </w:r>
          </w:p>
          <w:p w:rsidR="00990B45" w:rsidRPr="00990B45" w:rsidRDefault="00990B45" w:rsidP="00990B45">
            <w:pPr>
              <w:autoSpaceDE w:val="0"/>
              <w:autoSpaceDN w:val="0"/>
              <w:adjustRightInd w:val="0"/>
              <w:ind w:firstLine="720"/>
              <w:jc w:val="both"/>
              <w:rPr>
                <w:lang w:val="en-US"/>
              </w:rPr>
            </w:pPr>
            <w:r w:rsidRPr="00990B45">
              <w:rPr>
                <w:lang w:val="en-US"/>
              </w:rPr>
              <w:t>15. FTSE MIB (</w:t>
            </w:r>
            <w:r w:rsidRPr="00990B45">
              <w:t>Италия</w:t>
            </w:r>
            <w:r w:rsidRPr="00990B45">
              <w:rPr>
                <w:lang w:val="en-US"/>
              </w:rPr>
              <w:t>)</w:t>
            </w:r>
          </w:p>
          <w:p w:rsidR="00990B45" w:rsidRPr="00990B45" w:rsidRDefault="00990B45" w:rsidP="00990B45">
            <w:pPr>
              <w:autoSpaceDE w:val="0"/>
              <w:autoSpaceDN w:val="0"/>
              <w:adjustRightInd w:val="0"/>
              <w:ind w:firstLine="720"/>
              <w:jc w:val="both"/>
              <w:rPr>
                <w:lang w:val="en-US"/>
              </w:rPr>
            </w:pPr>
            <w:r w:rsidRPr="00990B45">
              <w:rPr>
                <w:lang w:val="en-US"/>
              </w:rPr>
              <w:t>16. S&amp;P/TSX Composite (</w:t>
            </w:r>
            <w:r w:rsidRPr="00990B45">
              <w:t>Канада</w:t>
            </w:r>
            <w:r w:rsidRPr="00990B45">
              <w:rPr>
                <w:lang w:val="en-US"/>
              </w:rPr>
              <w:t>)</w:t>
            </w:r>
          </w:p>
          <w:p w:rsidR="00990B45" w:rsidRPr="00990B45" w:rsidRDefault="00990B45" w:rsidP="00990B45">
            <w:pPr>
              <w:autoSpaceDE w:val="0"/>
              <w:autoSpaceDN w:val="0"/>
              <w:adjustRightInd w:val="0"/>
              <w:ind w:firstLine="720"/>
              <w:jc w:val="both"/>
              <w:rPr>
                <w:lang w:val="en-US"/>
              </w:rPr>
            </w:pPr>
            <w:r w:rsidRPr="00990B45">
              <w:rPr>
                <w:lang w:val="en-US"/>
              </w:rPr>
              <w:t>17. SSE Composite Index Shanghai SE Composite (</w:t>
            </w:r>
            <w:r w:rsidRPr="00990B45">
              <w:t>Китай</w:t>
            </w:r>
            <w:r w:rsidRPr="00990B45">
              <w:rPr>
                <w:lang w:val="en-US"/>
              </w:rPr>
              <w:t>)</w:t>
            </w:r>
          </w:p>
          <w:p w:rsidR="00990B45" w:rsidRPr="00990B45" w:rsidRDefault="00990B45" w:rsidP="00990B45">
            <w:pPr>
              <w:autoSpaceDE w:val="0"/>
              <w:autoSpaceDN w:val="0"/>
              <w:adjustRightInd w:val="0"/>
              <w:ind w:firstLine="720"/>
              <w:jc w:val="both"/>
              <w:rPr>
                <w:lang w:val="en-US"/>
              </w:rPr>
            </w:pPr>
            <w:r w:rsidRPr="00990B45">
              <w:rPr>
                <w:lang w:val="en-US"/>
              </w:rPr>
              <w:t xml:space="preserve">18. </w:t>
            </w:r>
            <w:proofErr w:type="spellStart"/>
            <w:r w:rsidRPr="00990B45">
              <w:rPr>
                <w:lang w:val="en-US"/>
              </w:rPr>
              <w:t>LuxX</w:t>
            </w:r>
            <w:proofErr w:type="spellEnd"/>
            <w:r w:rsidRPr="00990B45">
              <w:rPr>
                <w:lang w:val="en-US"/>
              </w:rPr>
              <w:t xml:space="preserve"> (</w:t>
            </w:r>
            <w:r w:rsidRPr="00990B45">
              <w:t>Люксембург</w:t>
            </w:r>
            <w:r w:rsidRPr="00990B45">
              <w:rPr>
                <w:lang w:val="en-US"/>
              </w:rPr>
              <w:t>)</w:t>
            </w:r>
          </w:p>
          <w:p w:rsidR="00990B45" w:rsidRPr="00990B45" w:rsidRDefault="00990B45" w:rsidP="00990B45">
            <w:pPr>
              <w:autoSpaceDE w:val="0"/>
              <w:autoSpaceDN w:val="0"/>
              <w:adjustRightInd w:val="0"/>
              <w:ind w:firstLine="720"/>
              <w:jc w:val="both"/>
              <w:rPr>
                <w:lang w:val="en-US"/>
              </w:rPr>
            </w:pPr>
            <w:r w:rsidRPr="00990B45">
              <w:rPr>
                <w:lang w:val="en-US"/>
              </w:rPr>
              <w:t>19. IPC (</w:t>
            </w:r>
            <w:r w:rsidRPr="00990B45">
              <w:t>Мексика</w:t>
            </w:r>
            <w:r w:rsidRPr="00990B45">
              <w:rPr>
                <w:lang w:val="en-US"/>
              </w:rPr>
              <w:t>)</w:t>
            </w:r>
          </w:p>
          <w:p w:rsidR="00990B45" w:rsidRPr="00990B45" w:rsidRDefault="00990B45" w:rsidP="00990B45">
            <w:pPr>
              <w:autoSpaceDE w:val="0"/>
              <w:autoSpaceDN w:val="0"/>
              <w:adjustRightInd w:val="0"/>
              <w:ind w:firstLine="720"/>
              <w:jc w:val="both"/>
              <w:rPr>
                <w:lang w:val="en-US"/>
              </w:rPr>
            </w:pPr>
            <w:r w:rsidRPr="00990B45">
              <w:rPr>
                <w:lang w:val="en-US"/>
              </w:rPr>
              <w:t>20. AEX (</w:t>
            </w:r>
            <w:r w:rsidRPr="00990B45">
              <w:t>Нидерланды</w:t>
            </w:r>
            <w:r w:rsidRPr="00990B45">
              <w:rPr>
                <w:lang w:val="en-US"/>
              </w:rPr>
              <w:t>)</w:t>
            </w:r>
          </w:p>
          <w:p w:rsidR="00990B45" w:rsidRPr="00990B45" w:rsidRDefault="00990B45" w:rsidP="00990B45">
            <w:pPr>
              <w:autoSpaceDE w:val="0"/>
              <w:autoSpaceDN w:val="0"/>
              <w:adjustRightInd w:val="0"/>
              <w:ind w:firstLine="720"/>
              <w:jc w:val="both"/>
            </w:pPr>
            <w:r w:rsidRPr="00990B45">
              <w:t>21. S&amp;P/NZX 50 (Новая Зеландия)</w:t>
            </w:r>
          </w:p>
          <w:p w:rsidR="00990B45" w:rsidRPr="00990B45" w:rsidRDefault="00990B45" w:rsidP="00990B45">
            <w:pPr>
              <w:autoSpaceDE w:val="0"/>
              <w:autoSpaceDN w:val="0"/>
              <w:adjustRightInd w:val="0"/>
              <w:ind w:firstLine="720"/>
              <w:jc w:val="both"/>
            </w:pPr>
            <w:r w:rsidRPr="00990B45">
              <w:t>22. OBX (Норвегия)</w:t>
            </w:r>
          </w:p>
          <w:p w:rsidR="00990B45" w:rsidRPr="00990B45" w:rsidRDefault="00990B45" w:rsidP="00990B45">
            <w:pPr>
              <w:autoSpaceDE w:val="0"/>
              <w:autoSpaceDN w:val="0"/>
              <w:adjustRightInd w:val="0"/>
              <w:ind w:firstLine="720"/>
              <w:jc w:val="both"/>
            </w:pPr>
            <w:r w:rsidRPr="00990B45">
              <w:t>23. WIG (Польша)</w:t>
            </w:r>
          </w:p>
          <w:p w:rsidR="00990B45" w:rsidRPr="00990B45" w:rsidRDefault="00990B45" w:rsidP="00990B45">
            <w:pPr>
              <w:autoSpaceDE w:val="0"/>
              <w:autoSpaceDN w:val="0"/>
              <w:adjustRightInd w:val="0"/>
              <w:ind w:firstLine="720"/>
              <w:jc w:val="both"/>
            </w:pPr>
            <w:r w:rsidRPr="00990B45">
              <w:t>24. PSI 20 (Португалия)</w:t>
            </w:r>
          </w:p>
          <w:p w:rsidR="00990B45" w:rsidRPr="00990B45" w:rsidRDefault="00990B45" w:rsidP="00990B45">
            <w:pPr>
              <w:autoSpaceDE w:val="0"/>
              <w:autoSpaceDN w:val="0"/>
              <w:adjustRightInd w:val="0"/>
              <w:ind w:firstLine="720"/>
              <w:jc w:val="both"/>
            </w:pPr>
            <w:r w:rsidRPr="00990B45">
              <w:t xml:space="preserve">25. Индекс </w:t>
            </w:r>
            <w:proofErr w:type="spellStart"/>
            <w:r w:rsidRPr="00990B45">
              <w:t>МосБиржи</w:t>
            </w:r>
            <w:proofErr w:type="spellEnd"/>
            <w:r w:rsidRPr="00990B45">
              <w:t xml:space="preserve"> (Россия)</w:t>
            </w:r>
          </w:p>
          <w:p w:rsidR="00990B45" w:rsidRPr="00990B45" w:rsidRDefault="00990B45" w:rsidP="00990B45">
            <w:pPr>
              <w:autoSpaceDE w:val="0"/>
              <w:autoSpaceDN w:val="0"/>
              <w:adjustRightInd w:val="0"/>
              <w:ind w:firstLine="720"/>
              <w:jc w:val="both"/>
            </w:pPr>
            <w:r w:rsidRPr="00990B45">
              <w:t>26. Индекс РТС (Россия)</w:t>
            </w:r>
          </w:p>
          <w:p w:rsidR="00990B45" w:rsidRPr="00990B45" w:rsidRDefault="00990B45" w:rsidP="00990B45">
            <w:pPr>
              <w:autoSpaceDE w:val="0"/>
              <w:autoSpaceDN w:val="0"/>
              <w:adjustRightInd w:val="0"/>
              <w:ind w:firstLine="720"/>
              <w:jc w:val="both"/>
            </w:pPr>
            <w:r w:rsidRPr="00990B45">
              <w:t>27. SAX (Словакия)</w:t>
            </w:r>
          </w:p>
          <w:p w:rsidR="00990B45" w:rsidRPr="00990B45" w:rsidRDefault="00990B45" w:rsidP="00990B45">
            <w:pPr>
              <w:autoSpaceDE w:val="0"/>
              <w:autoSpaceDN w:val="0"/>
              <w:adjustRightInd w:val="0"/>
              <w:ind w:firstLine="720"/>
              <w:jc w:val="both"/>
            </w:pPr>
            <w:r w:rsidRPr="00990B45">
              <w:t>28. SBI ТОР (Словения)</w:t>
            </w:r>
          </w:p>
          <w:p w:rsidR="00990B45" w:rsidRPr="00990B45" w:rsidRDefault="00990B45" w:rsidP="00990B45">
            <w:pPr>
              <w:autoSpaceDE w:val="0"/>
              <w:autoSpaceDN w:val="0"/>
              <w:adjustRightInd w:val="0"/>
              <w:ind w:firstLine="720"/>
              <w:jc w:val="both"/>
              <w:rPr>
                <w:lang w:val="en-US"/>
              </w:rPr>
            </w:pPr>
            <w:r w:rsidRPr="00990B45">
              <w:rPr>
                <w:lang w:val="en-US"/>
              </w:rPr>
              <w:t>29. Dow Jones (</w:t>
            </w:r>
            <w:r w:rsidRPr="00990B45">
              <w:t>США</w:t>
            </w:r>
            <w:r w:rsidRPr="00990B45">
              <w:rPr>
                <w:lang w:val="en-US"/>
              </w:rPr>
              <w:t>)</w:t>
            </w:r>
          </w:p>
          <w:p w:rsidR="00990B45" w:rsidRPr="00990B45" w:rsidRDefault="00990B45" w:rsidP="00990B45">
            <w:pPr>
              <w:autoSpaceDE w:val="0"/>
              <w:autoSpaceDN w:val="0"/>
              <w:adjustRightInd w:val="0"/>
              <w:ind w:firstLine="720"/>
              <w:jc w:val="both"/>
              <w:rPr>
                <w:lang w:val="en-US"/>
              </w:rPr>
            </w:pPr>
            <w:r w:rsidRPr="00990B45">
              <w:rPr>
                <w:lang w:val="en-US"/>
              </w:rPr>
              <w:lastRenderedPageBreak/>
              <w:t>30. S&amp;P 500 (</w:t>
            </w:r>
            <w:r w:rsidRPr="00990B45">
              <w:t>США</w:t>
            </w:r>
            <w:r w:rsidRPr="00990B45">
              <w:rPr>
                <w:lang w:val="en-US"/>
              </w:rPr>
              <w:t>)</w:t>
            </w:r>
          </w:p>
          <w:p w:rsidR="00990B45" w:rsidRPr="00990B45" w:rsidRDefault="00990B45" w:rsidP="00990B45">
            <w:pPr>
              <w:autoSpaceDE w:val="0"/>
              <w:autoSpaceDN w:val="0"/>
              <w:adjustRightInd w:val="0"/>
              <w:ind w:firstLine="720"/>
              <w:jc w:val="both"/>
              <w:rPr>
                <w:lang w:val="en-US"/>
              </w:rPr>
            </w:pPr>
            <w:r w:rsidRPr="00990B45">
              <w:rPr>
                <w:lang w:val="en-US"/>
              </w:rPr>
              <w:t>31. BIST 100 (</w:t>
            </w:r>
            <w:r w:rsidRPr="00990B45">
              <w:t>Турция</w:t>
            </w:r>
            <w:r w:rsidRPr="00990B45">
              <w:rPr>
                <w:lang w:val="en-US"/>
              </w:rPr>
              <w:t>)</w:t>
            </w:r>
          </w:p>
          <w:p w:rsidR="00990B45" w:rsidRPr="00990B45" w:rsidRDefault="00990B45" w:rsidP="00990B45">
            <w:pPr>
              <w:autoSpaceDE w:val="0"/>
              <w:autoSpaceDN w:val="0"/>
              <w:adjustRightInd w:val="0"/>
              <w:ind w:firstLine="720"/>
              <w:jc w:val="both"/>
              <w:rPr>
                <w:lang w:val="en-US"/>
              </w:rPr>
            </w:pPr>
            <w:r w:rsidRPr="00990B45">
              <w:rPr>
                <w:lang w:val="en-US"/>
              </w:rPr>
              <w:t>32. OMX Helsinki 25 (</w:t>
            </w:r>
            <w:r w:rsidRPr="00990B45">
              <w:t>Финляндия</w:t>
            </w:r>
            <w:r w:rsidRPr="00990B45">
              <w:rPr>
                <w:lang w:val="en-US"/>
              </w:rPr>
              <w:t>)</w:t>
            </w:r>
          </w:p>
          <w:p w:rsidR="00990B45" w:rsidRPr="00990B45" w:rsidRDefault="00990B45" w:rsidP="00990B45">
            <w:pPr>
              <w:autoSpaceDE w:val="0"/>
              <w:autoSpaceDN w:val="0"/>
              <w:adjustRightInd w:val="0"/>
              <w:ind w:firstLine="720"/>
              <w:jc w:val="both"/>
            </w:pPr>
            <w:r w:rsidRPr="00990B45">
              <w:t>33. CAC 40 (Франция)</w:t>
            </w:r>
          </w:p>
          <w:p w:rsidR="00990B45" w:rsidRPr="00990B45" w:rsidRDefault="00990B45" w:rsidP="00990B45">
            <w:pPr>
              <w:autoSpaceDE w:val="0"/>
              <w:autoSpaceDN w:val="0"/>
              <w:adjustRightInd w:val="0"/>
              <w:ind w:firstLine="720"/>
              <w:jc w:val="both"/>
            </w:pPr>
            <w:r w:rsidRPr="00990B45">
              <w:t xml:space="preserve">34. PX </w:t>
            </w:r>
            <w:proofErr w:type="spellStart"/>
            <w:r w:rsidRPr="00990B45">
              <w:t>Index</w:t>
            </w:r>
            <w:proofErr w:type="spellEnd"/>
            <w:r w:rsidRPr="00990B45">
              <w:t xml:space="preserve"> (Чешская республика)</w:t>
            </w:r>
          </w:p>
          <w:p w:rsidR="00990B45" w:rsidRPr="00990B45" w:rsidRDefault="00990B45" w:rsidP="00990B45">
            <w:pPr>
              <w:autoSpaceDE w:val="0"/>
              <w:autoSpaceDN w:val="0"/>
              <w:adjustRightInd w:val="0"/>
              <w:ind w:firstLine="720"/>
              <w:jc w:val="both"/>
              <w:rPr>
                <w:lang w:val="en-US"/>
              </w:rPr>
            </w:pPr>
            <w:r w:rsidRPr="00990B45">
              <w:rPr>
                <w:lang w:val="en-US"/>
              </w:rPr>
              <w:t>35. S&amp;P/CLX IPSA (</w:t>
            </w:r>
            <w:r w:rsidRPr="00990B45">
              <w:t>Чили</w:t>
            </w:r>
            <w:r w:rsidRPr="00990B45">
              <w:rPr>
                <w:lang w:val="en-US"/>
              </w:rPr>
              <w:t>)</w:t>
            </w:r>
          </w:p>
          <w:p w:rsidR="00990B45" w:rsidRPr="00990B45" w:rsidRDefault="00990B45" w:rsidP="00990B45">
            <w:pPr>
              <w:autoSpaceDE w:val="0"/>
              <w:autoSpaceDN w:val="0"/>
              <w:adjustRightInd w:val="0"/>
              <w:ind w:firstLine="720"/>
              <w:jc w:val="both"/>
              <w:rPr>
                <w:lang w:val="en-US"/>
              </w:rPr>
            </w:pPr>
            <w:r w:rsidRPr="00990B45">
              <w:rPr>
                <w:lang w:val="en-US"/>
              </w:rPr>
              <w:t>36. SMI (</w:t>
            </w:r>
            <w:r w:rsidRPr="00990B45">
              <w:t>Швейцария</w:t>
            </w:r>
            <w:r w:rsidRPr="00990B45">
              <w:rPr>
                <w:lang w:val="en-US"/>
              </w:rPr>
              <w:t>)</w:t>
            </w:r>
          </w:p>
          <w:p w:rsidR="00990B45" w:rsidRPr="00990B45" w:rsidRDefault="00990B45" w:rsidP="00990B45">
            <w:pPr>
              <w:autoSpaceDE w:val="0"/>
              <w:autoSpaceDN w:val="0"/>
              <w:adjustRightInd w:val="0"/>
              <w:ind w:firstLine="720"/>
              <w:jc w:val="both"/>
              <w:rPr>
                <w:lang w:val="en-US"/>
              </w:rPr>
            </w:pPr>
            <w:r w:rsidRPr="00990B45">
              <w:rPr>
                <w:lang w:val="en-US"/>
              </w:rPr>
              <w:t xml:space="preserve">37. </w:t>
            </w:r>
            <w:r w:rsidRPr="00990B45">
              <w:t>ОМХ</w:t>
            </w:r>
            <w:r w:rsidRPr="00990B45">
              <w:rPr>
                <w:lang w:val="en-US"/>
              </w:rPr>
              <w:t xml:space="preserve"> Stockholm 30 (</w:t>
            </w:r>
            <w:r w:rsidRPr="00990B45">
              <w:t>Швеция</w:t>
            </w:r>
            <w:r w:rsidRPr="00990B45">
              <w:rPr>
                <w:lang w:val="en-US"/>
              </w:rPr>
              <w:t>)</w:t>
            </w:r>
          </w:p>
          <w:p w:rsidR="00990B45" w:rsidRPr="00990B45" w:rsidRDefault="00990B45" w:rsidP="00990B45">
            <w:pPr>
              <w:autoSpaceDE w:val="0"/>
              <w:autoSpaceDN w:val="0"/>
              <w:adjustRightInd w:val="0"/>
              <w:ind w:firstLine="720"/>
              <w:jc w:val="both"/>
              <w:rPr>
                <w:lang w:val="en-US"/>
              </w:rPr>
            </w:pPr>
            <w:r w:rsidRPr="00990B45">
              <w:rPr>
                <w:lang w:val="en-US"/>
              </w:rPr>
              <w:t xml:space="preserve">38. </w:t>
            </w:r>
            <w:r w:rsidRPr="00990B45">
              <w:t>ОМХ</w:t>
            </w:r>
            <w:r w:rsidRPr="00990B45">
              <w:rPr>
                <w:lang w:val="en-US"/>
              </w:rPr>
              <w:t xml:space="preserve"> TALLINN_GI (</w:t>
            </w:r>
            <w:r w:rsidRPr="00990B45">
              <w:t>Эстония</w:t>
            </w:r>
            <w:r w:rsidRPr="00990B45">
              <w:rPr>
                <w:lang w:val="en-US"/>
              </w:rPr>
              <w:t>)</w:t>
            </w:r>
          </w:p>
          <w:p w:rsidR="00990B45" w:rsidRPr="00990B45" w:rsidRDefault="00990B45" w:rsidP="00990B45">
            <w:pPr>
              <w:autoSpaceDE w:val="0"/>
              <w:autoSpaceDN w:val="0"/>
              <w:adjustRightInd w:val="0"/>
              <w:ind w:firstLine="720"/>
              <w:jc w:val="both"/>
              <w:rPr>
                <w:lang w:val="en-US"/>
              </w:rPr>
            </w:pPr>
            <w:r w:rsidRPr="00990B45">
              <w:rPr>
                <w:lang w:val="en-US"/>
              </w:rPr>
              <w:t>39. FTSE/JSE Top40 (</w:t>
            </w:r>
            <w:r w:rsidRPr="00990B45">
              <w:t>ЮАР</w:t>
            </w:r>
            <w:r w:rsidRPr="00990B45">
              <w:rPr>
                <w:lang w:val="en-US"/>
              </w:rPr>
              <w:t>)</w:t>
            </w:r>
          </w:p>
          <w:p w:rsidR="00990B45" w:rsidRPr="00990B45" w:rsidRDefault="00990B45" w:rsidP="00990B45">
            <w:pPr>
              <w:autoSpaceDE w:val="0"/>
              <w:autoSpaceDN w:val="0"/>
              <w:adjustRightInd w:val="0"/>
              <w:ind w:firstLine="720"/>
              <w:jc w:val="both"/>
              <w:rPr>
                <w:lang w:val="en-US"/>
              </w:rPr>
            </w:pPr>
            <w:r w:rsidRPr="00990B45">
              <w:rPr>
                <w:lang w:val="en-US"/>
              </w:rPr>
              <w:t>40. KOSPI (</w:t>
            </w:r>
            <w:r w:rsidRPr="00990B45">
              <w:t>Южная</w:t>
            </w:r>
            <w:r w:rsidRPr="00990B45">
              <w:rPr>
                <w:lang w:val="en-US"/>
              </w:rPr>
              <w:t xml:space="preserve"> </w:t>
            </w:r>
            <w:r w:rsidRPr="00990B45">
              <w:t>Корея</w:t>
            </w:r>
            <w:r w:rsidRPr="00990B45">
              <w:rPr>
                <w:lang w:val="en-US"/>
              </w:rPr>
              <w:t>)</w:t>
            </w:r>
          </w:p>
          <w:p w:rsidR="00990B45" w:rsidRPr="00990B45" w:rsidRDefault="00990B45" w:rsidP="00990B45">
            <w:pPr>
              <w:autoSpaceDE w:val="0"/>
              <w:autoSpaceDN w:val="0"/>
              <w:adjustRightInd w:val="0"/>
              <w:ind w:firstLine="720"/>
              <w:jc w:val="both"/>
              <w:rPr>
                <w:lang w:val="en-US"/>
              </w:rPr>
            </w:pPr>
            <w:r w:rsidRPr="00990B45">
              <w:rPr>
                <w:lang w:val="en-US"/>
              </w:rPr>
              <w:t>41. Nikkei 225 (</w:t>
            </w:r>
            <w:r w:rsidRPr="00990B45">
              <w:t>Япония</w:t>
            </w:r>
            <w:r w:rsidRPr="00990B45">
              <w:rPr>
                <w:lang w:val="en-US"/>
              </w:rPr>
              <w:t>)</w:t>
            </w:r>
          </w:p>
          <w:p w:rsidR="00990B45" w:rsidRPr="00990B45" w:rsidRDefault="00990B45" w:rsidP="00990B45">
            <w:pPr>
              <w:ind w:firstLine="720"/>
              <w:jc w:val="both"/>
            </w:pPr>
            <w:r w:rsidRPr="00990B45">
              <w:t xml:space="preserve">42. Индекс </w:t>
            </w:r>
            <w:proofErr w:type="spellStart"/>
            <w:r w:rsidRPr="00990B45">
              <w:t>МосБиржи</w:t>
            </w:r>
            <w:proofErr w:type="spellEnd"/>
            <w:r w:rsidRPr="00990B45">
              <w:t xml:space="preserve"> голубых фишек (Россия)</w:t>
            </w:r>
          </w:p>
          <w:p w:rsidR="00990B45" w:rsidRPr="00990B45" w:rsidRDefault="00990B45" w:rsidP="00990B45">
            <w:pPr>
              <w:ind w:firstLine="720"/>
              <w:jc w:val="both"/>
            </w:pPr>
            <w:r w:rsidRPr="00990B45">
              <w:t xml:space="preserve">от стоимости чистых активов Фонда в совокупности должна превышать </w:t>
            </w:r>
            <w:proofErr w:type="gramStart"/>
            <w:r w:rsidRPr="00990B45">
              <w:t>большую</w:t>
            </w:r>
            <w:proofErr w:type="gramEnd"/>
            <w:r w:rsidRPr="00990B45">
              <w:t xml:space="preserve"> из следующих величин:</w:t>
            </w:r>
          </w:p>
          <w:p w:rsidR="00990B45" w:rsidRPr="00990B45" w:rsidRDefault="00990B45" w:rsidP="00990B45">
            <w:pPr>
              <w:ind w:firstLine="720"/>
              <w:jc w:val="both"/>
            </w:pPr>
            <w:r w:rsidRPr="00990B45">
              <w:t>пять процентов;</w:t>
            </w:r>
          </w:p>
          <w:p w:rsidR="00990B45" w:rsidRPr="00990B45" w:rsidRDefault="00990B45" w:rsidP="00990B45">
            <w:pPr>
              <w:ind w:firstLine="720"/>
              <w:jc w:val="both"/>
            </w:pPr>
            <w:proofErr w:type="gramStart"/>
            <w:r w:rsidRPr="00990B45">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(данное требование применяется, в случае если с даты завершения (окончания) формирования Фонда прошло 36 календарных месяцев и более).</w:t>
            </w:r>
            <w:proofErr w:type="gramEnd"/>
            <w:r w:rsidRPr="00990B45">
              <w:t xml:space="preserve"> </w:t>
            </w:r>
            <w:proofErr w:type="gramStart"/>
            <w:r w:rsidRPr="00990B45">
              <w:t>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за календарный месяц</w:t>
            </w:r>
            <w:proofErr w:type="gramEnd"/>
            <w:r w:rsidRPr="00990B45">
              <w:t xml:space="preserve">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990B45" w:rsidRPr="00990B45" w:rsidRDefault="00990B45" w:rsidP="00990B45">
            <w:pPr>
              <w:ind w:firstLine="720"/>
              <w:jc w:val="both"/>
            </w:pPr>
            <w:proofErr w:type="gramStart"/>
            <w:r w:rsidRPr="00990B45">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990B45" w:rsidRPr="00990B45" w:rsidRDefault="00990B45" w:rsidP="00990B45">
            <w:pPr>
              <w:ind w:firstLine="720"/>
              <w:jc w:val="both"/>
            </w:pPr>
            <w:r w:rsidRPr="00990B45">
              <w:lastRenderedPageBreak/>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990B45" w:rsidRDefault="00990B45" w:rsidP="00990B45">
            <w:pPr>
              <w:ind w:firstLine="720"/>
              <w:jc w:val="both"/>
            </w:pPr>
            <w:r w:rsidRPr="00990B45">
              <w:t>Требования пункта 23 настоящих Правил применяются до даты возникновения основания прекращения Фонда.</w:t>
            </w:r>
          </w:p>
          <w:p w:rsidR="00990B45" w:rsidRPr="00990B45" w:rsidRDefault="00990B45" w:rsidP="00990B45">
            <w:pPr>
              <w:ind w:firstLine="720"/>
              <w:jc w:val="both"/>
            </w:pPr>
          </w:p>
          <w:p w:rsidR="001F598D" w:rsidRPr="00990B45" w:rsidRDefault="001F598D">
            <w:pPr>
              <w:autoSpaceDE w:val="0"/>
              <w:autoSpaceDN w:val="0"/>
              <w:adjustRightInd w:val="0"/>
              <w:ind w:firstLine="720"/>
              <w:jc w:val="both"/>
            </w:pPr>
          </w:p>
        </w:tc>
        <w:tc>
          <w:tcPr>
            <w:tcW w:w="2508" w:type="pct"/>
          </w:tcPr>
          <w:p w:rsidR="00927F61" w:rsidRPr="00990B45" w:rsidRDefault="00927F61" w:rsidP="00927F61">
            <w:pPr>
              <w:ind w:firstLine="720"/>
              <w:jc w:val="both"/>
            </w:pPr>
            <w:r w:rsidRPr="00B25BC5">
              <w:rPr>
                <w:b/>
              </w:rPr>
              <w:lastRenderedPageBreak/>
              <w:t>2</w:t>
            </w:r>
            <w:r w:rsidR="00990B45" w:rsidRPr="00B25BC5">
              <w:rPr>
                <w:b/>
              </w:rPr>
              <w:t>1</w:t>
            </w:r>
            <w:r w:rsidRPr="00B25BC5">
              <w:rPr>
                <w:b/>
              </w:rPr>
              <w:t>.</w:t>
            </w:r>
            <w:r w:rsidRPr="00990B45">
              <w:t xml:space="preserve"> Структура активов Фонда.</w:t>
            </w:r>
          </w:p>
          <w:p w:rsidR="00927F61" w:rsidRPr="00990B45" w:rsidRDefault="00927F61" w:rsidP="00927F61">
            <w:pPr>
              <w:autoSpaceDE w:val="0"/>
              <w:autoSpaceDN w:val="0"/>
              <w:adjustRightInd w:val="0"/>
              <w:ind w:firstLine="720"/>
              <w:jc w:val="both"/>
            </w:pPr>
            <w:r w:rsidRPr="00B25BC5">
              <w:rPr>
                <w:b/>
              </w:rPr>
              <w:t>2</w:t>
            </w:r>
            <w:r w:rsidR="00990B45" w:rsidRPr="00B25BC5">
              <w:rPr>
                <w:b/>
              </w:rPr>
              <w:t>1</w:t>
            </w:r>
            <w:r w:rsidRPr="00B25BC5">
              <w:rPr>
                <w:b/>
              </w:rPr>
              <w:t>.1.</w:t>
            </w:r>
            <w:r w:rsidRPr="00990B45">
              <w:t xml:space="preserve"> </w:t>
            </w:r>
            <w:proofErr w:type="gramStart"/>
            <w:r w:rsidRPr="00990B45">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15 процентов стоимости активов Фонда до 31 декабря 2019 года, с 1 января</w:t>
            </w:r>
            <w:proofErr w:type="gramEnd"/>
            <w:r w:rsidRPr="00990B45">
              <w:t xml:space="preserve">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927F61" w:rsidRPr="00990B45" w:rsidRDefault="00927F61" w:rsidP="00927F61">
            <w:pPr>
              <w:autoSpaceDE w:val="0"/>
              <w:autoSpaceDN w:val="0"/>
              <w:adjustRightInd w:val="0"/>
              <w:ind w:firstLine="720"/>
              <w:jc w:val="both"/>
            </w:pPr>
            <w:proofErr w:type="gramStart"/>
            <w:r w:rsidRPr="00990B45">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2021 года - 12 процентов</w:t>
            </w:r>
            <w:proofErr w:type="gramEnd"/>
            <w:r w:rsidRPr="00990B45">
              <w:t xml:space="preserve"> стоимости активов Фонда, с 1 июля 2021 года - 11 процентов стоимости активов Фонда, а с 1 января 2022 года - 10 процентов стоимости активов </w:t>
            </w:r>
            <w:r w:rsidRPr="00990B45">
              <w:lastRenderedPageBreak/>
              <w:t>Фонда.</w:t>
            </w:r>
          </w:p>
          <w:p w:rsidR="00927F61" w:rsidRPr="00990B45" w:rsidRDefault="00927F61" w:rsidP="00927F61">
            <w:pPr>
              <w:autoSpaceDE w:val="0"/>
              <w:autoSpaceDN w:val="0"/>
              <w:adjustRightInd w:val="0"/>
              <w:ind w:firstLine="720"/>
              <w:jc w:val="both"/>
            </w:pPr>
            <w:r w:rsidRPr="00990B45">
              <w:t xml:space="preserve">Для целей настоящего пункта российские и иностранные депозитарные расписки рассматриваются как ценные бумаги, права </w:t>
            </w:r>
            <w:proofErr w:type="gramStart"/>
            <w:r w:rsidRPr="00990B45">
              <w:t>собственности</w:t>
            </w:r>
            <w:proofErr w:type="gramEnd"/>
            <w:r w:rsidRPr="00990B45">
              <w:t xml:space="preserve"> на которые удостоверяют соответствующие депозитарные расписки.</w:t>
            </w:r>
          </w:p>
          <w:p w:rsidR="00927F61" w:rsidRPr="00990B45" w:rsidRDefault="00927F61" w:rsidP="00927F61">
            <w:pPr>
              <w:autoSpaceDE w:val="0"/>
              <w:autoSpaceDN w:val="0"/>
              <w:adjustRightInd w:val="0"/>
              <w:ind w:firstLine="720"/>
              <w:jc w:val="both"/>
            </w:pPr>
            <w:r w:rsidRPr="00990B45">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990B45">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990B45">
              <w:t xml:space="preserve"> (</w:t>
            </w:r>
            <w:proofErr w:type="gramStart"/>
            <w:r w:rsidRPr="00990B45">
              <w:t>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w:t>
            </w:r>
            <w:proofErr w:type="gramEnd"/>
            <w:r w:rsidRPr="00990B45">
              <w:t xml:space="preserve">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927F61" w:rsidRPr="00990B45" w:rsidRDefault="00927F61" w:rsidP="00927F61">
            <w:pPr>
              <w:autoSpaceDE w:val="0"/>
              <w:autoSpaceDN w:val="0"/>
              <w:adjustRightInd w:val="0"/>
              <w:ind w:firstLine="720"/>
              <w:jc w:val="both"/>
            </w:pPr>
            <w:proofErr w:type="gramStart"/>
            <w:r w:rsidRPr="00990B45">
              <w:t xml:space="preserve">Для целей расчета ограничения, указанного в абзаце первом настоящего пункта, при определении доли оценочной стоимости активов в стоимости активов </w:t>
            </w:r>
            <w:r w:rsidRPr="00990B45">
              <w:lastRenderedPageBreak/>
              <w:t>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w:t>
            </w:r>
            <w:proofErr w:type="gramEnd"/>
            <w:r w:rsidRPr="00990B45">
              <w:t xml:space="preserve"> исполнение таким юридическим лицом обязательств в течение одного рабочего дня </w:t>
            </w:r>
            <w:proofErr w:type="gramStart"/>
            <w:r w:rsidRPr="00990B45">
              <w:t>с даты предъявления</w:t>
            </w:r>
            <w:proofErr w:type="gramEnd"/>
            <w:r w:rsidRPr="00990B45">
              <w:t xml:space="preserve">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w:t>
            </w:r>
          </w:p>
          <w:p w:rsidR="00927F61" w:rsidRPr="00990B45" w:rsidRDefault="00927F61" w:rsidP="00927F61">
            <w:pPr>
              <w:autoSpaceDE w:val="0"/>
              <w:autoSpaceDN w:val="0"/>
              <w:adjustRightInd w:val="0"/>
              <w:ind w:firstLine="720"/>
              <w:jc w:val="both"/>
            </w:pPr>
            <w:proofErr w:type="gramStart"/>
            <w:r w:rsidRPr="00990B45">
              <w:t>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w:t>
            </w:r>
            <w:proofErr w:type="gramEnd"/>
            <w:r w:rsidRPr="00990B45">
              <w:t xml:space="preserve"> общую сумму денежных средств, подлежащих выплате в связи с погашением инвестиционных паев Фонда на момент расчета ограничения.</w:t>
            </w:r>
          </w:p>
          <w:p w:rsidR="00927F61" w:rsidRPr="00990B45" w:rsidRDefault="00927F61" w:rsidP="00927F61">
            <w:pPr>
              <w:autoSpaceDE w:val="0"/>
              <w:autoSpaceDN w:val="0"/>
              <w:adjustRightInd w:val="0"/>
              <w:ind w:firstLine="720"/>
              <w:jc w:val="both"/>
            </w:pPr>
            <w:proofErr w:type="gramStart"/>
            <w:r w:rsidRPr="00990B45">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w:t>
            </w:r>
            <w:proofErr w:type="gramEnd"/>
            <w:r w:rsidRPr="00990B45">
              <w:t xml:space="preserve"> инвестиционных паев, в течение не более 2 рабочих дней </w:t>
            </w:r>
            <w:proofErr w:type="gramStart"/>
            <w:r w:rsidRPr="00990B45">
              <w:t>с даты</w:t>
            </w:r>
            <w:proofErr w:type="gramEnd"/>
            <w:r w:rsidRPr="00990B45">
              <w:t xml:space="preserve"> указанного включения.</w:t>
            </w:r>
          </w:p>
          <w:p w:rsidR="00927F61" w:rsidRPr="00990B45" w:rsidRDefault="00927F61" w:rsidP="00927F61">
            <w:pPr>
              <w:autoSpaceDE w:val="0"/>
              <w:autoSpaceDN w:val="0"/>
              <w:adjustRightInd w:val="0"/>
              <w:ind w:firstLine="720"/>
              <w:jc w:val="both"/>
            </w:pPr>
            <w:proofErr w:type="gramStart"/>
            <w:r w:rsidRPr="00990B45">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w:t>
            </w:r>
            <w:r w:rsidRPr="00990B45">
              <w:lastRenderedPageBreak/>
              <w:t>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w:t>
            </w:r>
            <w:proofErr w:type="gramEnd"/>
            <w:r w:rsidRPr="00990B45">
              <w:t xml:space="preserve"> года N 156-ФЗ, в совокупности не должны превышать 40 процентов стоимости чистых активов Фонда.</w:t>
            </w:r>
          </w:p>
          <w:p w:rsidR="00927F61" w:rsidRPr="00990B45" w:rsidRDefault="00927F61" w:rsidP="00927F61">
            <w:pPr>
              <w:autoSpaceDE w:val="0"/>
              <w:autoSpaceDN w:val="0"/>
              <w:adjustRightInd w:val="0"/>
              <w:ind w:firstLine="720"/>
              <w:jc w:val="both"/>
            </w:pPr>
            <w:proofErr w:type="gramStart"/>
            <w:r w:rsidRPr="00990B45">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предыдущем абзаце настоящего пункта, с учетом заключенных ранее сделок, с указанных в настоящем абзаце, и заемных средств, предусмотренных подпунктом 5 пункта 1 статьи 40 Федерального закона от 29 ноября</w:t>
            </w:r>
            <w:proofErr w:type="gramEnd"/>
            <w:r w:rsidRPr="00990B45">
              <w:t xml:space="preserve"> 2001 года N 156-ФЗ, не должна превышать 20 процентов стоимости чистых активов Фонда.</w:t>
            </w:r>
          </w:p>
          <w:p w:rsidR="00927F61" w:rsidRPr="00990B45" w:rsidRDefault="00927F61" w:rsidP="00927F61">
            <w:pPr>
              <w:autoSpaceDE w:val="0"/>
              <w:autoSpaceDN w:val="0"/>
              <w:adjustRightInd w:val="0"/>
              <w:ind w:firstLine="720"/>
              <w:jc w:val="both"/>
            </w:pPr>
            <w:proofErr w:type="gramStart"/>
            <w:r w:rsidRPr="00990B45">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roofErr w:type="gramEnd"/>
          </w:p>
          <w:p w:rsidR="00927F61" w:rsidRPr="00990B45" w:rsidRDefault="00927F61" w:rsidP="00927F61">
            <w:pPr>
              <w:autoSpaceDE w:val="0"/>
              <w:autoSpaceDN w:val="0"/>
              <w:adjustRightInd w:val="0"/>
              <w:ind w:firstLine="720"/>
              <w:jc w:val="both"/>
            </w:pPr>
            <w:r w:rsidRPr="00990B45">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927F61" w:rsidRPr="00990B45" w:rsidRDefault="00927F61" w:rsidP="00927F61">
            <w:pPr>
              <w:ind w:firstLine="720"/>
              <w:jc w:val="both"/>
            </w:pPr>
            <w:r w:rsidRPr="00B25BC5">
              <w:rPr>
                <w:b/>
              </w:rPr>
              <w:t>2</w:t>
            </w:r>
            <w:r w:rsidR="00990B45" w:rsidRPr="00B25BC5">
              <w:rPr>
                <w:b/>
              </w:rPr>
              <w:t>1</w:t>
            </w:r>
            <w:r w:rsidRPr="00B25BC5">
              <w:rPr>
                <w:b/>
              </w:rPr>
              <w:t>.2.</w:t>
            </w:r>
            <w:r w:rsidRPr="00990B45">
              <w:t xml:space="preserve"> </w:t>
            </w:r>
            <w:proofErr w:type="gramStart"/>
            <w:r w:rsidRPr="00990B45">
              <w:t>Доля стоимости инструментов денежного рынка со сроком до погашения (закрытия) менее трех месяцев,</w:t>
            </w:r>
            <w:r w:rsidRPr="00990B45">
              <w:rPr>
                <w:color w:val="22272F"/>
                <w:sz w:val="23"/>
                <w:szCs w:val="23"/>
                <w:shd w:val="clear" w:color="auto" w:fill="FFFFFF"/>
              </w:rPr>
              <w:t xml:space="preserve"> </w:t>
            </w:r>
            <w:r w:rsidRPr="00990B45">
              <w:t xml:space="preserve">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w:t>
            </w:r>
            <w:r w:rsidRPr="00990B45">
              <w:lastRenderedPageBreak/>
              <w:t>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w:t>
            </w:r>
            <w:proofErr w:type="gramEnd"/>
            <w:r w:rsidRPr="00990B45">
              <w:t xml:space="preserve"> (</w:t>
            </w:r>
            <w:proofErr w:type="gramStart"/>
            <w:r w:rsidRPr="00990B45">
              <w:t>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w:t>
            </w:r>
            <w:proofErr w:type="gramEnd"/>
            <w:r w:rsidRPr="00990B45">
              <w:t xml:space="preserve"> одну ступень, ценных бумаг, входящих в расчет следующих фондовых индексов:</w:t>
            </w:r>
          </w:p>
          <w:p w:rsidR="00927F61" w:rsidRPr="00990B45" w:rsidRDefault="00927F61" w:rsidP="00927F61">
            <w:pPr>
              <w:autoSpaceDE w:val="0"/>
              <w:autoSpaceDN w:val="0"/>
              <w:adjustRightInd w:val="0"/>
              <w:ind w:firstLine="720"/>
              <w:jc w:val="both"/>
            </w:pPr>
            <w:r w:rsidRPr="00990B45">
              <w:t>1. S&amp;P/ASX 200 (Австралия)</w:t>
            </w:r>
          </w:p>
          <w:p w:rsidR="00927F61" w:rsidRPr="00990B45" w:rsidRDefault="00927F61" w:rsidP="00927F61">
            <w:pPr>
              <w:autoSpaceDE w:val="0"/>
              <w:autoSpaceDN w:val="0"/>
              <w:adjustRightInd w:val="0"/>
              <w:ind w:firstLine="720"/>
              <w:jc w:val="both"/>
            </w:pPr>
            <w:r w:rsidRPr="00990B45">
              <w:t>2. ATX (Австрия)</w:t>
            </w:r>
          </w:p>
          <w:p w:rsidR="00927F61" w:rsidRPr="00990B45" w:rsidRDefault="00927F61" w:rsidP="00927F61">
            <w:pPr>
              <w:autoSpaceDE w:val="0"/>
              <w:autoSpaceDN w:val="0"/>
              <w:adjustRightInd w:val="0"/>
              <w:ind w:firstLine="720"/>
              <w:jc w:val="both"/>
            </w:pPr>
            <w:r w:rsidRPr="00990B45">
              <w:t>3. BEL20 (Бельгия)</w:t>
            </w:r>
          </w:p>
          <w:p w:rsidR="00927F61" w:rsidRPr="00990B45" w:rsidRDefault="00927F61" w:rsidP="00927F61">
            <w:pPr>
              <w:autoSpaceDE w:val="0"/>
              <w:autoSpaceDN w:val="0"/>
              <w:adjustRightInd w:val="0"/>
              <w:ind w:firstLine="720"/>
              <w:jc w:val="both"/>
            </w:pPr>
            <w:r w:rsidRPr="00990B45">
              <w:t xml:space="preserve">4. </w:t>
            </w:r>
            <w:proofErr w:type="spellStart"/>
            <w:r w:rsidRPr="00990B45">
              <w:t>Bovespa</w:t>
            </w:r>
            <w:proofErr w:type="spellEnd"/>
            <w:r w:rsidRPr="00990B45">
              <w:t xml:space="preserve"> </w:t>
            </w:r>
            <w:proofErr w:type="spellStart"/>
            <w:r w:rsidRPr="00990B45">
              <w:t>Index</w:t>
            </w:r>
            <w:proofErr w:type="spellEnd"/>
            <w:r w:rsidRPr="00990B45">
              <w:t xml:space="preserve"> (Бразилия)</w:t>
            </w:r>
          </w:p>
          <w:p w:rsidR="00927F61" w:rsidRPr="00990B45" w:rsidRDefault="00927F61" w:rsidP="00927F61">
            <w:pPr>
              <w:autoSpaceDE w:val="0"/>
              <w:autoSpaceDN w:val="0"/>
              <w:adjustRightInd w:val="0"/>
              <w:ind w:firstLine="720"/>
              <w:jc w:val="both"/>
            </w:pPr>
            <w:r w:rsidRPr="00990B45">
              <w:t>5. BUX (Венгрия)</w:t>
            </w:r>
          </w:p>
          <w:p w:rsidR="00927F61" w:rsidRPr="00990B45" w:rsidRDefault="00927F61" w:rsidP="00927F61">
            <w:pPr>
              <w:autoSpaceDE w:val="0"/>
              <w:autoSpaceDN w:val="0"/>
              <w:adjustRightInd w:val="0"/>
              <w:ind w:firstLine="720"/>
              <w:jc w:val="both"/>
            </w:pPr>
            <w:r w:rsidRPr="00990B45">
              <w:t>6. FTSE 100 (Великобритания)</w:t>
            </w:r>
          </w:p>
          <w:p w:rsidR="00927F61" w:rsidRPr="00990B45" w:rsidRDefault="00927F61" w:rsidP="00927F61">
            <w:pPr>
              <w:autoSpaceDE w:val="0"/>
              <w:autoSpaceDN w:val="0"/>
              <w:adjustRightInd w:val="0"/>
              <w:ind w:firstLine="720"/>
              <w:jc w:val="both"/>
            </w:pPr>
            <w:r w:rsidRPr="00990B45">
              <w:t xml:space="preserve">7. </w:t>
            </w:r>
            <w:proofErr w:type="spellStart"/>
            <w:r w:rsidRPr="00990B45">
              <w:t>Hang</w:t>
            </w:r>
            <w:proofErr w:type="spellEnd"/>
            <w:r w:rsidRPr="00990B45">
              <w:t xml:space="preserve"> </w:t>
            </w:r>
            <w:proofErr w:type="spellStart"/>
            <w:r w:rsidRPr="00990B45">
              <w:t>Seng</w:t>
            </w:r>
            <w:proofErr w:type="spellEnd"/>
            <w:r w:rsidRPr="00990B45">
              <w:t xml:space="preserve"> (Гонконг)</w:t>
            </w:r>
          </w:p>
          <w:p w:rsidR="00927F61" w:rsidRPr="00990B45" w:rsidRDefault="00927F61" w:rsidP="00927F61">
            <w:pPr>
              <w:autoSpaceDE w:val="0"/>
              <w:autoSpaceDN w:val="0"/>
              <w:adjustRightInd w:val="0"/>
              <w:ind w:firstLine="720"/>
              <w:jc w:val="both"/>
            </w:pPr>
            <w:r w:rsidRPr="00990B45">
              <w:t>8. DAX (Германия)</w:t>
            </w:r>
          </w:p>
          <w:p w:rsidR="00927F61" w:rsidRPr="00990B45" w:rsidRDefault="00927F61" w:rsidP="00927F61">
            <w:pPr>
              <w:autoSpaceDE w:val="0"/>
              <w:autoSpaceDN w:val="0"/>
              <w:adjustRightInd w:val="0"/>
              <w:ind w:firstLine="720"/>
              <w:jc w:val="both"/>
            </w:pPr>
            <w:r w:rsidRPr="00990B45">
              <w:t xml:space="preserve">9. OMX </w:t>
            </w:r>
            <w:proofErr w:type="spellStart"/>
            <w:r w:rsidRPr="00990B45">
              <w:t>Copenhagen</w:t>
            </w:r>
            <w:proofErr w:type="spellEnd"/>
            <w:r w:rsidRPr="00990B45">
              <w:t xml:space="preserve"> 20 (Дания)</w:t>
            </w:r>
          </w:p>
          <w:p w:rsidR="00927F61" w:rsidRPr="00990B45" w:rsidRDefault="00927F61" w:rsidP="00927F61">
            <w:pPr>
              <w:autoSpaceDE w:val="0"/>
              <w:autoSpaceDN w:val="0"/>
              <w:adjustRightInd w:val="0"/>
              <w:ind w:firstLine="720"/>
              <w:jc w:val="both"/>
              <w:rPr>
                <w:lang w:val="en-US"/>
              </w:rPr>
            </w:pPr>
            <w:r w:rsidRPr="00990B45">
              <w:rPr>
                <w:lang w:val="en-US"/>
              </w:rPr>
              <w:t xml:space="preserve">10. </w:t>
            </w:r>
            <w:r w:rsidRPr="00990B45">
              <w:t>ТА</w:t>
            </w:r>
            <w:r w:rsidRPr="00990B45">
              <w:rPr>
                <w:lang w:val="en-US"/>
              </w:rPr>
              <w:t>-35 (</w:t>
            </w:r>
            <w:r w:rsidRPr="00990B45">
              <w:t>Израиль</w:t>
            </w:r>
            <w:r w:rsidRPr="00990B45">
              <w:rPr>
                <w:lang w:val="en-US"/>
              </w:rPr>
              <w:t>)</w:t>
            </w:r>
          </w:p>
          <w:p w:rsidR="00927F61" w:rsidRPr="00990B45" w:rsidRDefault="00927F61" w:rsidP="00927F61">
            <w:pPr>
              <w:autoSpaceDE w:val="0"/>
              <w:autoSpaceDN w:val="0"/>
              <w:adjustRightInd w:val="0"/>
              <w:ind w:firstLine="720"/>
              <w:jc w:val="both"/>
              <w:rPr>
                <w:lang w:val="en-US"/>
              </w:rPr>
            </w:pPr>
            <w:r w:rsidRPr="00990B45">
              <w:rPr>
                <w:lang w:val="en-US"/>
              </w:rPr>
              <w:t>11. S&amp;P BSE SENSEX (</w:t>
            </w:r>
            <w:r w:rsidRPr="00990B45">
              <w:t>Индия</w:t>
            </w:r>
            <w:r w:rsidRPr="00990B45">
              <w:rPr>
                <w:lang w:val="en-US"/>
              </w:rPr>
              <w:t>)</w:t>
            </w:r>
          </w:p>
          <w:p w:rsidR="00927F61" w:rsidRPr="00990B45" w:rsidRDefault="00927F61" w:rsidP="00927F61">
            <w:pPr>
              <w:autoSpaceDE w:val="0"/>
              <w:autoSpaceDN w:val="0"/>
              <w:adjustRightInd w:val="0"/>
              <w:ind w:firstLine="720"/>
              <w:jc w:val="both"/>
              <w:rPr>
                <w:lang w:val="en-US"/>
              </w:rPr>
            </w:pPr>
            <w:r w:rsidRPr="00990B45">
              <w:rPr>
                <w:lang w:val="en-US"/>
              </w:rPr>
              <w:t>12. ISEQ 20 (</w:t>
            </w:r>
            <w:r w:rsidRPr="00990B45">
              <w:t>Ирландия</w:t>
            </w:r>
            <w:r w:rsidRPr="00990B45">
              <w:rPr>
                <w:lang w:val="en-US"/>
              </w:rPr>
              <w:t>)</w:t>
            </w:r>
          </w:p>
          <w:p w:rsidR="00927F61" w:rsidRPr="00990B45" w:rsidRDefault="00927F61" w:rsidP="00927F61">
            <w:pPr>
              <w:autoSpaceDE w:val="0"/>
              <w:autoSpaceDN w:val="0"/>
              <w:adjustRightInd w:val="0"/>
              <w:ind w:firstLine="720"/>
              <w:jc w:val="both"/>
              <w:rPr>
                <w:lang w:val="en-US"/>
              </w:rPr>
            </w:pPr>
            <w:r w:rsidRPr="00990B45">
              <w:rPr>
                <w:lang w:val="en-US"/>
              </w:rPr>
              <w:t xml:space="preserve">13. </w:t>
            </w:r>
            <w:r w:rsidRPr="00990B45">
              <w:t>ОМХ</w:t>
            </w:r>
            <w:r w:rsidRPr="00990B45">
              <w:rPr>
                <w:lang w:val="en-US"/>
              </w:rPr>
              <w:t xml:space="preserve"> Iceland 8 (</w:t>
            </w:r>
            <w:r w:rsidRPr="00990B45">
              <w:t>Исландия</w:t>
            </w:r>
            <w:r w:rsidRPr="00990B45">
              <w:rPr>
                <w:lang w:val="en-US"/>
              </w:rPr>
              <w:t>)</w:t>
            </w:r>
          </w:p>
          <w:p w:rsidR="00927F61" w:rsidRPr="00990B45" w:rsidRDefault="00927F61" w:rsidP="00927F61">
            <w:pPr>
              <w:autoSpaceDE w:val="0"/>
              <w:autoSpaceDN w:val="0"/>
              <w:adjustRightInd w:val="0"/>
              <w:ind w:firstLine="720"/>
              <w:jc w:val="both"/>
              <w:rPr>
                <w:lang w:val="en-US"/>
              </w:rPr>
            </w:pPr>
            <w:r w:rsidRPr="00990B45">
              <w:rPr>
                <w:lang w:val="en-US"/>
              </w:rPr>
              <w:t>14. IBEX 35 (</w:t>
            </w:r>
            <w:r w:rsidRPr="00990B45">
              <w:t>Испания</w:t>
            </w:r>
            <w:r w:rsidRPr="00990B45">
              <w:rPr>
                <w:lang w:val="en-US"/>
              </w:rPr>
              <w:t>)</w:t>
            </w:r>
          </w:p>
          <w:p w:rsidR="00927F61" w:rsidRPr="00990B45" w:rsidRDefault="00927F61" w:rsidP="00927F61">
            <w:pPr>
              <w:autoSpaceDE w:val="0"/>
              <w:autoSpaceDN w:val="0"/>
              <w:adjustRightInd w:val="0"/>
              <w:ind w:firstLine="720"/>
              <w:jc w:val="both"/>
              <w:rPr>
                <w:lang w:val="en-US"/>
              </w:rPr>
            </w:pPr>
            <w:r w:rsidRPr="00990B45">
              <w:rPr>
                <w:lang w:val="en-US"/>
              </w:rPr>
              <w:t>15. FTSE MIB (</w:t>
            </w:r>
            <w:r w:rsidRPr="00990B45">
              <w:t>Италия</w:t>
            </w:r>
            <w:r w:rsidRPr="00990B45">
              <w:rPr>
                <w:lang w:val="en-US"/>
              </w:rPr>
              <w:t>)</w:t>
            </w:r>
          </w:p>
          <w:p w:rsidR="00927F61" w:rsidRPr="00990B45" w:rsidRDefault="00927F61" w:rsidP="00927F61">
            <w:pPr>
              <w:autoSpaceDE w:val="0"/>
              <w:autoSpaceDN w:val="0"/>
              <w:adjustRightInd w:val="0"/>
              <w:ind w:firstLine="720"/>
              <w:jc w:val="both"/>
              <w:rPr>
                <w:lang w:val="en-US"/>
              </w:rPr>
            </w:pPr>
            <w:r w:rsidRPr="00990B45">
              <w:rPr>
                <w:lang w:val="en-US"/>
              </w:rPr>
              <w:t>16. S&amp;P/TSX Composite (</w:t>
            </w:r>
            <w:r w:rsidRPr="00990B45">
              <w:t>Канада</w:t>
            </w:r>
            <w:r w:rsidRPr="00990B45">
              <w:rPr>
                <w:lang w:val="en-US"/>
              </w:rPr>
              <w:t>)</w:t>
            </w:r>
          </w:p>
          <w:p w:rsidR="00927F61" w:rsidRPr="00990B45" w:rsidRDefault="00927F61" w:rsidP="00927F61">
            <w:pPr>
              <w:autoSpaceDE w:val="0"/>
              <w:autoSpaceDN w:val="0"/>
              <w:adjustRightInd w:val="0"/>
              <w:ind w:firstLine="720"/>
              <w:jc w:val="both"/>
              <w:rPr>
                <w:lang w:val="en-US"/>
              </w:rPr>
            </w:pPr>
            <w:r w:rsidRPr="00990B45">
              <w:rPr>
                <w:lang w:val="en-US"/>
              </w:rPr>
              <w:t>17. SSE Composite Index Shanghai SE Composite (</w:t>
            </w:r>
            <w:r w:rsidRPr="00990B45">
              <w:t>Китай</w:t>
            </w:r>
            <w:r w:rsidRPr="00990B45">
              <w:rPr>
                <w:lang w:val="en-US"/>
              </w:rPr>
              <w:t>)</w:t>
            </w:r>
          </w:p>
          <w:p w:rsidR="00927F61" w:rsidRPr="00990B45" w:rsidRDefault="00927F61" w:rsidP="00927F61">
            <w:pPr>
              <w:autoSpaceDE w:val="0"/>
              <w:autoSpaceDN w:val="0"/>
              <w:adjustRightInd w:val="0"/>
              <w:ind w:firstLine="720"/>
              <w:jc w:val="both"/>
              <w:rPr>
                <w:lang w:val="en-US"/>
              </w:rPr>
            </w:pPr>
            <w:r w:rsidRPr="00990B45">
              <w:rPr>
                <w:lang w:val="en-US"/>
              </w:rPr>
              <w:t xml:space="preserve">18. </w:t>
            </w:r>
            <w:proofErr w:type="spellStart"/>
            <w:r w:rsidRPr="00990B45">
              <w:rPr>
                <w:lang w:val="en-US"/>
              </w:rPr>
              <w:t>LuxX</w:t>
            </w:r>
            <w:proofErr w:type="spellEnd"/>
            <w:r w:rsidRPr="00990B45">
              <w:rPr>
                <w:lang w:val="en-US"/>
              </w:rPr>
              <w:t xml:space="preserve"> (</w:t>
            </w:r>
            <w:r w:rsidRPr="00990B45">
              <w:t>Люксембург</w:t>
            </w:r>
            <w:r w:rsidRPr="00990B45">
              <w:rPr>
                <w:lang w:val="en-US"/>
              </w:rPr>
              <w:t>)</w:t>
            </w:r>
          </w:p>
          <w:p w:rsidR="00927F61" w:rsidRPr="00990B45" w:rsidRDefault="00927F61" w:rsidP="00927F61">
            <w:pPr>
              <w:autoSpaceDE w:val="0"/>
              <w:autoSpaceDN w:val="0"/>
              <w:adjustRightInd w:val="0"/>
              <w:ind w:firstLine="720"/>
              <w:jc w:val="both"/>
              <w:rPr>
                <w:lang w:val="en-US"/>
              </w:rPr>
            </w:pPr>
            <w:r w:rsidRPr="00990B45">
              <w:rPr>
                <w:lang w:val="en-US"/>
              </w:rPr>
              <w:t>19. IPC (</w:t>
            </w:r>
            <w:r w:rsidRPr="00990B45">
              <w:t>Мексика</w:t>
            </w:r>
            <w:r w:rsidRPr="00990B45">
              <w:rPr>
                <w:lang w:val="en-US"/>
              </w:rPr>
              <w:t>)</w:t>
            </w:r>
          </w:p>
          <w:p w:rsidR="00927F61" w:rsidRPr="00990B45" w:rsidRDefault="00927F61" w:rsidP="00927F61">
            <w:pPr>
              <w:autoSpaceDE w:val="0"/>
              <w:autoSpaceDN w:val="0"/>
              <w:adjustRightInd w:val="0"/>
              <w:ind w:firstLine="720"/>
              <w:jc w:val="both"/>
              <w:rPr>
                <w:lang w:val="en-US"/>
              </w:rPr>
            </w:pPr>
            <w:r w:rsidRPr="00990B45">
              <w:rPr>
                <w:lang w:val="en-US"/>
              </w:rPr>
              <w:t>20. AEX (</w:t>
            </w:r>
            <w:r w:rsidRPr="00990B45">
              <w:t>Нидерланды</w:t>
            </w:r>
            <w:r w:rsidRPr="00990B45">
              <w:rPr>
                <w:lang w:val="en-US"/>
              </w:rPr>
              <w:t>)</w:t>
            </w:r>
          </w:p>
          <w:p w:rsidR="00927F61" w:rsidRPr="00990B45" w:rsidRDefault="00927F61" w:rsidP="00927F61">
            <w:pPr>
              <w:autoSpaceDE w:val="0"/>
              <w:autoSpaceDN w:val="0"/>
              <w:adjustRightInd w:val="0"/>
              <w:ind w:firstLine="720"/>
              <w:jc w:val="both"/>
            </w:pPr>
            <w:r w:rsidRPr="00990B45">
              <w:t>21. S&amp;P/NZX 50 (Новая Зеландия)</w:t>
            </w:r>
          </w:p>
          <w:p w:rsidR="00927F61" w:rsidRPr="00990B45" w:rsidRDefault="00927F61" w:rsidP="00927F61">
            <w:pPr>
              <w:autoSpaceDE w:val="0"/>
              <w:autoSpaceDN w:val="0"/>
              <w:adjustRightInd w:val="0"/>
              <w:ind w:firstLine="720"/>
              <w:jc w:val="both"/>
            </w:pPr>
            <w:r w:rsidRPr="00990B45">
              <w:t>22. OBX (Норвегия)</w:t>
            </w:r>
          </w:p>
          <w:p w:rsidR="00927F61" w:rsidRPr="00990B45" w:rsidRDefault="00927F61" w:rsidP="00927F61">
            <w:pPr>
              <w:autoSpaceDE w:val="0"/>
              <w:autoSpaceDN w:val="0"/>
              <w:adjustRightInd w:val="0"/>
              <w:ind w:firstLine="720"/>
              <w:jc w:val="both"/>
            </w:pPr>
            <w:r w:rsidRPr="00990B45">
              <w:t>23. WIG (Польша)</w:t>
            </w:r>
          </w:p>
          <w:p w:rsidR="00927F61" w:rsidRPr="00990B45" w:rsidRDefault="00927F61" w:rsidP="00927F61">
            <w:pPr>
              <w:autoSpaceDE w:val="0"/>
              <w:autoSpaceDN w:val="0"/>
              <w:adjustRightInd w:val="0"/>
              <w:ind w:firstLine="720"/>
              <w:jc w:val="both"/>
            </w:pPr>
            <w:r w:rsidRPr="00990B45">
              <w:t>24. PSI 20 (Португалия)</w:t>
            </w:r>
          </w:p>
          <w:p w:rsidR="00927F61" w:rsidRPr="00990B45" w:rsidRDefault="00927F61" w:rsidP="00927F61">
            <w:pPr>
              <w:autoSpaceDE w:val="0"/>
              <w:autoSpaceDN w:val="0"/>
              <w:adjustRightInd w:val="0"/>
              <w:ind w:firstLine="720"/>
              <w:jc w:val="both"/>
            </w:pPr>
            <w:r w:rsidRPr="00990B45">
              <w:t xml:space="preserve">25. Индекс </w:t>
            </w:r>
            <w:proofErr w:type="spellStart"/>
            <w:r w:rsidRPr="00990B45">
              <w:t>МосБиржи</w:t>
            </w:r>
            <w:proofErr w:type="spellEnd"/>
            <w:r w:rsidRPr="00990B45">
              <w:t xml:space="preserve"> (Россия)</w:t>
            </w:r>
          </w:p>
          <w:p w:rsidR="00927F61" w:rsidRPr="00990B45" w:rsidRDefault="00927F61" w:rsidP="00927F61">
            <w:pPr>
              <w:autoSpaceDE w:val="0"/>
              <w:autoSpaceDN w:val="0"/>
              <w:adjustRightInd w:val="0"/>
              <w:ind w:firstLine="720"/>
              <w:jc w:val="both"/>
            </w:pPr>
            <w:r w:rsidRPr="00990B45">
              <w:t>26. Индекс РТС (Россия)</w:t>
            </w:r>
          </w:p>
          <w:p w:rsidR="00927F61" w:rsidRPr="00990B45" w:rsidRDefault="00927F61" w:rsidP="00927F61">
            <w:pPr>
              <w:autoSpaceDE w:val="0"/>
              <w:autoSpaceDN w:val="0"/>
              <w:adjustRightInd w:val="0"/>
              <w:ind w:firstLine="720"/>
              <w:jc w:val="both"/>
            </w:pPr>
            <w:r w:rsidRPr="00990B45">
              <w:t>27. SAX (Словакия)</w:t>
            </w:r>
          </w:p>
          <w:p w:rsidR="00927F61" w:rsidRPr="00990B45" w:rsidRDefault="00927F61" w:rsidP="00927F61">
            <w:pPr>
              <w:autoSpaceDE w:val="0"/>
              <w:autoSpaceDN w:val="0"/>
              <w:adjustRightInd w:val="0"/>
              <w:ind w:firstLine="720"/>
              <w:jc w:val="both"/>
            </w:pPr>
            <w:r w:rsidRPr="00990B45">
              <w:t>28. SBI ТОР (Словения)</w:t>
            </w:r>
          </w:p>
          <w:p w:rsidR="00927F61" w:rsidRPr="00990B45" w:rsidRDefault="00927F61" w:rsidP="00927F61">
            <w:pPr>
              <w:autoSpaceDE w:val="0"/>
              <w:autoSpaceDN w:val="0"/>
              <w:adjustRightInd w:val="0"/>
              <w:ind w:firstLine="720"/>
              <w:jc w:val="both"/>
              <w:rPr>
                <w:lang w:val="en-US"/>
              </w:rPr>
            </w:pPr>
            <w:r w:rsidRPr="00990B45">
              <w:rPr>
                <w:lang w:val="en-US"/>
              </w:rPr>
              <w:t>29. Dow Jones (</w:t>
            </w:r>
            <w:r w:rsidRPr="00990B45">
              <w:t>США</w:t>
            </w:r>
            <w:r w:rsidRPr="00990B45">
              <w:rPr>
                <w:lang w:val="en-US"/>
              </w:rPr>
              <w:t>)</w:t>
            </w:r>
          </w:p>
          <w:p w:rsidR="00927F61" w:rsidRPr="00990B45" w:rsidRDefault="00927F61" w:rsidP="00927F61">
            <w:pPr>
              <w:autoSpaceDE w:val="0"/>
              <w:autoSpaceDN w:val="0"/>
              <w:adjustRightInd w:val="0"/>
              <w:ind w:firstLine="720"/>
              <w:jc w:val="both"/>
              <w:rPr>
                <w:lang w:val="en-US"/>
              </w:rPr>
            </w:pPr>
            <w:r w:rsidRPr="00990B45">
              <w:rPr>
                <w:lang w:val="en-US"/>
              </w:rPr>
              <w:t>30. S&amp;P 500 (</w:t>
            </w:r>
            <w:r w:rsidRPr="00990B45">
              <w:t>США</w:t>
            </w:r>
            <w:r w:rsidRPr="00990B45">
              <w:rPr>
                <w:lang w:val="en-US"/>
              </w:rPr>
              <w:t>)</w:t>
            </w:r>
          </w:p>
          <w:p w:rsidR="00927F61" w:rsidRPr="00990B45" w:rsidRDefault="00927F61" w:rsidP="00927F61">
            <w:pPr>
              <w:autoSpaceDE w:val="0"/>
              <w:autoSpaceDN w:val="0"/>
              <w:adjustRightInd w:val="0"/>
              <w:ind w:firstLine="720"/>
              <w:jc w:val="both"/>
              <w:rPr>
                <w:lang w:val="en-US"/>
              </w:rPr>
            </w:pPr>
            <w:r w:rsidRPr="00990B45">
              <w:rPr>
                <w:lang w:val="en-US"/>
              </w:rPr>
              <w:t>31. BIST 100 (</w:t>
            </w:r>
            <w:r w:rsidRPr="00990B45">
              <w:t>Турция</w:t>
            </w:r>
            <w:r w:rsidRPr="00990B45">
              <w:rPr>
                <w:lang w:val="en-US"/>
              </w:rPr>
              <w:t>)</w:t>
            </w:r>
          </w:p>
          <w:p w:rsidR="00927F61" w:rsidRPr="00990B45" w:rsidRDefault="00927F61" w:rsidP="00927F61">
            <w:pPr>
              <w:autoSpaceDE w:val="0"/>
              <w:autoSpaceDN w:val="0"/>
              <w:adjustRightInd w:val="0"/>
              <w:ind w:firstLine="720"/>
              <w:jc w:val="both"/>
              <w:rPr>
                <w:lang w:val="en-US"/>
              </w:rPr>
            </w:pPr>
            <w:r w:rsidRPr="00990B45">
              <w:rPr>
                <w:lang w:val="en-US"/>
              </w:rPr>
              <w:lastRenderedPageBreak/>
              <w:t>32. OMX Helsinki 25 (</w:t>
            </w:r>
            <w:r w:rsidRPr="00990B45">
              <w:t>Финляндия</w:t>
            </w:r>
            <w:r w:rsidRPr="00990B45">
              <w:rPr>
                <w:lang w:val="en-US"/>
              </w:rPr>
              <w:t>)</w:t>
            </w:r>
          </w:p>
          <w:p w:rsidR="00927F61" w:rsidRPr="00990B45" w:rsidRDefault="00927F61" w:rsidP="00927F61">
            <w:pPr>
              <w:autoSpaceDE w:val="0"/>
              <w:autoSpaceDN w:val="0"/>
              <w:adjustRightInd w:val="0"/>
              <w:ind w:firstLine="720"/>
              <w:jc w:val="both"/>
            </w:pPr>
            <w:r w:rsidRPr="00990B45">
              <w:t>33. CAC 40 (Франция)</w:t>
            </w:r>
          </w:p>
          <w:p w:rsidR="00927F61" w:rsidRPr="00990B45" w:rsidRDefault="00927F61" w:rsidP="00927F61">
            <w:pPr>
              <w:autoSpaceDE w:val="0"/>
              <w:autoSpaceDN w:val="0"/>
              <w:adjustRightInd w:val="0"/>
              <w:ind w:firstLine="720"/>
              <w:jc w:val="both"/>
            </w:pPr>
            <w:r w:rsidRPr="00990B45">
              <w:t xml:space="preserve">34. PX </w:t>
            </w:r>
            <w:proofErr w:type="spellStart"/>
            <w:r w:rsidRPr="00990B45">
              <w:t>Index</w:t>
            </w:r>
            <w:proofErr w:type="spellEnd"/>
            <w:r w:rsidRPr="00990B45">
              <w:t xml:space="preserve"> (Чешская республика)</w:t>
            </w:r>
          </w:p>
          <w:p w:rsidR="00927F61" w:rsidRPr="00990B45" w:rsidRDefault="00927F61" w:rsidP="00927F61">
            <w:pPr>
              <w:autoSpaceDE w:val="0"/>
              <w:autoSpaceDN w:val="0"/>
              <w:adjustRightInd w:val="0"/>
              <w:ind w:firstLine="720"/>
              <w:jc w:val="both"/>
              <w:rPr>
                <w:lang w:val="en-US"/>
              </w:rPr>
            </w:pPr>
            <w:r w:rsidRPr="00990B45">
              <w:rPr>
                <w:lang w:val="en-US"/>
              </w:rPr>
              <w:t>35. S&amp;P/CLX IPSA (</w:t>
            </w:r>
            <w:r w:rsidRPr="00990B45">
              <w:t>Чили</w:t>
            </w:r>
            <w:r w:rsidRPr="00990B45">
              <w:rPr>
                <w:lang w:val="en-US"/>
              </w:rPr>
              <w:t>)</w:t>
            </w:r>
          </w:p>
          <w:p w:rsidR="00927F61" w:rsidRPr="00990B45" w:rsidRDefault="00927F61" w:rsidP="00927F61">
            <w:pPr>
              <w:autoSpaceDE w:val="0"/>
              <w:autoSpaceDN w:val="0"/>
              <w:adjustRightInd w:val="0"/>
              <w:ind w:firstLine="720"/>
              <w:jc w:val="both"/>
              <w:rPr>
                <w:lang w:val="en-US"/>
              </w:rPr>
            </w:pPr>
            <w:r w:rsidRPr="00990B45">
              <w:rPr>
                <w:lang w:val="en-US"/>
              </w:rPr>
              <w:t>36. SMI (</w:t>
            </w:r>
            <w:r w:rsidRPr="00990B45">
              <w:t>Швейцария</w:t>
            </w:r>
            <w:r w:rsidRPr="00990B45">
              <w:rPr>
                <w:lang w:val="en-US"/>
              </w:rPr>
              <w:t>)</w:t>
            </w:r>
          </w:p>
          <w:p w:rsidR="00927F61" w:rsidRPr="00990B45" w:rsidRDefault="00927F61" w:rsidP="00927F61">
            <w:pPr>
              <w:autoSpaceDE w:val="0"/>
              <w:autoSpaceDN w:val="0"/>
              <w:adjustRightInd w:val="0"/>
              <w:ind w:firstLine="720"/>
              <w:jc w:val="both"/>
              <w:rPr>
                <w:lang w:val="en-US"/>
              </w:rPr>
            </w:pPr>
            <w:r w:rsidRPr="00990B45">
              <w:rPr>
                <w:lang w:val="en-US"/>
              </w:rPr>
              <w:t xml:space="preserve">37. </w:t>
            </w:r>
            <w:r w:rsidRPr="00990B45">
              <w:t>ОМХ</w:t>
            </w:r>
            <w:r w:rsidRPr="00990B45">
              <w:rPr>
                <w:lang w:val="en-US"/>
              </w:rPr>
              <w:t xml:space="preserve"> Stockholm 30 (</w:t>
            </w:r>
            <w:r w:rsidRPr="00990B45">
              <w:t>Швеция</w:t>
            </w:r>
            <w:r w:rsidRPr="00990B45">
              <w:rPr>
                <w:lang w:val="en-US"/>
              </w:rPr>
              <w:t>)</w:t>
            </w:r>
          </w:p>
          <w:p w:rsidR="00927F61" w:rsidRPr="00990B45" w:rsidRDefault="00927F61" w:rsidP="00927F61">
            <w:pPr>
              <w:autoSpaceDE w:val="0"/>
              <w:autoSpaceDN w:val="0"/>
              <w:adjustRightInd w:val="0"/>
              <w:ind w:firstLine="720"/>
              <w:jc w:val="both"/>
              <w:rPr>
                <w:lang w:val="en-US"/>
              </w:rPr>
            </w:pPr>
            <w:r w:rsidRPr="00990B45">
              <w:rPr>
                <w:lang w:val="en-US"/>
              </w:rPr>
              <w:t xml:space="preserve">38. </w:t>
            </w:r>
            <w:r w:rsidRPr="00990B45">
              <w:t>ОМХ</w:t>
            </w:r>
            <w:r w:rsidRPr="00990B45">
              <w:rPr>
                <w:lang w:val="en-US"/>
              </w:rPr>
              <w:t xml:space="preserve"> TALLINN_GI (</w:t>
            </w:r>
            <w:r w:rsidRPr="00990B45">
              <w:t>Эстония</w:t>
            </w:r>
            <w:r w:rsidRPr="00990B45">
              <w:rPr>
                <w:lang w:val="en-US"/>
              </w:rPr>
              <w:t>)</w:t>
            </w:r>
          </w:p>
          <w:p w:rsidR="00927F61" w:rsidRPr="00990B45" w:rsidRDefault="00927F61" w:rsidP="00927F61">
            <w:pPr>
              <w:autoSpaceDE w:val="0"/>
              <w:autoSpaceDN w:val="0"/>
              <w:adjustRightInd w:val="0"/>
              <w:ind w:firstLine="720"/>
              <w:jc w:val="both"/>
              <w:rPr>
                <w:lang w:val="en-US"/>
              </w:rPr>
            </w:pPr>
            <w:r w:rsidRPr="00990B45">
              <w:rPr>
                <w:lang w:val="en-US"/>
              </w:rPr>
              <w:t>39. FTSE/JSE Top40 (</w:t>
            </w:r>
            <w:r w:rsidRPr="00990B45">
              <w:t>ЮАР</w:t>
            </w:r>
            <w:r w:rsidRPr="00990B45">
              <w:rPr>
                <w:lang w:val="en-US"/>
              </w:rPr>
              <w:t>)</w:t>
            </w:r>
          </w:p>
          <w:p w:rsidR="00927F61" w:rsidRPr="00990B45" w:rsidRDefault="00927F61" w:rsidP="00927F61">
            <w:pPr>
              <w:autoSpaceDE w:val="0"/>
              <w:autoSpaceDN w:val="0"/>
              <w:adjustRightInd w:val="0"/>
              <w:ind w:firstLine="720"/>
              <w:jc w:val="both"/>
              <w:rPr>
                <w:lang w:val="en-US"/>
              </w:rPr>
            </w:pPr>
            <w:r w:rsidRPr="00990B45">
              <w:rPr>
                <w:lang w:val="en-US"/>
              </w:rPr>
              <w:t>40. KOSPI (</w:t>
            </w:r>
            <w:r w:rsidRPr="00990B45">
              <w:t>Южная</w:t>
            </w:r>
            <w:r w:rsidRPr="00990B45">
              <w:rPr>
                <w:lang w:val="en-US"/>
              </w:rPr>
              <w:t xml:space="preserve"> </w:t>
            </w:r>
            <w:r w:rsidRPr="00990B45">
              <w:t>Корея</w:t>
            </w:r>
            <w:r w:rsidRPr="00990B45">
              <w:rPr>
                <w:lang w:val="en-US"/>
              </w:rPr>
              <w:t>)</w:t>
            </w:r>
          </w:p>
          <w:p w:rsidR="00927F61" w:rsidRPr="00990B45" w:rsidRDefault="00927F61" w:rsidP="00927F61">
            <w:pPr>
              <w:autoSpaceDE w:val="0"/>
              <w:autoSpaceDN w:val="0"/>
              <w:adjustRightInd w:val="0"/>
              <w:ind w:firstLine="720"/>
              <w:jc w:val="both"/>
              <w:rPr>
                <w:lang w:val="en-US"/>
              </w:rPr>
            </w:pPr>
            <w:r w:rsidRPr="00990B45">
              <w:rPr>
                <w:lang w:val="en-US"/>
              </w:rPr>
              <w:t>41. Nikkei 225 (</w:t>
            </w:r>
            <w:r w:rsidRPr="00990B45">
              <w:t>Япония</w:t>
            </w:r>
            <w:r w:rsidRPr="00990B45">
              <w:rPr>
                <w:lang w:val="en-US"/>
              </w:rPr>
              <w:t>)</w:t>
            </w:r>
          </w:p>
          <w:p w:rsidR="00927F61" w:rsidRPr="00990B45" w:rsidRDefault="00927F61" w:rsidP="00927F61">
            <w:pPr>
              <w:ind w:firstLine="720"/>
              <w:jc w:val="both"/>
            </w:pPr>
            <w:r w:rsidRPr="00990B45">
              <w:t xml:space="preserve">42. Индекс </w:t>
            </w:r>
            <w:proofErr w:type="spellStart"/>
            <w:r w:rsidRPr="00990B45">
              <w:t>МосБиржи</w:t>
            </w:r>
            <w:proofErr w:type="spellEnd"/>
            <w:r w:rsidRPr="00990B45">
              <w:t xml:space="preserve"> голубых фишек (Россия)</w:t>
            </w:r>
          </w:p>
          <w:p w:rsidR="00927F61" w:rsidRPr="00990B45" w:rsidRDefault="00927F61" w:rsidP="00927F61">
            <w:pPr>
              <w:ind w:firstLine="720"/>
              <w:jc w:val="both"/>
            </w:pPr>
            <w:r w:rsidRPr="00990B45">
              <w:t xml:space="preserve">от стоимости чистых активов Фонда в совокупности должна превышать </w:t>
            </w:r>
            <w:proofErr w:type="gramStart"/>
            <w:r w:rsidRPr="00990B45">
              <w:t>большую</w:t>
            </w:r>
            <w:proofErr w:type="gramEnd"/>
            <w:r w:rsidRPr="00990B45">
              <w:t xml:space="preserve"> из следующих величин:</w:t>
            </w:r>
          </w:p>
          <w:p w:rsidR="00927F61" w:rsidRPr="00990B45" w:rsidRDefault="00927F61" w:rsidP="00927F61">
            <w:pPr>
              <w:ind w:firstLine="720"/>
              <w:jc w:val="both"/>
            </w:pPr>
            <w:r w:rsidRPr="00990B45">
              <w:t>пять процентов;</w:t>
            </w:r>
          </w:p>
          <w:p w:rsidR="00927F61" w:rsidRPr="00990B45" w:rsidRDefault="00927F61" w:rsidP="00927F61">
            <w:pPr>
              <w:ind w:firstLine="720"/>
              <w:jc w:val="both"/>
            </w:pPr>
            <w:proofErr w:type="gramStart"/>
            <w:r w:rsidRPr="00990B45">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(данное требование применяется, в случае если с даты завершения (окончания) формирования Фонда прошло 36 календарных месяцев и более).</w:t>
            </w:r>
            <w:proofErr w:type="gramEnd"/>
            <w:r w:rsidRPr="00990B45">
              <w:t xml:space="preserve"> </w:t>
            </w:r>
            <w:proofErr w:type="gramStart"/>
            <w:r w:rsidRPr="00990B45">
              <w:t>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за календарный месяц</w:t>
            </w:r>
            <w:proofErr w:type="gramEnd"/>
            <w:r w:rsidRPr="00990B45">
              <w:t xml:space="preserve">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927F61" w:rsidRPr="00990B45" w:rsidRDefault="00927F61" w:rsidP="00927F61">
            <w:pPr>
              <w:ind w:firstLine="720"/>
              <w:jc w:val="both"/>
            </w:pPr>
            <w:proofErr w:type="gramStart"/>
            <w:r w:rsidRPr="00990B45">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927F61" w:rsidRPr="00990B45" w:rsidRDefault="00927F61" w:rsidP="00927F61">
            <w:pPr>
              <w:ind w:firstLine="720"/>
              <w:jc w:val="both"/>
            </w:pPr>
            <w:r w:rsidRPr="00990B45">
              <w:t xml:space="preserve">Для целей настоящего пункта используется рейтинг долгосрочной </w:t>
            </w:r>
            <w:r w:rsidRPr="00990B45">
              <w:lastRenderedPageBreak/>
              <w:t>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927F61" w:rsidRDefault="00927F61" w:rsidP="00927F61">
            <w:pPr>
              <w:ind w:firstLine="720"/>
              <w:jc w:val="both"/>
            </w:pPr>
            <w:r w:rsidRPr="00990B45">
              <w:t xml:space="preserve">Требования </w:t>
            </w:r>
            <w:r w:rsidRPr="00990B45">
              <w:rPr>
                <w:b/>
              </w:rPr>
              <w:t>пункта 2</w:t>
            </w:r>
            <w:r w:rsidR="00990B45" w:rsidRPr="00990B45">
              <w:rPr>
                <w:b/>
              </w:rPr>
              <w:t>1</w:t>
            </w:r>
            <w:r w:rsidRPr="00990B45">
              <w:t xml:space="preserve"> настоящих Правил применяются до даты возникновения основания прекращения Фонда.</w:t>
            </w:r>
          </w:p>
          <w:p w:rsidR="00990B45" w:rsidRDefault="00990B45" w:rsidP="00927F61">
            <w:pPr>
              <w:ind w:firstLine="720"/>
              <w:jc w:val="both"/>
            </w:pPr>
          </w:p>
          <w:p w:rsidR="00990B45" w:rsidRDefault="00990B45" w:rsidP="00927F61">
            <w:pPr>
              <w:ind w:firstLine="720"/>
              <w:jc w:val="both"/>
            </w:pPr>
          </w:p>
          <w:p w:rsidR="00990B45" w:rsidRPr="001E7D29" w:rsidRDefault="00990B45" w:rsidP="00990B45">
            <w:pPr>
              <w:shd w:val="clear" w:color="auto" w:fill="FFFFFF"/>
              <w:spacing w:before="120" w:after="80"/>
              <w:jc w:val="both"/>
              <w:rPr>
                <w:b/>
                <w:color w:val="000000"/>
              </w:rPr>
            </w:pPr>
            <w:r w:rsidRPr="00B25BC5">
              <w:rPr>
                <w:b/>
              </w:rPr>
              <w:t>21.3</w:t>
            </w:r>
            <w:r>
              <w:t xml:space="preserve">. </w:t>
            </w:r>
            <w:r w:rsidRPr="001E7D29">
              <w:rPr>
                <w:b/>
                <w:color w:val="000000"/>
              </w:rPr>
              <w:t xml:space="preserve">Не менее 80% от общей стоимости активов </w:t>
            </w:r>
            <w:r w:rsidR="00292AE0">
              <w:rPr>
                <w:b/>
                <w:color w:val="000000"/>
              </w:rPr>
              <w:t>Ф</w:t>
            </w:r>
            <w:r w:rsidRPr="001E7D29">
              <w:rPr>
                <w:b/>
                <w:color w:val="000000"/>
              </w:rPr>
              <w:t>онда не менее чем 1</w:t>
            </w:r>
            <w:r>
              <w:rPr>
                <w:b/>
                <w:color w:val="000000"/>
              </w:rPr>
              <w:t>80</w:t>
            </w:r>
            <w:r w:rsidRPr="001E7D29">
              <w:rPr>
                <w:b/>
                <w:color w:val="000000"/>
              </w:rPr>
              <w:t xml:space="preserve"> (сто </w:t>
            </w:r>
            <w:r>
              <w:rPr>
                <w:b/>
                <w:color w:val="000000"/>
              </w:rPr>
              <w:t>восемьдесят</w:t>
            </w:r>
            <w:r w:rsidRPr="001E7D29">
              <w:rPr>
                <w:b/>
                <w:color w:val="000000"/>
              </w:rPr>
              <w:t xml:space="preserve">) </w:t>
            </w:r>
            <w:r>
              <w:rPr>
                <w:b/>
                <w:color w:val="000000"/>
              </w:rPr>
              <w:t xml:space="preserve">дней </w:t>
            </w:r>
            <w:r w:rsidRPr="001E7D29">
              <w:rPr>
                <w:b/>
                <w:color w:val="000000"/>
              </w:rPr>
              <w:t>календарно</w:t>
            </w:r>
            <w:r>
              <w:rPr>
                <w:b/>
                <w:color w:val="000000"/>
              </w:rPr>
              <w:t>го</w:t>
            </w:r>
            <w:r w:rsidRPr="001E7D29">
              <w:rPr>
                <w:b/>
                <w:color w:val="000000"/>
              </w:rPr>
              <w:t xml:space="preserve"> год</w:t>
            </w:r>
            <w:r>
              <w:rPr>
                <w:b/>
                <w:color w:val="000000"/>
              </w:rPr>
              <w:t>а</w:t>
            </w:r>
            <w:r w:rsidRPr="001E7D29">
              <w:rPr>
                <w:b/>
                <w:color w:val="000000"/>
              </w:rPr>
              <w:t xml:space="preserve"> должно приходиться на долю стоимости следующих активов в совокупности:</w:t>
            </w:r>
          </w:p>
          <w:p w:rsidR="00990B45" w:rsidRPr="001E7D29" w:rsidRDefault="00821F2A" w:rsidP="00990B45">
            <w:pPr>
              <w:pStyle w:val="af0"/>
              <w:widowControl w:val="0"/>
              <w:numPr>
                <w:ilvl w:val="1"/>
                <w:numId w:val="11"/>
              </w:numPr>
              <w:autoSpaceDE w:val="0"/>
              <w:autoSpaceDN w:val="0"/>
              <w:adjustRightInd w:val="0"/>
              <w:spacing w:after="0" w:line="240" w:lineRule="auto"/>
              <w:ind w:left="567" w:hanging="567"/>
              <w:jc w:val="both"/>
              <w:rPr>
                <w:rFonts w:ascii="Times New Roman" w:hAnsi="Times New Roman"/>
                <w:b/>
                <w:color w:val="000000"/>
                <w:sz w:val="24"/>
                <w:szCs w:val="24"/>
                <w:lang w:eastAsia="ru-RU"/>
              </w:rPr>
            </w:pPr>
            <w:r w:rsidRPr="002205BD">
              <w:rPr>
                <w:rFonts w:ascii="Times New Roman" w:hAnsi="Times New Roman"/>
                <w:b/>
                <w:color w:val="000000"/>
                <w:sz w:val="24"/>
                <w:szCs w:val="24"/>
                <w:lang w:eastAsia="ru-RU"/>
              </w:rPr>
              <w:t>облигации российских юридических лиц, государственные ценные бумаги Российской Федерации и иностранных государств, государственные ценные бумаги субъектов Российской Федерации, муниципальные ценные бумаги, облигации иностранных эмитентов</w:t>
            </w:r>
            <w:r w:rsidR="00990B45" w:rsidRPr="001E7D29">
              <w:rPr>
                <w:rFonts w:ascii="Times New Roman" w:hAnsi="Times New Roman"/>
                <w:b/>
                <w:color w:val="000000"/>
                <w:sz w:val="24"/>
                <w:szCs w:val="24"/>
                <w:lang w:eastAsia="ru-RU"/>
              </w:rPr>
              <w:t xml:space="preserve">; </w:t>
            </w:r>
          </w:p>
          <w:p w:rsidR="00990B45" w:rsidRPr="001E7D29" w:rsidRDefault="00990B45" w:rsidP="00990B45">
            <w:pPr>
              <w:pStyle w:val="af0"/>
              <w:widowControl w:val="0"/>
              <w:numPr>
                <w:ilvl w:val="1"/>
                <w:numId w:val="11"/>
              </w:numPr>
              <w:autoSpaceDE w:val="0"/>
              <w:autoSpaceDN w:val="0"/>
              <w:adjustRightInd w:val="0"/>
              <w:spacing w:after="0" w:line="240" w:lineRule="auto"/>
              <w:ind w:left="567" w:hanging="567"/>
              <w:jc w:val="both"/>
              <w:rPr>
                <w:rFonts w:ascii="Times New Roman" w:hAnsi="Times New Roman"/>
                <w:b/>
                <w:color w:val="000000"/>
                <w:sz w:val="24"/>
                <w:szCs w:val="24"/>
                <w:lang w:eastAsia="ru-RU"/>
              </w:rPr>
            </w:pPr>
            <w:r w:rsidRPr="001E7D29">
              <w:rPr>
                <w:rFonts w:ascii="Times New Roman" w:hAnsi="Times New Roman"/>
                <w:b/>
                <w:color w:val="000000"/>
                <w:sz w:val="24"/>
                <w:szCs w:val="24"/>
                <w:lang w:eastAsia="ru-RU"/>
              </w:rPr>
              <w:t>российские и иностранные депозитарные расписки на</w:t>
            </w:r>
            <w:r w:rsidR="005F2118">
              <w:rPr>
                <w:rFonts w:ascii="Times New Roman" w:hAnsi="Times New Roman"/>
                <w:b/>
                <w:color w:val="000000"/>
                <w:sz w:val="24"/>
                <w:szCs w:val="24"/>
                <w:lang w:eastAsia="ru-RU"/>
              </w:rPr>
              <w:t xml:space="preserve"> облигации российских юридических лиц и облигации иностранных эмитентов</w:t>
            </w:r>
            <w:r w:rsidRPr="001E7D29">
              <w:rPr>
                <w:rFonts w:ascii="Times New Roman" w:hAnsi="Times New Roman"/>
                <w:b/>
                <w:color w:val="000000"/>
                <w:sz w:val="24"/>
                <w:szCs w:val="24"/>
                <w:lang w:eastAsia="ru-RU"/>
              </w:rPr>
              <w:t>;</w:t>
            </w:r>
          </w:p>
          <w:p w:rsidR="00990B45" w:rsidRPr="001E7D29" w:rsidRDefault="00990B45" w:rsidP="00990B45">
            <w:pPr>
              <w:pStyle w:val="af0"/>
              <w:widowControl w:val="0"/>
              <w:numPr>
                <w:ilvl w:val="1"/>
                <w:numId w:val="11"/>
              </w:numPr>
              <w:autoSpaceDE w:val="0"/>
              <w:autoSpaceDN w:val="0"/>
              <w:adjustRightInd w:val="0"/>
              <w:spacing w:after="0" w:line="240" w:lineRule="auto"/>
              <w:ind w:left="567" w:hanging="567"/>
              <w:jc w:val="both"/>
              <w:rPr>
                <w:rFonts w:ascii="Times New Roman" w:hAnsi="Times New Roman"/>
                <w:b/>
                <w:color w:val="000000"/>
                <w:sz w:val="24"/>
                <w:szCs w:val="24"/>
                <w:lang w:eastAsia="ru-RU"/>
              </w:rPr>
            </w:pPr>
            <w:r w:rsidRPr="001E7D29">
              <w:rPr>
                <w:rFonts w:ascii="Times New Roman" w:hAnsi="Times New Roman"/>
                <w:b/>
                <w:color w:val="000000"/>
                <w:sz w:val="24"/>
                <w:szCs w:val="24"/>
                <w:lang w:eastAsia="ru-RU"/>
              </w:rPr>
              <w:t xml:space="preserve">производные финансовые инструменты, изменение стоимости которых зависит от изменения стоимости активов, предусмотренных подпунктами (1) и (2) </w:t>
            </w:r>
            <w:r w:rsidR="00E42B9B" w:rsidRPr="001E7D29">
              <w:rPr>
                <w:rFonts w:ascii="Times New Roman" w:hAnsi="Times New Roman"/>
                <w:b/>
                <w:color w:val="000000"/>
                <w:sz w:val="24"/>
                <w:szCs w:val="24"/>
                <w:lang w:eastAsia="ru-RU"/>
              </w:rPr>
              <w:t xml:space="preserve">настоящего пункта </w:t>
            </w:r>
            <w:r w:rsidRPr="001E7D29">
              <w:rPr>
                <w:rFonts w:ascii="Times New Roman" w:hAnsi="Times New Roman"/>
                <w:b/>
                <w:color w:val="000000"/>
                <w:sz w:val="24"/>
                <w:szCs w:val="24"/>
                <w:lang w:eastAsia="ru-RU"/>
              </w:rPr>
              <w:t>(в том числе изменения значения индекса, рассчитываемого исходя из стоимости этих активов);</w:t>
            </w:r>
          </w:p>
          <w:p w:rsidR="00990B45" w:rsidRPr="001E7D29" w:rsidRDefault="00990B45" w:rsidP="00990B45">
            <w:pPr>
              <w:pStyle w:val="af0"/>
              <w:widowControl w:val="0"/>
              <w:numPr>
                <w:ilvl w:val="1"/>
                <w:numId w:val="11"/>
              </w:numPr>
              <w:autoSpaceDE w:val="0"/>
              <w:autoSpaceDN w:val="0"/>
              <w:adjustRightInd w:val="0"/>
              <w:spacing w:after="0" w:line="240" w:lineRule="auto"/>
              <w:ind w:left="567" w:hanging="567"/>
              <w:jc w:val="both"/>
              <w:rPr>
                <w:rFonts w:ascii="Times New Roman" w:hAnsi="Times New Roman"/>
                <w:b/>
                <w:color w:val="000000"/>
                <w:sz w:val="24"/>
                <w:szCs w:val="24"/>
                <w:lang w:eastAsia="ru-RU"/>
              </w:rPr>
            </w:pPr>
            <w:proofErr w:type="gramStart"/>
            <w:r w:rsidRPr="001E7D29">
              <w:rPr>
                <w:rFonts w:ascii="Times New Roman" w:hAnsi="Times New Roman"/>
                <w:b/>
                <w:color w:val="000000"/>
                <w:sz w:val="24"/>
                <w:szCs w:val="24"/>
                <w:lang w:eastAsia="ru-RU"/>
              </w:rPr>
              <w:t xml:space="preserve">паи (акции) инвестиционных фондов, в том числе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ценной бумаги такого фонда изменению значения индекса, рассчитываемого исходя из </w:t>
            </w:r>
            <w:r w:rsidRPr="001E7D29">
              <w:rPr>
                <w:rFonts w:ascii="Times New Roman" w:hAnsi="Times New Roman"/>
                <w:b/>
                <w:color w:val="000000"/>
                <w:sz w:val="24"/>
                <w:szCs w:val="24"/>
                <w:lang w:eastAsia="ru-RU"/>
              </w:rPr>
              <w:lastRenderedPageBreak/>
              <w:t>стоимости активов</w:t>
            </w:r>
            <w:r w:rsidR="00E42B9B">
              <w:rPr>
                <w:rFonts w:ascii="Times New Roman" w:hAnsi="Times New Roman"/>
                <w:b/>
                <w:color w:val="000000"/>
                <w:sz w:val="24"/>
                <w:szCs w:val="24"/>
                <w:lang w:eastAsia="ru-RU"/>
              </w:rPr>
              <w:t>,</w:t>
            </w:r>
            <w:r w:rsidRPr="001E7D29">
              <w:rPr>
                <w:rFonts w:ascii="Times New Roman" w:hAnsi="Times New Roman"/>
                <w:b/>
                <w:color w:val="000000"/>
                <w:sz w:val="24"/>
                <w:szCs w:val="24"/>
                <w:lang w:eastAsia="ru-RU"/>
              </w:rPr>
              <w:t xml:space="preserve"> предусмотренных подпунктами (1), (2), (3) настоящего пункта, или если код CFI такого фонда указывает на то, что эти активы</w:t>
            </w:r>
            <w:proofErr w:type="gramEnd"/>
            <w:r w:rsidRPr="001E7D29">
              <w:rPr>
                <w:rFonts w:ascii="Times New Roman" w:hAnsi="Times New Roman"/>
                <w:b/>
                <w:color w:val="000000"/>
                <w:sz w:val="24"/>
                <w:szCs w:val="24"/>
                <w:lang w:eastAsia="ru-RU"/>
              </w:rPr>
              <w:t xml:space="preserve"> являются основным направлением осуществления инвестиций таким фондом.</w:t>
            </w:r>
          </w:p>
          <w:p w:rsidR="00A40248" w:rsidRPr="00292AE0" w:rsidRDefault="00C92D98" w:rsidP="00292AE0">
            <w:pPr>
              <w:ind w:firstLine="720"/>
              <w:jc w:val="both"/>
              <w:rPr>
                <w:b/>
              </w:rPr>
            </w:pPr>
            <w:r w:rsidRPr="00B25BC5">
              <w:rPr>
                <w:b/>
              </w:rPr>
              <w:t>Требования настоящего пункта применяются до даты возникновения основания прекращения Фонда.</w:t>
            </w:r>
          </w:p>
        </w:tc>
      </w:tr>
      <w:tr w:rsidR="00B25BC5" w:rsidRPr="00990B45" w:rsidTr="0071665C">
        <w:trPr>
          <w:trHeight w:val="416"/>
        </w:trPr>
        <w:tc>
          <w:tcPr>
            <w:tcW w:w="2492" w:type="pct"/>
          </w:tcPr>
          <w:p w:rsidR="00B25BC5" w:rsidRPr="008E04F2" w:rsidRDefault="00B25BC5" w:rsidP="00B25BC5">
            <w:pPr>
              <w:ind w:firstLine="720"/>
              <w:jc w:val="both"/>
            </w:pPr>
            <w:r w:rsidRPr="008E04F2">
              <w:lastRenderedPageBreak/>
              <w:t>28. Управляющая компания не вправе:</w:t>
            </w:r>
          </w:p>
          <w:p w:rsidR="00B25BC5" w:rsidRPr="008E04F2" w:rsidRDefault="00B25BC5" w:rsidP="00B25BC5">
            <w:pPr>
              <w:ind w:firstLine="720"/>
              <w:jc w:val="both"/>
            </w:pPr>
            <w:r w:rsidRPr="008E04F2">
              <w:t xml:space="preserve">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 </w:t>
            </w:r>
          </w:p>
          <w:p w:rsidR="00B25BC5" w:rsidRPr="008E04F2" w:rsidRDefault="00B25BC5" w:rsidP="00B25BC5">
            <w:pPr>
              <w:ind w:firstLine="720"/>
              <w:jc w:val="both"/>
            </w:pPr>
            <w:r w:rsidRPr="008E04F2">
              <w:t>2) распоряжаться денежными средствами, находящимися на транзитном счете, без предварительного согласия специализированного депозитария;</w:t>
            </w:r>
          </w:p>
          <w:p w:rsidR="00B25BC5" w:rsidRPr="008E04F2" w:rsidRDefault="00B25BC5" w:rsidP="00B25BC5">
            <w:pPr>
              <w:ind w:firstLine="720"/>
              <w:jc w:val="both"/>
            </w:pPr>
            <w:r w:rsidRPr="008E04F2">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w:t>
            </w:r>
            <w:proofErr w:type="gramStart"/>
            <w:r w:rsidRPr="008E04F2">
              <w:t>ств тр</w:t>
            </w:r>
            <w:proofErr w:type="gramEnd"/>
            <w:r w:rsidRPr="008E04F2">
              <w:t>етьих лиц;</w:t>
            </w:r>
          </w:p>
          <w:p w:rsidR="00B25BC5" w:rsidRPr="008E04F2" w:rsidRDefault="00B25BC5" w:rsidP="00B25BC5">
            <w:pPr>
              <w:ind w:firstLine="720"/>
              <w:jc w:val="both"/>
            </w:pPr>
            <w:r w:rsidRPr="008E04F2">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B25BC5" w:rsidRPr="008E04F2" w:rsidRDefault="00B25BC5" w:rsidP="00B25BC5">
            <w:pPr>
              <w:ind w:firstLine="720"/>
              <w:jc w:val="both"/>
            </w:pPr>
            <w:r w:rsidRPr="008E04F2">
              <w:t>5) совершать следующие сделки или давать поручения на совершение следующих сделок:</w:t>
            </w:r>
          </w:p>
          <w:p w:rsidR="00B25BC5" w:rsidRPr="008E04F2" w:rsidRDefault="00B25BC5" w:rsidP="00B25BC5">
            <w:pPr>
              <w:ind w:firstLine="720"/>
              <w:jc w:val="both"/>
            </w:pPr>
            <w:r w:rsidRPr="008E04F2">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w:t>
            </w:r>
            <w:r w:rsidRPr="00DC5242">
              <w:t xml:space="preserve"> </w:t>
            </w:r>
            <w:r>
              <w:t>в сфере финансовых рынков</w:t>
            </w:r>
            <w:r w:rsidRPr="008E04F2">
              <w:t>, инвестиционной декларацией Фонда;</w:t>
            </w:r>
          </w:p>
          <w:p w:rsidR="00B25BC5" w:rsidRPr="008E04F2" w:rsidRDefault="00B25BC5" w:rsidP="00B25BC5">
            <w:pPr>
              <w:ind w:firstLine="720"/>
              <w:jc w:val="both"/>
            </w:pPr>
            <w:r w:rsidRPr="008E04F2">
              <w:t>сделки по безвозмездному отчуждению имущества, составляющего Фонд;</w:t>
            </w:r>
          </w:p>
          <w:p w:rsidR="00B25BC5" w:rsidRPr="008E04F2" w:rsidRDefault="00B25BC5" w:rsidP="00B25BC5">
            <w:pPr>
              <w:ind w:firstLine="720"/>
              <w:jc w:val="both"/>
            </w:pPr>
            <w:r w:rsidRPr="008E04F2">
              <w:t xml:space="preserve">сделки, в результате которых </w:t>
            </w:r>
            <w:r w:rsidRPr="008E04F2">
              <w:lastRenderedPageBreak/>
              <w:t xml:space="preserve">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 </w:t>
            </w:r>
          </w:p>
          <w:p w:rsidR="00B25BC5" w:rsidRPr="008E04F2" w:rsidRDefault="00B25BC5" w:rsidP="00B25BC5">
            <w:pPr>
              <w:ind w:firstLine="720"/>
              <w:jc w:val="both"/>
            </w:pPr>
            <w:r w:rsidRPr="008E04F2">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B25BC5" w:rsidRPr="008E04F2" w:rsidRDefault="00B25BC5" w:rsidP="00B25BC5">
            <w:pPr>
              <w:ind w:firstLine="720"/>
              <w:jc w:val="both"/>
            </w:pPr>
            <w:r w:rsidRPr="008E04F2">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w:t>
            </w:r>
            <w:proofErr w:type="gramStart"/>
            <w:r w:rsidRPr="008E04F2">
              <w:t>дств дл</w:t>
            </w:r>
            <w:proofErr w:type="gramEnd"/>
            <w:r w:rsidRPr="008E04F2">
              <w:t xml:space="preserve">я  погашения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rsidR="00B25BC5" w:rsidRPr="008E04F2" w:rsidRDefault="00B25BC5" w:rsidP="00B25BC5">
            <w:pPr>
              <w:ind w:firstLine="720"/>
              <w:jc w:val="both"/>
            </w:pPr>
            <w:r w:rsidRPr="008E04F2">
              <w:t xml:space="preserve">сделки </w:t>
            </w:r>
            <w:proofErr w:type="spellStart"/>
            <w:r w:rsidRPr="008E04F2">
              <w:t>репо</w:t>
            </w:r>
            <w:proofErr w:type="spellEnd"/>
            <w:r w:rsidRPr="008E04F2">
              <w:t>, подлежащие исполнению за счет имущества Фонда;</w:t>
            </w:r>
          </w:p>
          <w:p w:rsidR="00B25BC5" w:rsidRPr="008E04F2" w:rsidRDefault="00B25BC5" w:rsidP="00B25BC5">
            <w:pPr>
              <w:ind w:firstLine="720"/>
              <w:jc w:val="both"/>
            </w:pPr>
            <w:r w:rsidRPr="008E04F2">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B25BC5" w:rsidRPr="008E04F2" w:rsidRDefault="00B25BC5" w:rsidP="00B25BC5">
            <w:pPr>
              <w:ind w:firstLine="720"/>
              <w:jc w:val="both"/>
            </w:pPr>
            <w:r w:rsidRPr="008E04F2">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B25BC5" w:rsidRPr="008E04F2" w:rsidRDefault="00B25BC5" w:rsidP="00B25BC5">
            <w:pPr>
              <w:ind w:firstLine="720"/>
              <w:jc w:val="both"/>
            </w:pPr>
            <w:r w:rsidRPr="008E04F2">
              <w:t xml:space="preserve">сделки по приобретению в состав Фонда ценных бумаг, выпущенных </w:t>
            </w:r>
            <w:r w:rsidRPr="008E04F2">
              <w:lastRenderedPageBreak/>
              <w:t xml:space="preserve">(выданных)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w:t>
            </w:r>
            <w:r w:rsidRPr="00B25BC5">
              <w:rPr>
                <w:b/>
              </w:rPr>
              <w:t>аудиторской  организацией</w:t>
            </w:r>
            <w:r w:rsidRPr="008E04F2">
              <w:t>, регистратором;</w:t>
            </w:r>
          </w:p>
          <w:p w:rsidR="00B25BC5" w:rsidRPr="008E04F2" w:rsidRDefault="00B25BC5" w:rsidP="00B25BC5">
            <w:pPr>
              <w:ind w:firstLine="720"/>
              <w:jc w:val="both"/>
            </w:pPr>
            <w:r w:rsidRPr="008E04F2">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B25BC5" w:rsidRPr="008E04F2" w:rsidRDefault="00B25BC5" w:rsidP="00B25BC5">
            <w:pPr>
              <w:ind w:firstLine="720"/>
              <w:jc w:val="both"/>
            </w:pPr>
            <w:r w:rsidRPr="008E04F2">
              <w:t xml:space="preserve">сделки по приобретению в состав Фонда имущества у специализированного депозитария,  </w:t>
            </w:r>
            <w:r w:rsidRPr="00B25BC5">
              <w:rPr>
                <w:b/>
              </w:rPr>
              <w:t>аудиторской организации</w:t>
            </w:r>
            <w:r w:rsidRPr="008E04F2">
              <w:t xml:space="preserve">,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w:t>
            </w:r>
            <w:r>
              <w:t>89</w:t>
            </w:r>
            <w:r w:rsidRPr="008E04F2">
              <w:t xml:space="preserve"> настоящих Правил, а также иных случаев, предусмотренных настоящими Правилами; </w:t>
            </w:r>
          </w:p>
          <w:p w:rsidR="00B25BC5" w:rsidRPr="008E04F2" w:rsidRDefault="00B25BC5" w:rsidP="00B25BC5">
            <w:pPr>
              <w:ind w:firstLine="720"/>
              <w:jc w:val="both"/>
            </w:pPr>
            <w:r w:rsidRPr="008E04F2">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B25BC5" w:rsidRPr="008E04F2" w:rsidRDefault="00B25BC5" w:rsidP="00B25BC5">
            <w:pPr>
              <w:autoSpaceDE w:val="0"/>
              <w:autoSpaceDN w:val="0"/>
              <w:adjustRightInd w:val="0"/>
              <w:ind w:firstLine="720"/>
              <w:jc w:val="both"/>
            </w:pPr>
            <w:r w:rsidRPr="008E04F2">
              <w:t>6) заключать договоры возмездного оказания услуг, подлежащих оплате за счет активов фонда, в случаях, установленных нормативными актами</w:t>
            </w:r>
            <w:r w:rsidRPr="00DC5242">
              <w:t xml:space="preserve"> </w:t>
            </w:r>
            <w:r>
              <w:t>в сфере финансовых рынков</w:t>
            </w:r>
            <w:r w:rsidRPr="008E04F2">
              <w:t>.</w:t>
            </w:r>
          </w:p>
          <w:p w:rsidR="00B25BC5" w:rsidRPr="00990B45" w:rsidRDefault="00B25BC5" w:rsidP="00990B45">
            <w:pPr>
              <w:ind w:firstLine="720"/>
              <w:jc w:val="both"/>
            </w:pPr>
          </w:p>
        </w:tc>
        <w:tc>
          <w:tcPr>
            <w:tcW w:w="2508" w:type="pct"/>
          </w:tcPr>
          <w:p w:rsidR="00B25BC5" w:rsidRPr="008E04F2" w:rsidRDefault="00B25BC5" w:rsidP="00B25BC5">
            <w:pPr>
              <w:ind w:firstLine="720"/>
              <w:jc w:val="both"/>
            </w:pPr>
            <w:r w:rsidRPr="00B25BC5">
              <w:rPr>
                <w:b/>
              </w:rPr>
              <w:lastRenderedPageBreak/>
              <w:t>26.</w:t>
            </w:r>
            <w:r w:rsidRPr="008E04F2">
              <w:t xml:space="preserve"> Управляющая компания не вправе:</w:t>
            </w:r>
          </w:p>
          <w:p w:rsidR="00B25BC5" w:rsidRPr="008E04F2" w:rsidRDefault="00B25BC5" w:rsidP="00B25BC5">
            <w:pPr>
              <w:ind w:firstLine="720"/>
              <w:jc w:val="both"/>
            </w:pPr>
            <w:r w:rsidRPr="008E04F2">
              <w:t xml:space="preserve">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 </w:t>
            </w:r>
          </w:p>
          <w:p w:rsidR="00B25BC5" w:rsidRPr="008E04F2" w:rsidRDefault="00B25BC5" w:rsidP="00B25BC5">
            <w:pPr>
              <w:ind w:firstLine="720"/>
              <w:jc w:val="both"/>
            </w:pPr>
            <w:r w:rsidRPr="008E04F2">
              <w:t>2) распоряжаться денежными средствами, находящимися на транзитном счете, без предварительного согласия специализированного депозитария;</w:t>
            </w:r>
          </w:p>
          <w:p w:rsidR="00B25BC5" w:rsidRPr="008E04F2" w:rsidRDefault="00B25BC5" w:rsidP="00B25BC5">
            <w:pPr>
              <w:ind w:firstLine="720"/>
              <w:jc w:val="both"/>
            </w:pPr>
            <w:r w:rsidRPr="008E04F2">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w:t>
            </w:r>
            <w:proofErr w:type="gramStart"/>
            <w:r w:rsidRPr="008E04F2">
              <w:t>ств тр</w:t>
            </w:r>
            <w:proofErr w:type="gramEnd"/>
            <w:r w:rsidRPr="008E04F2">
              <w:t>етьих лиц;</w:t>
            </w:r>
          </w:p>
          <w:p w:rsidR="00B25BC5" w:rsidRPr="008E04F2" w:rsidRDefault="00B25BC5" w:rsidP="00B25BC5">
            <w:pPr>
              <w:ind w:firstLine="720"/>
              <w:jc w:val="both"/>
            </w:pPr>
            <w:r w:rsidRPr="008E04F2">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B25BC5" w:rsidRPr="008E04F2" w:rsidRDefault="00B25BC5" w:rsidP="00B25BC5">
            <w:pPr>
              <w:ind w:firstLine="720"/>
              <w:jc w:val="both"/>
            </w:pPr>
            <w:r w:rsidRPr="008E04F2">
              <w:t>5) совершать следующие сделки или давать поручения на совершение следующих сделок:</w:t>
            </w:r>
          </w:p>
          <w:p w:rsidR="00B25BC5" w:rsidRPr="008E04F2" w:rsidRDefault="00B25BC5" w:rsidP="00B25BC5">
            <w:pPr>
              <w:ind w:firstLine="720"/>
              <w:jc w:val="both"/>
            </w:pPr>
            <w:r w:rsidRPr="008E04F2">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w:t>
            </w:r>
            <w:r w:rsidRPr="00DC5242">
              <w:t xml:space="preserve"> </w:t>
            </w:r>
            <w:r>
              <w:t>в сфере финансовых рынков</w:t>
            </w:r>
            <w:r w:rsidRPr="008E04F2">
              <w:t>, инвестиционной декларацией Фонда;</w:t>
            </w:r>
          </w:p>
          <w:p w:rsidR="00B25BC5" w:rsidRPr="008E04F2" w:rsidRDefault="00B25BC5" w:rsidP="00B25BC5">
            <w:pPr>
              <w:ind w:firstLine="720"/>
              <w:jc w:val="both"/>
            </w:pPr>
            <w:r w:rsidRPr="008E04F2">
              <w:t>сделки по безвозмездному отчуждению имущества, составляющего Фонд;</w:t>
            </w:r>
          </w:p>
          <w:p w:rsidR="00B25BC5" w:rsidRPr="008E04F2" w:rsidRDefault="00B25BC5" w:rsidP="00B25BC5">
            <w:pPr>
              <w:ind w:firstLine="720"/>
              <w:jc w:val="both"/>
            </w:pPr>
            <w:r w:rsidRPr="008E04F2">
              <w:t xml:space="preserve">сделки, в результате которых управляющей компанией принимается </w:t>
            </w:r>
            <w:r w:rsidRPr="008E04F2">
              <w:lastRenderedPageBreak/>
              <w:t xml:space="preserve">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 </w:t>
            </w:r>
          </w:p>
          <w:p w:rsidR="00B25BC5" w:rsidRPr="008E04F2" w:rsidRDefault="00B25BC5" w:rsidP="00B25BC5">
            <w:pPr>
              <w:ind w:firstLine="720"/>
              <w:jc w:val="both"/>
            </w:pPr>
            <w:r w:rsidRPr="008E04F2">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B25BC5" w:rsidRPr="008E04F2" w:rsidRDefault="00B25BC5" w:rsidP="00B25BC5">
            <w:pPr>
              <w:ind w:firstLine="720"/>
              <w:jc w:val="both"/>
            </w:pPr>
            <w:r w:rsidRPr="008E04F2">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w:t>
            </w:r>
            <w:proofErr w:type="gramStart"/>
            <w:r w:rsidRPr="008E04F2">
              <w:t>дств дл</w:t>
            </w:r>
            <w:proofErr w:type="gramEnd"/>
            <w:r w:rsidRPr="008E04F2">
              <w:t xml:space="preserve">я  погашения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rsidR="00B25BC5" w:rsidRPr="008E04F2" w:rsidRDefault="00B25BC5" w:rsidP="00B25BC5">
            <w:pPr>
              <w:ind w:firstLine="720"/>
              <w:jc w:val="both"/>
            </w:pPr>
            <w:r w:rsidRPr="008E04F2">
              <w:t xml:space="preserve">сделки </w:t>
            </w:r>
            <w:proofErr w:type="spellStart"/>
            <w:r w:rsidRPr="008E04F2">
              <w:t>репо</w:t>
            </w:r>
            <w:proofErr w:type="spellEnd"/>
            <w:r w:rsidRPr="008E04F2">
              <w:t>, подлежащие исполнению за счет имущества Фонда;</w:t>
            </w:r>
          </w:p>
          <w:p w:rsidR="00B25BC5" w:rsidRPr="008E04F2" w:rsidRDefault="00B25BC5" w:rsidP="00B25BC5">
            <w:pPr>
              <w:ind w:firstLine="720"/>
              <w:jc w:val="both"/>
            </w:pPr>
            <w:r w:rsidRPr="008E04F2">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B25BC5" w:rsidRPr="008E04F2" w:rsidRDefault="00B25BC5" w:rsidP="00B25BC5">
            <w:pPr>
              <w:ind w:firstLine="720"/>
              <w:jc w:val="both"/>
            </w:pPr>
            <w:r w:rsidRPr="008E04F2">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B25BC5" w:rsidRPr="008E04F2" w:rsidRDefault="00B25BC5" w:rsidP="00B25BC5">
            <w:pPr>
              <w:ind w:firstLine="720"/>
              <w:jc w:val="both"/>
            </w:pPr>
            <w:r w:rsidRPr="008E04F2">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w:t>
            </w:r>
            <w:r w:rsidRPr="008E04F2">
              <w:lastRenderedPageBreak/>
              <w:t>обществами, дочерними и зависимыми обществами управляющей компании, а также с</w:t>
            </w:r>
            <w:r>
              <w:t>пециализированным депозитарием</w:t>
            </w:r>
            <w:r w:rsidRPr="008E04F2">
              <w:t>, регистратором;</w:t>
            </w:r>
          </w:p>
          <w:p w:rsidR="00B25BC5" w:rsidRPr="008E04F2" w:rsidRDefault="00B25BC5" w:rsidP="00B25BC5">
            <w:pPr>
              <w:ind w:firstLine="720"/>
              <w:jc w:val="both"/>
            </w:pPr>
            <w:r w:rsidRPr="008E04F2">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B25BC5" w:rsidRPr="008E04F2" w:rsidRDefault="00B25BC5" w:rsidP="00B25BC5">
            <w:pPr>
              <w:ind w:firstLine="720"/>
              <w:jc w:val="both"/>
            </w:pPr>
            <w:r w:rsidRPr="008E04F2">
              <w:t>сделки по приобретению в состав Фонда имущества у сп</w:t>
            </w:r>
            <w:r>
              <w:t>ециализированного депозитария</w:t>
            </w:r>
            <w:r w:rsidRPr="008E04F2">
              <w:t>, с которым управляющей компанией заключен договор, либо по отчуждению имущества указанн</w:t>
            </w:r>
            <w:r w:rsidR="00292AE0">
              <w:t>ому</w:t>
            </w:r>
            <w:r w:rsidRPr="008E04F2">
              <w:t xml:space="preserve"> лиц</w:t>
            </w:r>
            <w:r w:rsidR="00292AE0">
              <w:t>у</w:t>
            </w:r>
            <w:r w:rsidRPr="008E04F2">
              <w:t xml:space="preserve">, за исключением случаев оплаты расходов, перечисленных в </w:t>
            </w:r>
            <w:r w:rsidRPr="00B25BC5">
              <w:rPr>
                <w:b/>
              </w:rPr>
              <w:t>пункте 8</w:t>
            </w:r>
            <w:r w:rsidR="00292AE0">
              <w:rPr>
                <w:b/>
              </w:rPr>
              <w:t>7</w:t>
            </w:r>
            <w:r w:rsidRPr="008E04F2">
              <w:t xml:space="preserve"> настоящих Правил, а также иных случаев, предусмотренных настоящими Правилами; </w:t>
            </w:r>
          </w:p>
          <w:p w:rsidR="00B25BC5" w:rsidRPr="008E04F2" w:rsidRDefault="00B25BC5" w:rsidP="00B25BC5">
            <w:pPr>
              <w:ind w:firstLine="720"/>
              <w:jc w:val="both"/>
            </w:pPr>
            <w:r w:rsidRPr="008E04F2">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B25BC5" w:rsidRPr="008E04F2" w:rsidRDefault="00B25BC5" w:rsidP="00B25BC5">
            <w:pPr>
              <w:autoSpaceDE w:val="0"/>
              <w:autoSpaceDN w:val="0"/>
              <w:adjustRightInd w:val="0"/>
              <w:ind w:firstLine="720"/>
              <w:jc w:val="both"/>
            </w:pPr>
            <w:r w:rsidRPr="008E04F2">
              <w:t>6) заключать договоры возмездного оказания услуг, подлежащих оплате за счет активов фонда, в случаях, установленных нормативными актами</w:t>
            </w:r>
            <w:r w:rsidRPr="00DC5242">
              <w:t xml:space="preserve"> </w:t>
            </w:r>
            <w:r>
              <w:t>в сфере финансовых рынков</w:t>
            </w:r>
            <w:r w:rsidRPr="008E04F2">
              <w:t>.</w:t>
            </w:r>
          </w:p>
          <w:p w:rsidR="00B25BC5" w:rsidRPr="00B25BC5" w:rsidRDefault="00B25BC5" w:rsidP="00927F61">
            <w:pPr>
              <w:ind w:firstLine="720"/>
              <w:jc w:val="both"/>
              <w:rPr>
                <w:b/>
              </w:rPr>
            </w:pPr>
          </w:p>
        </w:tc>
      </w:tr>
      <w:tr w:rsidR="00B25BC5" w:rsidRPr="00990B45" w:rsidTr="0071665C">
        <w:trPr>
          <w:trHeight w:val="416"/>
        </w:trPr>
        <w:tc>
          <w:tcPr>
            <w:tcW w:w="2492" w:type="pct"/>
          </w:tcPr>
          <w:p w:rsidR="00B25BC5" w:rsidRPr="008E04F2" w:rsidRDefault="00B25BC5" w:rsidP="00B25BC5">
            <w:pPr>
              <w:jc w:val="both"/>
            </w:pPr>
            <w:r w:rsidRPr="008E04F2">
              <w:lastRenderedPageBreak/>
              <w:t xml:space="preserve">29. Ограничения на совершение сделок с ценными бумагами, установленные абзацами восьмым, девятым, одиннадцатым и двенадцатым подпункта 5 пункта 28 настоящих Правил, не </w:t>
            </w:r>
            <w:proofErr w:type="gramStart"/>
            <w:r w:rsidRPr="008E04F2">
              <w:t>применяются</w:t>
            </w:r>
            <w:proofErr w:type="gramEnd"/>
            <w:r w:rsidRPr="008E04F2">
              <w:t xml:space="preserve"> есл</w:t>
            </w:r>
            <w:bookmarkStart w:id="5" w:name="Закладка_13_05_2008"/>
            <w:bookmarkStart w:id="6" w:name="sub_302"/>
            <w:bookmarkEnd w:id="5"/>
            <w:r>
              <w:t xml:space="preserve">и </w:t>
            </w:r>
            <w:r w:rsidRPr="008E04F2">
              <w:t xml:space="preserve">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w:t>
            </w:r>
            <w:r w:rsidRPr="008E04F2">
              <w:lastRenderedPageBreak/>
              <w:t>позволяющая идентифицировать подавших заявки участников торгов, не раскрывается в ходе торгов другим участникам</w:t>
            </w:r>
            <w:r>
              <w:t>.</w:t>
            </w:r>
          </w:p>
          <w:bookmarkEnd w:id="6"/>
          <w:p w:rsidR="00B25BC5" w:rsidRPr="008E04F2" w:rsidRDefault="00B25BC5" w:rsidP="00B25BC5">
            <w:pPr>
              <w:ind w:firstLine="720"/>
              <w:jc w:val="both"/>
            </w:pPr>
          </w:p>
        </w:tc>
        <w:tc>
          <w:tcPr>
            <w:tcW w:w="2508" w:type="pct"/>
          </w:tcPr>
          <w:p w:rsidR="00B25BC5" w:rsidRPr="008E04F2" w:rsidRDefault="00B25BC5" w:rsidP="00B25BC5">
            <w:pPr>
              <w:jc w:val="both"/>
            </w:pPr>
            <w:r w:rsidRPr="00B25BC5">
              <w:rPr>
                <w:b/>
              </w:rPr>
              <w:lastRenderedPageBreak/>
              <w:t>27</w:t>
            </w:r>
            <w:r w:rsidRPr="008E04F2">
              <w:t xml:space="preserve">. Ограничения на совершение сделок с ценными бумагами, установленные абзацами восьмым, девятым, одиннадцатым и двенадцатым подпункта 5 </w:t>
            </w:r>
            <w:r w:rsidRPr="00B25BC5">
              <w:rPr>
                <w:b/>
              </w:rPr>
              <w:t>пункта 26</w:t>
            </w:r>
            <w:r w:rsidRPr="008E04F2">
              <w:t xml:space="preserve"> настоящих Правил, не </w:t>
            </w:r>
            <w:proofErr w:type="gramStart"/>
            <w:r w:rsidRPr="008E04F2">
              <w:t>применяются</w:t>
            </w:r>
            <w:proofErr w:type="gramEnd"/>
            <w:r w:rsidRPr="008E04F2">
              <w:t xml:space="preserve"> есл</w:t>
            </w:r>
            <w:r>
              <w:t xml:space="preserve">и </w:t>
            </w:r>
            <w:r w:rsidRPr="008E04F2">
              <w:t xml:space="preserve">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w:t>
            </w:r>
            <w:r w:rsidRPr="008E04F2">
              <w:lastRenderedPageBreak/>
              <w:t>позволяющая идентифицировать подавших заявки участников торгов, не раскрывается в ходе торгов другим участникам</w:t>
            </w:r>
            <w:r>
              <w:t>.</w:t>
            </w:r>
          </w:p>
          <w:p w:rsidR="00B25BC5" w:rsidRPr="00B25BC5" w:rsidRDefault="00B25BC5" w:rsidP="00B25BC5">
            <w:pPr>
              <w:ind w:firstLine="720"/>
              <w:jc w:val="both"/>
              <w:rPr>
                <w:b/>
              </w:rPr>
            </w:pPr>
          </w:p>
        </w:tc>
      </w:tr>
      <w:tr w:rsidR="00B25BC5" w:rsidRPr="00990B45" w:rsidTr="0071665C">
        <w:trPr>
          <w:trHeight w:val="416"/>
        </w:trPr>
        <w:tc>
          <w:tcPr>
            <w:tcW w:w="2492" w:type="pct"/>
          </w:tcPr>
          <w:p w:rsidR="00B25BC5" w:rsidRPr="008E04F2" w:rsidRDefault="00B25BC5" w:rsidP="00B25BC5">
            <w:pPr>
              <w:ind w:firstLine="720"/>
              <w:jc w:val="both"/>
            </w:pPr>
            <w:r w:rsidRPr="008E04F2">
              <w:lastRenderedPageBreak/>
              <w:t>30. Ограничения на совершение сделок, установленные абзацем десятым подпункта 5 пункта 28 настоящих Правил, не применяются, если указанные сделки:</w:t>
            </w:r>
          </w:p>
          <w:p w:rsidR="00B25BC5" w:rsidRPr="008E04F2" w:rsidRDefault="00B25BC5" w:rsidP="00B25BC5">
            <w:pPr>
              <w:ind w:firstLine="720"/>
              <w:jc w:val="both"/>
            </w:pPr>
            <w:r w:rsidRPr="008E04F2">
              <w:t>1) совершаются с ценными бумагами, включенными в котировальные списки российских бирж;</w:t>
            </w:r>
          </w:p>
          <w:p w:rsidR="00B25BC5" w:rsidRPr="008E04F2" w:rsidRDefault="00B25BC5" w:rsidP="00B25BC5">
            <w:pPr>
              <w:ind w:firstLine="720"/>
              <w:jc w:val="both"/>
            </w:pPr>
            <w:r w:rsidRPr="008E04F2">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B25BC5" w:rsidRPr="008E04F2" w:rsidRDefault="00B25BC5" w:rsidP="00B25BC5">
            <w:pPr>
              <w:ind w:firstLine="720"/>
              <w:jc w:val="both"/>
            </w:pPr>
            <w:r w:rsidRPr="008E04F2">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B25BC5" w:rsidRPr="008E04F2" w:rsidRDefault="00B25BC5" w:rsidP="00B25BC5">
            <w:pPr>
              <w:jc w:val="both"/>
            </w:pPr>
          </w:p>
        </w:tc>
        <w:tc>
          <w:tcPr>
            <w:tcW w:w="2508" w:type="pct"/>
          </w:tcPr>
          <w:p w:rsidR="00B25BC5" w:rsidRPr="008E04F2" w:rsidRDefault="00B25BC5" w:rsidP="00B25BC5">
            <w:pPr>
              <w:ind w:firstLine="720"/>
              <w:jc w:val="both"/>
            </w:pPr>
            <w:r>
              <w:rPr>
                <w:b/>
              </w:rPr>
              <w:t>28</w:t>
            </w:r>
            <w:r w:rsidRPr="00B25BC5">
              <w:rPr>
                <w:b/>
              </w:rPr>
              <w:t>.</w:t>
            </w:r>
            <w:r w:rsidRPr="008E04F2">
              <w:t xml:space="preserve"> Ограничения на совершение сделок, установленные абзацем десятым подпункта 5 </w:t>
            </w:r>
            <w:r w:rsidRPr="00B25BC5">
              <w:rPr>
                <w:b/>
              </w:rPr>
              <w:t>пункта 26</w:t>
            </w:r>
            <w:r w:rsidRPr="008E04F2">
              <w:t xml:space="preserve"> настоящих Правил, не применяются, если указанные сделки:</w:t>
            </w:r>
          </w:p>
          <w:p w:rsidR="00B25BC5" w:rsidRPr="008E04F2" w:rsidRDefault="00B25BC5" w:rsidP="00B25BC5">
            <w:pPr>
              <w:ind w:firstLine="720"/>
              <w:jc w:val="both"/>
            </w:pPr>
            <w:r w:rsidRPr="008E04F2">
              <w:t>1) совершаются с ценными бумагами, включенными в котировальные списки российских бирж;</w:t>
            </w:r>
          </w:p>
          <w:p w:rsidR="00B25BC5" w:rsidRPr="008E04F2" w:rsidRDefault="00B25BC5" w:rsidP="00B25BC5">
            <w:pPr>
              <w:ind w:firstLine="720"/>
              <w:jc w:val="both"/>
            </w:pPr>
            <w:r w:rsidRPr="008E04F2">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B25BC5" w:rsidRPr="008E04F2" w:rsidRDefault="00B25BC5" w:rsidP="00B25BC5">
            <w:pPr>
              <w:ind w:firstLine="720"/>
              <w:jc w:val="both"/>
            </w:pPr>
            <w:r w:rsidRPr="008E04F2">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B25BC5" w:rsidRPr="00B25BC5" w:rsidRDefault="00B25BC5" w:rsidP="00B25BC5">
            <w:pPr>
              <w:jc w:val="both"/>
              <w:rPr>
                <w:b/>
              </w:rPr>
            </w:pPr>
          </w:p>
        </w:tc>
      </w:tr>
      <w:tr w:rsidR="00B25BC5" w:rsidRPr="00990B45" w:rsidTr="0071665C">
        <w:trPr>
          <w:trHeight w:val="416"/>
        </w:trPr>
        <w:tc>
          <w:tcPr>
            <w:tcW w:w="2492" w:type="pct"/>
          </w:tcPr>
          <w:p w:rsidR="00B25BC5" w:rsidRPr="008E04F2" w:rsidRDefault="00B25BC5" w:rsidP="00B25BC5">
            <w:pPr>
              <w:ind w:firstLine="720"/>
              <w:jc w:val="both"/>
            </w:pPr>
            <w:r w:rsidRPr="008E04F2">
              <w:t xml:space="preserve">31. По сделкам, совершенным в нарушение требований подпункта 3 пункта 26, подпунктов 1, 3 и 5 пункта 28 настоящих Правил, управляющая компания </w:t>
            </w:r>
            <w:proofErr w:type="gramStart"/>
            <w:r w:rsidRPr="008E04F2">
              <w:t>несет обязательства лично и отвечает</w:t>
            </w:r>
            <w:proofErr w:type="gramEnd"/>
            <w:r w:rsidRPr="008E04F2">
              <w:t xml:space="preserve"> только принадлежащим ей имуществом. Долги, возникшие по таким обязательствам, не могут погашаться за счет имущества, составляющего Фонд.</w:t>
            </w:r>
          </w:p>
          <w:p w:rsidR="00B25BC5" w:rsidRPr="008E04F2" w:rsidRDefault="00B25BC5" w:rsidP="00B25BC5">
            <w:pPr>
              <w:jc w:val="both"/>
            </w:pPr>
            <w:bookmarkStart w:id="7" w:name="p_34"/>
            <w:bookmarkEnd w:id="7"/>
          </w:p>
        </w:tc>
        <w:tc>
          <w:tcPr>
            <w:tcW w:w="2508" w:type="pct"/>
          </w:tcPr>
          <w:p w:rsidR="00B25BC5" w:rsidRPr="00B25BC5" w:rsidRDefault="00B25BC5" w:rsidP="00B25BC5">
            <w:pPr>
              <w:ind w:firstLine="720"/>
              <w:jc w:val="both"/>
            </w:pPr>
            <w:r w:rsidRPr="00B25BC5">
              <w:rPr>
                <w:b/>
              </w:rPr>
              <w:t>29.</w:t>
            </w:r>
            <w:r w:rsidRPr="008E04F2">
              <w:t xml:space="preserve"> По сделкам, совершенным в нарушение требований подпункта </w:t>
            </w:r>
            <w:r w:rsidRPr="00B25BC5">
              <w:rPr>
                <w:b/>
              </w:rPr>
              <w:t>3 пункта 24</w:t>
            </w:r>
            <w:r w:rsidRPr="008E04F2">
              <w:t xml:space="preserve">, подпунктов 1, 3 и 5 </w:t>
            </w:r>
            <w:r w:rsidRPr="00B25BC5">
              <w:rPr>
                <w:b/>
              </w:rPr>
              <w:t>пункта 26</w:t>
            </w:r>
            <w:r w:rsidRPr="008E04F2">
              <w:t xml:space="preserve"> настоящих Правил, управляющая компания </w:t>
            </w:r>
            <w:proofErr w:type="gramStart"/>
            <w:r w:rsidRPr="008E04F2">
              <w:t>несет обязательства лично и отвечает</w:t>
            </w:r>
            <w:proofErr w:type="gramEnd"/>
            <w:r w:rsidRPr="008E04F2">
              <w:t xml:space="preserve"> только принадлежащим ей имуществом. Долги, возникшие по таким обязательствам, не могут погашаться за счет имущества, составляющего Фонд.</w:t>
            </w:r>
          </w:p>
        </w:tc>
      </w:tr>
      <w:tr w:rsidR="00B25BC5" w:rsidRPr="00990B45" w:rsidTr="0071665C">
        <w:trPr>
          <w:trHeight w:val="416"/>
        </w:trPr>
        <w:tc>
          <w:tcPr>
            <w:tcW w:w="2492" w:type="pct"/>
          </w:tcPr>
          <w:p w:rsidR="00B25BC5" w:rsidRPr="008E04F2" w:rsidRDefault="00B25BC5" w:rsidP="00B25BC5">
            <w:pPr>
              <w:autoSpaceDE w:val="0"/>
              <w:autoSpaceDN w:val="0"/>
              <w:adjustRightInd w:val="0"/>
              <w:ind w:firstLine="540"/>
              <w:jc w:val="both"/>
            </w:pPr>
            <w:r>
              <w:t xml:space="preserve">   </w:t>
            </w:r>
            <w:r w:rsidRPr="008E04F2">
              <w:t>37. Инвестиционные паи свободно обращаются по завершении (окончании) формирования Фонда.</w:t>
            </w:r>
          </w:p>
          <w:p w:rsidR="00B25BC5" w:rsidRPr="008E04F2" w:rsidRDefault="00B25BC5" w:rsidP="00B25BC5">
            <w:pPr>
              <w:autoSpaceDE w:val="0"/>
              <w:autoSpaceDN w:val="0"/>
              <w:adjustRightInd w:val="0"/>
              <w:ind w:firstLine="540"/>
              <w:jc w:val="both"/>
            </w:pPr>
            <w:r w:rsidRPr="008E04F2">
              <w:t>Инвестиционные паи могут обращаться на организованных торгах.</w:t>
            </w:r>
          </w:p>
          <w:p w:rsidR="00B25BC5" w:rsidRPr="008E04F2" w:rsidRDefault="00B25BC5" w:rsidP="00B25BC5">
            <w:pPr>
              <w:autoSpaceDE w:val="0"/>
              <w:autoSpaceDN w:val="0"/>
              <w:adjustRightInd w:val="0"/>
              <w:ind w:firstLine="540"/>
              <w:jc w:val="both"/>
            </w:pPr>
            <w:r w:rsidRPr="008E04F2">
              <w:t xml:space="preserve">Специализированный депозитарий, регистратор, </w:t>
            </w:r>
            <w:r w:rsidRPr="00B25BC5">
              <w:rPr>
                <w:b/>
              </w:rPr>
              <w:t>аудиторская организация</w:t>
            </w:r>
            <w:r w:rsidRPr="008E04F2">
              <w:t xml:space="preserve"> не могут являться владельцами инвестиционных паев.</w:t>
            </w:r>
          </w:p>
          <w:p w:rsidR="00B25BC5" w:rsidRPr="008E04F2" w:rsidRDefault="00B25BC5" w:rsidP="00B25BC5">
            <w:pPr>
              <w:ind w:firstLine="720"/>
              <w:jc w:val="both"/>
            </w:pPr>
          </w:p>
        </w:tc>
        <w:tc>
          <w:tcPr>
            <w:tcW w:w="2508" w:type="pct"/>
          </w:tcPr>
          <w:p w:rsidR="00B25BC5" w:rsidRPr="008E04F2" w:rsidRDefault="00B25BC5" w:rsidP="00B25BC5">
            <w:pPr>
              <w:autoSpaceDE w:val="0"/>
              <w:autoSpaceDN w:val="0"/>
              <w:adjustRightInd w:val="0"/>
              <w:ind w:firstLine="540"/>
              <w:jc w:val="both"/>
            </w:pPr>
            <w:r w:rsidRPr="00B25BC5">
              <w:rPr>
                <w:b/>
              </w:rPr>
              <w:t xml:space="preserve">   35.</w:t>
            </w:r>
            <w:r w:rsidRPr="008E04F2">
              <w:t xml:space="preserve"> Инвестиционные паи свободно обращаются по завершении (окончании) формирования Фонда.</w:t>
            </w:r>
          </w:p>
          <w:p w:rsidR="00B25BC5" w:rsidRPr="008E04F2" w:rsidRDefault="00B25BC5" w:rsidP="00B25BC5">
            <w:pPr>
              <w:autoSpaceDE w:val="0"/>
              <w:autoSpaceDN w:val="0"/>
              <w:adjustRightInd w:val="0"/>
              <w:ind w:firstLine="540"/>
              <w:jc w:val="both"/>
            </w:pPr>
            <w:r w:rsidRPr="008E04F2">
              <w:t>Инвестиционные паи могут обращаться на организованных торгах.</w:t>
            </w:r>
          </w:p>
          <w:p w:rsidR="00B25BC5" w:rsidRPr="008E04F2" w:rsidRDefault="00B25BC5" w:rsidP="00B25BC5">
            <w:pPr>
              <w:autoSpaceDE w:val="0"/>
              <w:autoSpaceDN w:val="0"/>
              <w:adjustRightInd w:val="0"/>
              <w:ind w:firstLine="540"/>
              <w:jc w:val="both"/>
            </w:pPr>
            <w:r w:rsidRPr="008E04F2">
              <w:t>Специализиров</w:t>
            </w:r>
            <w:r>
              <w:t xml:space="preserve">анный депозитарий, регистратор </w:t>
            </w:r>
            <w:r w:rsidRPr="008E04F2">
              <w:t>не могут являться владельцами инвестиционных паев.</w:t>
            </w:r>
          </w:p>
          <w:p w:rsidR="00B25BC5" w:rsidRPr="00B25BC5" w:rsidRDefault="00B25BC5" w:rsidP="00B25BC5">
            <w:pPr>
              <w:ind w:firstLine="720"/>
              <w:jc w:val="both"/>
              <w:rPr>
                <w:b/>
              </w:rPr>
            </w:pPr>
          </w:p>
        </w:tc>
      </w:tr>
      <w:tr w:rsidR="00B25BC5" w:rsidRPr="00990B45" w:rsidTr="0071665C">
        <w:trPr>
          <w:trHeight w:val="416"/>
        </w:trPr>
        <w:tc>
          <w:tcPr>
            <w:tcW w:w="2492" w:type="pct"/>
          </w:tcPr>
          <w:p w:rsidR="00B25BC5" w:rsidRPr="002E229C" w:rsidRDefault="00B25BC5" w:rsidP="00B25BC5">
            <w:pPr>
              <w:ind w:firstLine="720"/>
              <w:jc w:val="both"/>
            </w:pPr>
            <w:r w:rsidRPr="005E7C8A">
              <w:t>43.1. Нерезиденты в оплату инвестиционных паев могут передавать денежные средства в иностранной валюте - в Долларах США.</w:t>
            </w:r>
          </w:p>
          <w:p w:rsidR="00B25BC5" w:rsidRDefault="00B25BC5" w:rsidP="00B25BC5">
            <w:pPr>
              <w:autoSpaceDE w:val="0"/>
              <w:autoSpaceDN w:val="0"/>
              <w:adjustRightInd w:val="0"/>
              <w:ind w:firstLine="540"/>
              <w:jc w:val="both"/>
            </w:pPr>
          </w:p>
        </w:tc>
        <w:tc>
          <w:tcPr>
            <w:tcW w:w="2508" w:type="pct"/>
          </w:tcPr>
          <w:p w:rsidR="00B25BC5" w:rsidRPr="002E229C" w:rsidRDefault="00B25BC5" w:rsidP="00B25BC5">
            <w:pPr>
              <w:ind w:firstLine="720"/>
              <w:jc w:val="both"/>
            </w:pPr>
            <w:r w:rsidRPr="00B25BC5">
              <w:rPr>
                <w:b/>
              </w:rPr>
              <w:lastRenderedPageBreak/>
              <w:t>41.1.</w:t>
            </w:r>
            <w:r w:rsidRPr="005E7C8A">
              <w:t xml:space="preserve"> Нерезиденты в оплату инвестиционных паев могут передавать денежные средства в иностранной валюте - в Долларах США</w:t>
            </w:r>
            <w:r>
              <w:t xml:space="preserve"> и </w:t>
            </w:r>
            <w:r w:rsidRPr="00B25BC5">
              <w:rPr>
                <w:b/>
              </w:rPr>
              <w:t>Евро</w:t>
            </w:r>
            <w:r w:rsidRPr="005E7C8A">
              <w:t>.</w:t>
            </w:r>
          </w:p>
          <w:p w:rsidR="00B25BC5" w:rsidRDefault="00B25BC5" w:rsidP="00B25BC5">
            <w:pPr>
              <w:autoSpaceDE w:val="0"/>
              <w:autoSpaceDN w:val="0"/>
              <w:adjustRightInd w:val="0"/>
              <w:ind w:firstLine="540"/>
              <w:jc w:val="both"/>
            </w:pPr>
          </w:p>
        </w:tc>
      </w:tr>
      <w:tr w:rsidR="0056412A" w:rsidRPr="00990B45" w:rsidTr="0071665C">
        <w:trPr>
          <w:trHeight w:val="416"/>
        </w:trPr>
        <w:tc>
          <w:tcPr>
            <w:tcW w:w="2492" w:type="pct"/>
          </w:tcPr>
          <w:p w:rsidR="0056412A" w:rsidRPr="005E7C8A" w:rsidRDefault="0056412A" w:rsidP="00B25BC5">
            <w:pPr>
              <w:ind w:firstLine="720"/>
              <w:jc w:val="both"/>
            </w:pPr>
            <w:r w:rsidRPr="008E04F2">
              <w:lastRenderedPageBreak/>
              <w:t xml:space="preserve">54. </w:t>
            </w:r>
            <w:proofErr w:type="gramStart"/>
            <w:r w:rsidRPr="008E04F2">
              <w:t>В случае если основания для включения в состав Фонда денежных средств, переданных в оплату инвестиционных паев, наступили после дня, когда стоимость имущества, подлежащего включению в состав Фонда,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Фонда осуществляется на следующий рабочий день после даты завершения (окончания) формирования Фонда</w:t>
            </w:r>
            <w:proofErr w:type="gramEnd"/>
            <w:r w:rsidRPr="008E04F2">
              <w:t>. При этом количество инвестиционных паев, выдаваемых управляющей компанией, определяется в соответствии с пунктом 65 и пунктом 66 настоящих Правил.</w:t>
            </w:r>
          </w:p>
        </w:tc>
        <w:tc>
          <w:tcPr>
            <w:tcW w:w="2508" w:type="pct"/>
          </w:tcPr>
          <w:p w:rsidR="0056412A" w:rsidRPr="00B25BC5" w:rsidRDefault="0056412A" w:rsidP="0065039A">
            <w:pPr>
              <w:ind w:firstLine="720"/>
              <w:jc w:val="both"/>
              <w:rPr>
                <w:b/>
              </w:rPr>
            </w:pPr>
            <w:r w:rsidRPr="0056412A">
              <w:rPr>
                <w:b/>
              </w:rPr>
              <w:t>52.</w:t>
            </w:r>
            <w:r w:rsidRPr="008E04F2">
              <w:t xml:space="preserve"> </w:t>
            </w:r>
            <w:proofErr w:type="gramStart"/>
            <w:r w:rsidRPr="008E04F2">
              <w:t>В случае если основания для включения в состав Фонда денежных средств, переданных в оплату инвестиционных паев, наступили после дня, когда стоимость имущества, подлежащего включению в состав Фонда,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Фонда осуществляется на следующий рабочий день после даты завершения (окончания) формирования Фонда</w:t>
            </w:r>
            <w:proofErr w:type="gramEnd"/>
            <w:r w:rsidRPr="008E04F2">
              <w:t xml:space="preserve">. При этом количество инвестиционных паев, выдаваемых управляющей компанией, определяется в соответствии </w:t>
            </w:r>
            <w:r w:rsidRPr="0065039A">
              <w:rPr>
                <w:b/>
              </w:rPr>
              <w:t>с пунктом 6</w:t>
            </w:r>
            <w:r w:rsidR="0065039A" w:rsidRPr="0065039A">
              <w:rPr>
                <w:b/>
              </w:rPr>
              <w:t>3</w:t>
            </w:r>
            <w:r w:rsidRPr="0065039A">
              <w:rPr>
                <w:b/>
              </w:rPr>
              <w:t xml:space="preserve"> и пунктом 6</w:t>
            </w:r>
            <w:r w:rsidR="0065039A" w:rsidRPr="0065039A">
              <w:rPr>
                <w:b/>
              </w:rPr>
              <w:t>4</w:t>
            </w:r>
            <w:r w:rsidRPr="008E04F2">
              <w:t xml:space="preserve"> настоящих Правил.</w:t>
            </w:r>
          </w:p>
        </w:tc>
      </w:tr>
      <w:tr w:rsidR="00B25BC5" w:rsidRPr="00990B45" w:rsidTr="0071665C">
        <w:trPr>
          <w:trHeight w:val="416"/>
        </w:trPr>
        <w:tc>
          <w:tcPr>
            <w:tcW w:w="2492" w:type="pct"/>
          </w:tcPr>
          <w:p w:rsidR="00B25BC5" w:rsidRPr="005E7C8A" w:rsidRDefault="00B25BC5" w:rsidP="00B25BC5">
            <w:pPr>
              <w:ind w:firstLine="720"/>
              <w:jc w:val="both"/>
            </w:pPr>
            <w:r w:rsidRPr="008E04F2">
              <w:t>59. Возврат денежных сре</w:t>
            </w:r>
            <w:proofErr w:type="gramStart"/>
            <w:r w:rsidRPr="008E04F2">
              <w:t>дств в сл</w:t>
            </w:r>
            <w:proofErr w:type="gramEnd"/>
            <w:r w:rsidRPr="008E04F2">
              <w:t>учаях, предусмотренных пунктом 58 Правил, осуществляется управляющей компанией в течение 5 (Пяти)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60 Правил.</w:t>
            </w:r>
          </w:p>
        </w:tc>
        <w:tc>
          <w:tcPr>
            <w:tcW w:w="2508" w:type="pct"/>
          </w:tcPr>
          <w:p w:rsidR="00B25BC5" w:rsidRPr="00292AE0" w:rsidRDefault="00B25BC5" w:rsidP="00292AE0">
            <w:pPr>
              <w:ind w:firstLine="720"/>
              <w:jc w:val="both"/>
            </w:pPr>
            <w:r w:rsidRPr="00B25BC5">
              <w:rPr>
                <w:b/>
              </w:rPr>
              <w:t>57.</w:t>
            </w:r>
            <w:r w:rsidRPr="008E04F2">
              <w:t xml:space="preserve"> Возврат денежных сре</w:t>
            </w:r>
            <w:proofErr w:type="gramStart"/>
            <w:r w:rsidRPr="008E04F2">
              <w:t>дств в сл</w:t>
            </w:r>
            <w:proofErr w:type="gramEnd"/>
            <w:r w:rsidRPr="008E04F2">
              <w:t xml:space="preserve">учаях, предусмотренных </w:t>
            </w:r>
            <w:r w:rsidRPr="00B25BC5">
              <w:rPr>
                <w:b/>
              </w:rPr>
              <w:t>пунктом 56</w:t>
            </w:r>
            <w:r w:rsidRPr="008E04F2">
              <w:t xml:space="preserve"> Правил, осуществляется управляющей компанией в течение 5 (Пяти)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w:t>
            </w:r>
            <w:r w:rsidRPr="00B25BC5">
              <w:rPr>
                <w:b/>
              </w:rPr>
              <w:t>пунктом  58</w:t>
            </w:r>
            <w:r w:rsidRPr="008E04F2">
              <w:t xml:space="preserve"> Правил.</w:t>
            </w:r>
          </w:p>
        </w:tc>
      </w:tr>
      <w:tr w:rsidR="00B25BC5" w:rsidRPr="00990B45" w:rsidTr="0071665C">
        <w:trPr>
          <w:trHeight w:val="416"/>
        </w:trPr>
        <w:tc>
          <w:tcPr>
            <w:tcW w:w="2492" w:type="pct"/>
          </w:tcPr>
          <w:p w:rsidR="00B25BC5" w:rsidRPr="008E04F2" w:rsidRDefault="00B25BC5" w:rsidP="00B25BC5">
            <w:pPr>
              <w:ind w:firstLine="720"/>
              <w:jc w:val="both"/>
            </w:pPr>
            <w:r w:rsidRPr="008E04F2">
              <w:t xml:space="preserve">80. Выплата денежной компенсации осуществляется путем ее перечисления на банковский счет лица, которому были погашены инвестиционные паи. В </w:t>
            </w:r>
            <w:proofErr w:type="gramStart"/>
            <w:r w:rsidRPr="008E04F2">
              <w:t>случае</w:t>
            </w:r>
            <w:proofErr w:type="gramEnd"/>
            <w:r w:rsidRPr="008E04F2">
              <w:t xml:space="preserve"> если учет прав на погашенные инвестиционные паи осуществлялся на лицевом счете, открытом номинальному держателю,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B25BC5" w:rsidRPr="002E229C" w:rsidRDefault="00B25BC5" w:rsidP="00B25BC5">
            <w:pPr>
              <w:pStyle w:val="ConsPlusNormal"/>
              <w:ind w:firstLine="540"/>
              <w:jc w:val="both"/>
              <w:rPr>
                <w:rFonts w:ascii="Times New Roman" w:hAnsi="Times New Roman" w:cs="Times New Roman"/>
                <w:sz w:val="24"/>
                <w:szCs w:val="24"/>
              </w:rPr>
            </w:pPr>
            <w:r w:rsidRPr="005E7C8A">
              <w:rPr>
                <w:rFonts w:ascii="Times New Roman" w:hAnsi="Times New Roman" w:cs="Times New Roman"/>
                <w:sz w:val="24"/>
                <w:szCs w:val="24"/>
              </w:rPr>
              <w:t xml:space="preserve">Выплата денежной компенсации нерезиденту может осуществляться в иностранной валюте – Долларах США. При этом в заявке на погашение должны быть указаны реквизиты валютного банковского счета лица, погашающего инвестиционные паи. </w:t>
            </w:r>
            <w:proofErr w:type="gramStart"/>
            <w:r w:rsidRPr="005E7C8A">
              <w:rPr>
                <w:rFonts w:ascii="Times New Roman" w:hAnsi="Times New Roman" w:cs="Times New Roman"/>
                <w:sz w:val="24"/>
                <w:szCs w:val="24"/>
              </w:rPr>
              <w:t>Сумма денежной компенсации, подлежащая выплате в иностранной валюте определяется</w:t>
            </w:r>
            <w:proofErr w:type="gramEnd"/>
            <w:r w:rsidRPr="005E7C8A">
              <w:rPr>
                <w:rFonts w:ascii="Times New Roman" w:hAnsi="Times New Roman" w:cs="Times New Roman"/>
                <w:sz w:val="24"/>
                <w:szCs w:val="24"/>
              </w:rPr>
              <w:t xml:space="preserve"> путем деления рассчитанной суммы денежной компенсации, подлежащей выплате в рублях, на </w:t>
            </w:r>
            <w:r w:rsidRPr="005E7C8A">
              <w:rPr>
                <w:rFonts w:ascii="Times New Roman" w:hAnsi="Times New Roman" w:cs="Times New Roman"/>
                <w:sz w:val="24"/>
                <w:szCs w:val="24"/>
              </w:rPr>
              <w:lastRenderedPageBreak/>
              <w:t>соответствующий  курс ЦБ РФ на дату погашения инвестиционных паёв.</w:t>
            </w:r>
          </w:p>
          <w:p w:rsidR="00B25BC5" w:rsidRPr="008E04F2" w:rsidRDefault="00B25BC5" w:rsidP="00B25BC5">
            <w:pPr>
              <w:ind w:firstLine="720"/>
              <w:jc w:val="both"/>
            </w:pPr>
          </w:p>
        </w:tc>
        <w:tc>
          <w:tcPr>
            <w:tcW w:w="2508" w:type="pct"/>
          </w:tcPr>
          <w:p w:rsidR="00B25BC5" w:rsidRPr="008E04F2" w:rsidRDefault="00B25BC5" w:rsidP="00B25BC5">
            <w:pPr>
              <w:ind w:firstLine="720"/>
              <w:jc w:val="both"/>
            </w:pPr>
            <w:r w:rsidRPr="00B25BC5">
              <w:rPr>
                <w:b/>
              </w:rPr>
              <w:lastRenderedPageBreak/>
              <w:t>78</w:t>
            </w:r>
            <w:r w:rsidRPr="008E04F2">
              <w:t xml:space="preserve">. Выплата денежной компенсации осуществляется путем ее перечисления на банковский счет лица, которому были погашены инвестиционные паи. В </w:t>
            </w:r>
            <w:proofErr w:type="gramStart"/>
            <w:r w:rsidRPr="008E04F2">
              <w:t>случае</w:t>
            </w:r>
            <w:proofErr w:type="gramEnd"/>
            <w:r w:rsidRPr="008E04F2">
              <w:t xml:space="preserve"> если учет прав на погашенные инвестиционные паи осуществлялся на лицевом счете, открытом номинальному держателю,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B25BC5" w:rsidRPr="002E229C" w:rsidRDefault="00B25BC5" w:rsidP="00B25BC5">
            <w:pPr>
              <w:pStyle w:val="ConsPlusNormal"/>
              <w:ind w:firstLine="540"/>
              <w:jc w:val="both"/>
              <w:rPr>
                <w:rFonts w:ascii="Times New Roman" w:hAnsi="Times New Roman" w:cs="Times New Roman"/>
                <w:sz w:val="24"/>
                <w:szCs w:val="24"/>
              </w:rPr>
            </w:pPr>
            <w:r w:rsidRPr="005E7C8A">
              <w:rPr>
                <w:rFonts w:ascii="Times New Roman" w:hAnsi="Times New Roman" w:cs="Times New Roman"/>
                <w:sz w:val="24"/>
                <w:szCs w:val="24"/>
              </w:rPr>
              <w:t>Выплата денежной компенсации нерезиденту может осуществляться в иностранной валюте – Долларах США</w:t>
            </w:r>
            <w:r>
              <w:rPr>
                <w:rFonts w:ascii="Times New Roman" w:hAnsi="Times New Roman" w:cs="Times New Roman"/>
                <w:sz w:val="24"/>
                <w:szCs w:val="24"/>
              </w:rPr>
              <w:t xml:space="preserve"> и </w:t>
            </w:r>
            <w:r w:rsidRPr="00B25BC5">
              <w:rPr>
                <w:rFonts w:ascii="Times New Roman" w:hAnsi="Times New Roman" w:cs="Times New Roman"/>
                <w:b/>
                <w:sz w:val="24"/>
                <w:szCs w:val="24"/>
              </w:rPr>
              <w:t>Евро.</w:t>
            </w:r>
            <w:r w:rsidRPr="005E7C8A">
              <w:rPr>
                <w:rFonts w:ascii="Times New Roman" w:hAnsi="Times New Roman" w:cs="Times New Roman"/>
                <w:sz w:val="24"/>
                <w:szCs w:val="24"/>
              </w:rPr>
              <w:t xml:space="preserve"> При этом в заявке на погашение должны быть указаны реквизиты валютного банковского счета лица, погашающего инвестиционные паи. </w:t>
            </w:r>
            <w:proofErr w:type="gramStart"/>
            <w:r w:rsidRPr="005E7C8A">
              <w:rPr>
                <w:rFonts w:ascii="Times New Roman" w:hAnsi="Times New Roman" w:cs="Times New Roman"/>
                <w:sz w:val="24"/>
                <w:szCs w:val="24"/>
              </w:rPr>
              <w:t>Сумма денежной компенсации, подлежащая выплате в иностранной валюте определяется</w:t>
            </w:r>
            <w:proofErr w:type="gramEnd"/>
            <w:r w:rsidRPr="005E7C8A">
              <w:rPr>
                <w:rFonts w:ascii="Times New Roman" w:hAnsi="Times New Roman" w:cs="Times New Roman"/>
                <w:sz w:val="24"/>
                <w:szCs w:val="24"/>
              </w:rPr>
              <w:t xml:space="preserve"> путем деления рассчитанной суммы денежной компенсации, подлежащей выплате в </w:t>
            </w:r>
            <w:r w:rsidRPr="005E7C8A">
              <w:rPr>
                <w:rFonts w:ascii="Times New Roman" w:hAnsi="Times New Roman" w:cs="Times New Roman"/>
                <w:sz w:val="24"/>
                <w:szCs w:val="24"/>
              </w:rPr>
              <w:lastRenderedPageBreak/>
              <w:t>рублях, на соответствующий  курс ЦБ РФ на дату погашения инвестиционных паёв.</w:t>
            </w:r>
          </w:p>
          <w:p w:rsidR="00B25BC5" w:rsidRPr="00B25BC5" w:rsidRDefault="00B25BC5" w:rsidP="00B25BC5">
            <w:pPr>
              <w:ind w:firstLine="720"/>
              <w:jc w:val="both"/>
              <w:rPr>
                <w:b/>
              </w:rPr>
            </w:pPr>
          </w:p>
        </w:tc>
      </w:tr>
      <w:tr w:rsidR="0071665C" w:rsidTr="0071665C">
        <w:trPr>
          <w:trHeight w:val="416"/>
        </w:trPr>
        <w:tc>
          <w:tcPr>
            <w:tcW w:w="2492" w:type="pct"/>
          </w:tcPr>
          <w:p w:rsidR="00B25BC5" w:rsidRPr="008E04F2" w:rsidRDefault="00B25BC5" w:rsidP="00B25BC5">
            <w:pPr>
              <w:autoSpaceDE w:val="0"/>
              <w:autoSpaceDN w:val="0"/>
              <w:adjustRightInd w:val="0"/>
              <w:ind w:firstLine="720"/>
              <w:jc w:val="both"/>
            </w:pPr>
            <w:r w:rsidRPr="00A54492">
              <w:lastRenderedPageBreak/>
              <w:t>86</w:t>
            </w:r>
            <w:r w:rsidRPr="008E04F2">
              <w:t>. За счет имущества, составляющего Фонд, выплачиваются вознаграждения:</w:t>
            </w:r>
          </w:p>
          <w:p w:rsidR="00B25BC5" w:rsidRPr="00B25BC5" w:rsidRDefault="00B25BC5" w:rsidP="00B25BC5">
            <w:pPr>
              <w:numPr>
                <w:ilvl w:val="0"/>
                <w:numId w:val="6"/>
              </w:numPr>
              <w:autoSpaceDE w:val="0"/>
              <w:autoSpaceDN w:val="0"/>
              <w:adjustRightInd w:val="0"/>
              <w:jc w:val="both"/>
            </w:pPr>
            <w:r w:rsidRPr="00B25BC5">
              <w:t xml:space="preserve">управляющей компании в размере не более 1,25 (Одна целая двадцать пять сотых) процента от среднегодовой стоимости чистых активов Фонда, определяемой в порядке, установленном нормативными актами в сфере финансовых рынков; </w:t>
            </w:r>
          </w:p>
          <w:p w:rsidR="00B25BC5" w:rsidRPr="008E04F2" w:rsidRDefault="00B25BC5" w:rsidP="00B25BC5">
            <w:pPr>
              <w:numPr>
                <w:ilvl w:val="0"/>
                <w:numId w:val="6"/>
              </w:numPr>
              <w:autoSpaceDE w:val="0"/>
              <w:autoSpaceDN w:val="0"/>
              <w:adjustRightInd w:val="0"/>
              <w:jc w:val="both"/>
            </w:pPr>
            <w:r w:rsidRPr="00B25BC5">
              <w:t xml:space="preserve">а также специализированному депозитарию, Регистратору, </w:t>
            </w:r>
            <w:r w:rsidRPr="00B25BC5">
              <w:rPr>
                <w:b/>
              </w:rPr>
              <w:t>Аудиторской организации</w:t>
            </w:r>
            <w:r w:rsidRPr="00B25BC5">
              <w:t xml:space="preserve"> в размере не более 0,75 </w:t>
            </w:r>
            <w:r w:rsidRPr="00B25BC5">
              <w:rPr>
                <w:i/>
              </w:rPr>
              <w:t xml:space="preserve"> </w:t>
            </w:r>
            <w:r w:rsidRPr="00B25BC5">
              <w:t>(Ноль целых семьдесят пять сотых)</w:t>
            </w:r>
            <w:r w:rsidRPr="00B25BC5">
              <w:rPr>
                <w:i/>
              </w:rPr>
              <w:t xml:space="preserve"> </w:t>
            </w:r>
            <w:r w:rsidRPr="00B25BC5">
              <w:t>процента от среднегодовой стоимости</w:t>
            </w:r>
            <w:r w:rsidRPr="008E04F2">
              <w:t xml:space="preserve"> чистых активов Фонда, определяемой в порядке, установленном нормативными актами</w:t>
            </w:r>
            <w:r w:rsidRPr="00F6203B">
              <w:t xml:space="preserve"> </w:t>
            </w:r>
            <w:r>
              <w:t>в сфере финансовых рынков</w:t>
            </w:r>
            <w:r w:rsidRPr="008E04F2">
              <w:t>.</w:t>
            </w:r>
          </w:p>
          <w:p w:rsidR="0071665C" w:rsidRPr="006D700F" w:rsidRDefault="0071665C" w:rsidP="00884437">
            <w:pPr>
              <w:ind w:firstLine="720"/>
              <w:jc w:val="both"/>
            </w:pPr>
          </w:p>
        </w:tc>
        <w:tc>
          <w:tcPr>
            <w:tcW w:w="2508" w:type="pct"/>
          </w:tcPr>
          <w:p w:rsidR="0071665C" w:rsidRPr="008E04F2" w:rsidRDefault="0071665C" w:rsidP="0071665C">
            <w:pPr>
              <w:autoSpaceDE w:val="0"/>
              <w:autoSpaceDN w:val="0"/>
              <w:adjustRightInd w:val="0"/>
              <w:ind w:firstLine="720"/>
              <w:jc w:val="both"/>
            </w:pPr>
            <w:r w:rsidRPr="00B25BC5">
              <w:rPr>
                <w:b/>
              </w:rPr>
              <w:t>8</w:t>
            </w:r>
            <w:r w:rsidR="00B25BC5" w:rsidRPr="00B25BC5">
              <w:rPr>
                <w:b/>
              </w:rPr>
              <w:t>4</w:t>
            </w:r>
            <w:r w:rsidRPr="00B25BC5">
              <w:rPr>
                <w:b/>
              </w:rPr>
              <w:t>.</w:t>
            </w:r>
            <w:r w:rsidRPr="008E04F2">
              <w:t xml:space="preserve"> За счет имущества, составляющего Фонд, выплачиваются вознаграждения:</w:t>
            </w:r>
          </w:p>
          <w:p w:rsidR="0071665C" w:rsidRPr="00B25BC5" w:rsidRDefault="0071665C" w:rsidP="0071665C">
            <w:pPr>
              <w:numPr>
                <w:ilvl w:val="0"/>
                <w:numId w:val="6"/>
              </w:numPr>
              <w:autoSpaceDE w:val="0"/>
              <w:autoSpaceDN w:val="0"/>
              <w:adjustRightInd w:val="0"/>
              <w:jc w:val="both"/>
            </w:pPr>
            <w:r w:rsidRPr="00B25BC5">
              <w:t xml:space="preserve">управляющей компании в размере не более 1,25 (Одна целая двадцать пять сотых) процента от среднегодовой стоимости чистых активов Фонда, определяемой в порядке, установленном нормативными актами в сфере финансовых рынков; </w:t>
            </w:r>
          </w:p>
          <w:p w:rsidR="0071665C" w:rsidRPr="008E04F2" w:rsidRDefault="0071665C" w:rsidP="0071665C">
            <w:pPr>
              <w:numPr>
                <w:ilvl w:val="0"/>
                <w:numId w:val="6"/>
              </w:numPr>
              <w:autoSpaceDE w:val="0"/>
              <w:autoSpaceDN w:val="0"/>
              <w:adjustRightInd w:val="0"/>
              <w:jc w:val="both"/>
            </w:pPr>
            <w:r w:rsidRPr="00B25BC5">
              <w:t xml:space="preserve">а также специализированному депозитарию, </w:t>
            </w:r>
            <w:r w:rsidR="000F2A79">
              <w:t>р</w:t>
            </w:r>
            <w:r w:rsidRPr="00B25BC5">
              <w:t xml:space="preserve">егистратору в размере не более 0,75 </w:t>
            </w:r>
            <w:r w:rsidRPr="00B25BC5">
              <w:rPr>
                <w:i/>
              </w:rPr>
              <w:t xml:space="preserve"> </w:t>
            </w:r>
            <w:r w:rsidRPr="00B25BC5">
              <w:t>(Ноль целых семьдесят пять сотых)</w:t>
            </w:r>
            <w:r w:rsidRPr="00B25BC5">
              <w:rPr>
                <w:i/>
              </w:rPr>
              <w:t xml:space="preserve"> </w:t>
            </w:r>
            <w:r w:rsidRPr="00B25BC5">
              <w:t>процента</w:t>
            </w:r>
            <w:r w:rsidRPr="008E04F2">
              <w:t xml:space="preserve"> от среднегодовой стоимости чистых активов Фонда, определяемой в порядке, установленном нормативными актами</w:t>
            </w:r>
            <w:r w:rsidRPr="00F6203B">
              <w:t xml:space="preserve"> </w:t>
            </w:r>
            <w:r>
              <w:t>в сфере финансовых рынков</w:t>
            </w:r>
            <w:r w:rsidRPr="008E04F2">
              <w:t>.</w:t>
            </w:r>
          </w:p>
          <w:p w:rsidR="0071665C" w:rsidRPr="006D700F" w:rsidRDefault="0071665C" w:rsidP="00884437">
            <w:pPr>
              <w:ind w:firstLine="720"/>
              <w:jc w:val="both"/>
            </w:pPr>
          </w:p>
        </w:tc>
      </w:tr>
      <w:tr w:rsidR="00B25BC5" w:rsidTr="0071665C">
        <w:trPr>
          <w:trHeight w:val="416"/>
        </w:trPr>
        <w:tc>
          <w:tcPr>
            <w:tcW w:w="2492" w:type="pct"/>
          </w:tcPr>
          <w:p w:rsidR="00B25BC5" w:rsidRPr="00A54492" w:rsidRDefault="00B25BC5" w:rsidP="00B25BC5">
            <w:pPr>
              <w:autoSpaceDE w:val="0"/>
              <w:autoSpaceDN w:val="0"/>
              <w:adjustRightInd w:val="0"/>
              <w:ind w:firstLine="720"/>
              <w:jc w:val="both"/>
            </w:pPr>
            <w:r w:rsidRPr="00A54492">
              <w:t>88</w:t>
            </w:r>
            <w:r w:rsidRPr="008E04F2">
              <w:t xml:space="preserve">. Вознаграждение специализированному депозитарию, регистратору, </w:t>
            </w:r>
            <w:r w:rsidRPr="00B25BC5">
              <w:rPr>
                <w:b/>
              </w:rPr>
              <w:t>аудиторской организации</w:t>
            </w:r>
            <w:r w:rsidRPr="008E04F2">
              <w:t xml:space="preserve"> выплачивается в срок, предусмотренный в договорах указанных лиц с управляющей компанией.</w:t>
            </w:r>
          </w:p>
        </w:tc>
        <w:tc>
          <w:tcPr>
            <w:tcW w:w="2508" w:type="pct"/>
          </w:tcPr>
          <w:p w:rsidR="00B25BC5" w:rsidRPr="00B25BC5" w:rsidRDefault="00B25BC5" w:rsidP="00B25BC5">
            <w:pPr>
              <w:autoSpaceDE w:val="0"/>
              <w:autoSpaceDN w:val="0"/>
              <w:adjustRightInd w:val="0"/>
              <w:ind w:firstLine="720"/>
              <w:jc w:val="both"/>
              <w:rPr>
                <w:b/>
              </w:rPr>
            </w:pPr>
            <w:r w:rsidRPr="002205BD">
              <w:rPr>
                <w:b/>
              </w:rPr>
              <w:t>86.</w:t>
            </w:r>
            <w:r w:rsidRPr="008E04F2">
              <w:t xml:space="preserve"> Вознаграждение специализирован</w:t>
            </w:r>
            <w:r>
              <w:t xml:space="preserve">ному депозитарию, регистратору </w:t>
            </w:r>
            <w:r w:rsidRPr="008E04F2">
              <w:t>выплачивается в срок, предусмотренный в договорах указанных лиц с управляющей компанией.</w:t>
            </w:r>
          </w:p>
        </w:tc>
      </w:tr>
      <w:tr w:rsidR="0071665C" w:rsidTr="0071665C">
        <w:trPr>
          <w:trHeight w:val="416"/>
        </w:trPr>
        <w:tc>
          <w:tcPr>
            <w:tcW w:w="2492" w:type="pct"/>
          </w:tcPr>
          <w:p w:rsidR="00B25BC5" w:rsidRPr="00AD7EEB" w:rsidRDefault="00B25BC5" w:rsidP="00B25BC5">
            <w:pPr>
              <w:ind w:firstLine="720"/>
              <w:jc w:val="both"/>
            </w:pPr>
            <w:r w:rsidRPr="00D75A74">
              <w:t xml:space="preserve">90. Расходы, не предусмотренные пунктом 89 Правил, а также вознаграждения в части превышения размеров, указанных в пункте 86 Правил, или </w:t>
            </w:r>
            <w:r w:rsidRPr="00B25BC5">
              <w:t>2 (Двух) процентов</w:t>
            </w:r>
            <w:r w:rsidRPr="00D75A74">
              <w:t xml:space="preserve"> среднегодовой стоимости чистых активов Фонда, определяемой в порядке, установленном нормативными актами в сфере финансовых рынков, выплачиваются управляющей компанией за счет своих собственных средств.</w:t>
            </w:r>
          </w:p>
          <w:p w:rsidR="0071665C" w:rsidRPr="00A54492" w:rsidRDefault="0071665C" w:rsidP="0071665C">
            <w:pPr>
              <w:autoSpaceDE w:val="0"/>
              <w:autoSpaceDN w:val="0"/>
              <w:adjustRightInd w:val="0"/>
              <w:ind w:firstLine="720"/>
              <w:jc w:val="both"/>
            </w:pPr>
          </w:p>
        </w:tc>
        <w:tc>
          <w:tcPr>
            <w:tcW w:w="2508" w:type="pct"/>
          </w:tcPr>
          <w:p w:rsidR="0071665C" w:rsidRPr="00AD7EEB" w:rsidRDefault="00B25BC5" w:rsidP="0071665C">
            <w:pPr>
              <w:ind w:firstLine="720"/>
              <w:jc w:val="both"/>
            </w:pPr>
            <w:r w:rsidRPr="00B25BC5">
              <w:rPr>
                <w:b/>
              </w:rPr>
              <w:t>88</w:t>
            </w:r>
            <w:r w:rsidR="0071665C" w:rsidRPr="00B25BC5">
              <w:rPr>
                <w:b/>
              </w:rPr>
              <w:t>.</w:t>
            </w:r>
            <w:r w:rsidR="0071665C" w:rsidRPr="00D75A74">
              <w:t xml:space="preserve"> Расходы, не предусмотренные </w:t>
            </w:r>
            <w:r w:rsidR="0071665C" w:rsidRPr="007A29C3">
              <w:rPr>
                <w:b/>
              </w:rPr>
              <w:t>пунктом 8</w:t>
            </w:r>
            <w:r w:rsidRPr="007A29C3">
              <w:rPr>
                <w:b/>
              </w:rPr>
              <w:t>7</w:t>
            </w:r>
            <w:r w:rsidR="0071665C" w:rsidRPr="00D75A74">
              <w:t xml:space="preserve"> Правил, а также вознаграждения в части превышения размеров, указанных в </w:t>
            </w:r>
            <w:r w:rsidR="0071665C" w:rsidRPr="007A29C3">
              <w:rPr>
                <w:b/>
              </w:rPr>
              <w:t>пункте 8</w:t>
            </w:r>
            <w:r w:rsidR="007A29C3">
              <w:rPr>
                <w:b/>
              </w:rPr>
              <w:t>4</w:t>
            </w:r>
            <w:r w:rsidR="0071665C" w:rsidRPr="00D75A74">
              <w:t xml:space="preserve"> Правил, или </w:t>
            </w:r>
            <w:r w:rsidR="0071665C" w:rsidRPr="007A29C3">
              <w:t>2 (Двух) процентов</w:t>
            </w:r>
            <w:r w:rsidR="0071665C" w:rsidRPr="00D75A74">
              <w:t xml:space="preserve"> среднегодовой стоимости чистых активов Фонда, определяемой в порядке, установленном нормативными актами в сфере финансовых рынков, выплачиваются управляющей компанией за счет своих собственных средств.</w:t>
            </w:r>
          </w:p>
          <w:p w:rsidR="0071665C" w:rsidRPr="00A54492" w:rsidRDefault="0071665C" w:rsidP="0071665C">
            <w:pPr>
              <w:autoSpaceDE w:val="0"/>
              <w:autoSpaceDN w:val="0"/>
              <w:adjustRightInd w:val="0"/>
              <w:ind w:firstLine="720"/>
              <w:jc w:val="both"/>
            </w:pPr>
          </w:p>
        </w:tc>
      </w:tr>
      <w:tr w:rsidR="007A29C3" w:rsidTr="0071665C">
        <w:trPr>
          <w:trHeight w:val="416"/>
        </w:trPr>
        <w:tc>
          <w:tcPr>
            <w:tcW w:w="2492" w:type="pct"/>
          </w:tcPr>
          <w:p w:rsidR="007A29C3" w:rsidRPr="008E04F2" w:rsidRDefault="007A29C3" w:rsidP="007A29C3">
            <w:pPr>
              <w:ind w:firstLine="720"/>
              <w:jc w:val="both"/>
            </w:pPr>
            <w:r w:rsidRPr="006E2EA3">
              <w:t>96</w:t>
            </w:r>
            <w:r w:rsidRPr="008E04F2">
              <w:t xml:space="preserve">. </w:t>
            </w:r>
            <w:proofErr w:type="gramStart"/>
            <w:r w:rsidRPr="008E04F2">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w:t>
            </w:r>
            <w:r w:rsidRPr="008E04F2">
              <w:lastRenderedPageBreak/>
              <w:t>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w:t>
            </w:r>
            <w:proofErr w:type="gramEnd"/>
            <w:r w:rsidRPr="008E04F2">
              <w:t xml:space="preserve"> настоящих Правил.</w:t>
            </w:r>
          </w:p>
          <w:p w:rsidR="007A29C3" w:rsidRPr="00D75A74" w:rsidRDefault="007A29C3" w:rsidP="00B25BC5">
            <w:pPr>
              <w:ind w:firstLine="720"/>
              <w:jc w:val="both"/>
            </w:pPr>
          </w:p>
        </w:tc>
        <w:tc>
          <w:tcPr>
            <w:tcW w:w="2508" w:type="pct"/>
          </w:tcPr>
          <w:p w:rsidR="007A29C3" w:rsidRPr="008E04F2" w:rsidRDefault="007A29C3" w:rsidP="007A29C3">
            <w:pPr>
              <w:ind w:firstLine="720"/>
              <w:jc w:val="both"/>
            </w:pPr>
            <w:r w:rsidRPr="007A29C3">
              <w:rPr>
                <w:b/>
              </w:rPr>
              <w:lastRenderedPageBreak/>
              <w:t>94.</w:t>
            </w:r>
            <w:r w:rsidRPr="008E04F2">
              <w:t xml:space="preserve"> </w:t>
            </w:r>
            <w:proofErr w:type="gramStart"/>
            <w:r w:rsidRPr="008E04F2">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w:t>
            </w:r>
            <w:r w:rsidRPr="008E04F2">
              <w:lastRenderedPageBreak/>
              <w:t xml:space="preserve">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w:t>
            </w:r>
            <w:r w:rsidRPr="007A29C3">
              <w:rPr>
                <w:b/>
              </w:rPr>
              <w:t>пунктом 29</w:t>
            </w:r>
            <w:proofErr w:type="gramEnd"/>
            <w:r w:rsidRPr="008E04F2">
              <w:t xml:space="preserve"> настоящих Правил.</w:t>
            </w:r>
          </w:p>
          <w:p w:rsidR="007A29C3" w:rsidRPr="00B25BC5" w:rsidRDefault="007A29C3" w:rsidP="0071665C">
            <w:pPr>
              <w:ind w:firstLine="720"/>
              <w:jc w:val="both"/>
              <w:rPr>
                <w:b/>
              </w:rPr>
            </w:pPr>
          </w:p>
        </w:tc>
      </w:tr>
      <w:tr w:rsidR="007A29C3" w:rsidTr="0071665C">
        <w:trPr>
          <w:trHeight w:val="416"/>
        </w:trPr>
        <w:tc>
          <w:tcPr>
            <w:tcW w:w="2492" w:type="pct"/>
          </w:tcPr>
          <w:p w:rsidR="007A29C3" w:rsidRPr="008E04F2" w:rsidRDefault="007A29C3" w:rsidP="007A29C3">
            <w:pPr>
              <w:ind w:firstLine="720"/>
              <w:jc w:val="both"/>
            </w:pPr>
            <w:r w:rsidRPr="008E04F2">
              <w:lastRenderedPageBreak/>
              <w:t>1</w:t>
            </w:r>
            <w:r w:rsidRPr="00500027">
              <w:t>03</w:t>
            </w:r>
            <w:r w:rsidRPr="008E04F2">
              <w:t>.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суммы денежных средств, составляющих Фонд и поступивших в него после реализации составляющего его имущества, за вычетом:</w:t>
            </w:r>
          </w:p>
          <w:p w:rsidR="007A29C3" w:rsidRPr="008E04F2" w:rsidRDefault="007A29C3" w:rsidP="007A29C3">
            <w:pPr>
              <w:autoSpaceDE w:val="0"/>
              <w:autoSpaceDN w:val="0"/>
              <w:adjustRightInd w:val="0"/>
              <w:ind w:firstLine="720"/>
              <w:jc w:val="both"/>
            </w:pPr>
            <w:r w:rsidRPr="008E04F2">
              <w:t>1) размера задолженности перед кредиторами, требования которых должны удовлетворяться за счет имущества, составляющего Фонд;</w:t>
            </w:r>
          </w:p>
          <w:p w:rsidR="007A29C3" w:rsidRPr="008E04F2" w:rsidRDefault="007A29C3" w:rsidP="007A29C3">
            <w:pPr>
              <w:autoSpaceDE w:val="0"/>
              <w:autoSpaceDN w:val="0"/>
              <w:adjustRightInd w:val="0"/>
              <w:ind w:firstLine="720"/>
              <w:jc w:val="both"/>
            </w:pPr>
            <w:r w:rsidRPr="008E04F2">
              <w:t xml:space="preserve">2) размера вознаграждений управляющей компании, специализированного депозитария, регистратора, </w:t>
            </w:r>
            <w:r w:rsidRPr="007A29C3">
              <w:rPr>
                <w:b/>
              </w:rPr>
              <w:t>аудиторской организации</w:t>
            </w:r>
            <w:r w:rsidRPr="008E04F2">
              <w:t>, начисленного им на день возникновения основания прекращения Фонда;</w:t>
            </w:r>
          </w:p>
          <w:p w:rsidR="007A29C3" w:rsidRPr="008E04F2" w:rsidRDefault="007A29C3" w:rsidP="007A29C3">
            <w:pPr>
              <w:autoSpaceDE w:val="0"/>
              <w:autoSpaceDN w:val="0"/>
              <w:adjustRightInd w:val="0"/>
              <w:ind w:firstLine="720"/>
              <w:jc w:val="both"/>
            </w:pPr>
            <w:r w:rsidRPr="008E04F2">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7A29C3" w:rsidRPr="006E2EA3" w:rsidRDefault="007A29C3" w:rsidP="007A29C3">
            <w:pPr>
              <w:ind w:firstLine="720"/>
              <w:jc w:val="both"/>
            </w:pPr>
          </w:p>
        </w:tc>
        <w:tc>
          <w:tcPr>
            <w:tcW w:w="2508" w:type="pct"/>
          </w:tcPr>
          <w:p w:rsidR="007A29C3" w:rsidRPr="008E04F2" w:rsidRDefault="007A29C3" w:rsidP="007A29C3">
            <w:pPr>
              <w:ind w:firstLine="720"/>
              <w:jc w:val="both"/>
            </w:pPr>
            <w:r w:rsidRPr="007A29C3">
              <w:rPr>
                <w:b/>
              </w:rPr>
              <w:t>101</w:t>
            </w:r>
            <w:r w:rsidRPr="008E04F2">
              <w:t>.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суммы денежных средств, составляющих Фонд и поступивших в него после реализации составляющего его имущества, за вычетом:</w:t>
            </w:r>
          </w:p>
          <w:p w:rsidR="007A29C3" w:rsidRPr="008E04F2" w:rsidRDefault="007A29C3" w:rsidP="007A29C3">
            <w:pPr>
              <w:autoSpaceDE w:val="0"/>
              <w:autoSpaceDN w:val="0"/>
              <w:adjustRightInd w:val="0"/>
              <w:ind w:firstLine="720"/>
              <w:jc w:val="both"/>
            </w:pPr>
            <w:r w:rsidRPr="008E04F2">
              <w:t>1) размера задолженности перед кредиторами, требования которых должны удовлетворяться за счет имущества, составляющего Фонд;</w:t>
            </w:r>
          </w:p>
          <w:p w:rsidR="007A29C3" w:rsidRPr="008E04F2" w:rsidRDefault="007A29C3" w:rsidP="007A29C3">
            <w:pPr>
              <w:autoSpaceDE w:val="0"/>
              <w:autoSpaceDN w:val="0"/>
              <w:adjustRightInd w:val="0"/>
              <w:ind w:firstLine="720"/>
              <w:jc w:val="both"/>
            </w:pPr>
            <w:r w:rsidRPr="008E04F2">
              <w:t>2) размера вознаграждений управляющей компании, специализирован</w:t>
            </w:r>
            <w:r>
              <w:t>ного депозитария, регистратора</w:t>
            </w:r>
            <w:r w:rsidRPr="008E04F2">
              <w:t>, начисленного им на день возникновения основания прекращения Фонда;</w:t>
            </w:r>
          </w:p>
          <w:p w:rsidR="007A29C3" w:rsidRPr="008E04F2" w:rsidRDefault="007A29C3" w:rsidP="007A29C3">
            <w:pPr>
              <w:autoSpaceDE w:val="0"/>
              <w:autoSpaceDN w:val="0"/>
              <w:adjustRightInd w:val="0"/>
              <w:ind w:firstLine="720"/>
              <w:jc w:val="both"/>
            </w:pPr>
            <w:r w:rsidRPr="008E04F2">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7A29C3" w:rsidRPr="007A29C3" w:rsidRDefault="007A29C3" w:rsidP="007A29C3">
            <w:pPr>
              <w:ind w:firstLine="720"/>
              <w:jc w:val="both"/>
              <w:rPr>
                <w:b/>
              </w:rPr>
            </w:pPr>
          </w:p>
        </w:tc>
      </w:tr>
      <w:tr w:rsidR="007A29C3" w:rsidTr="0071665C">
        <w:trPr>
          <w:trHeight w:val="416"/>
        </w:trPr>
        <w:tc>
          <w:tcPr>
            <w:tcW w:w="2492" w:type="pct"/>
          </w:tcPr>
          <w:p w:rsidR="007A29C3" w:rsidRPr="008E04F2" w:rsidRDefault="007A29C3" w:rsidP="007A29C3">
            <w:pPr>
              <w:autoSpaceDE w:val="0"/>
              <w:autoSpaceDN w:val="0"/>
              <w:adjustRightInd w:val="0"/>
              <w:ind w:firstLine="720"/>
              <w:jc w:val="both"/>
            </w:pPr>
            <w:r w:rsidRPr="008E04F2">
              <w:t>1</w:t>
            </w:r>
            <w:r w:rsidRPr="00500027">
              <w:t>07</w:t>
            </w:r>
            <w:r w:rsidRPr="008E04F2">
              <w:t xml:space="preserve">.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w:t>
            </w:r>
            <w:r>
              <w:t> </w:t>
            </w:r>
            <w:r w:rsidRPr="008E04F2">
              <w:t>1</w:t>
            </w:r>
            <w:r w:rsidRPr="00500027">
              <w:t xml:space="preserve">08 </w:t>
            </w:r>
            <w:r w:rsidRPr="008E04F2">
              <w:t>и 1</w:t>
            </w:r>
            <w:r w:rsidRPr="00500027">
              <w:t>09</w:t>
            </w:r>
            <w:r w:rsidRPr="008E04F2">
              <w:t xml:space="preserve"> настоящих Правил.</w:t>
            </w:r>
          </w:p>
          <w:p w:rsidR="007A29C3" w:rsidRPr="008E04F2" w:rsidRDefault="007A29C3" w:rsidP="007A29C3">
            <w:pPr>
              <w:ind w:firstLine="720"/>
              <w:jc w:val="both"/>
            </w:pPr>
          </w:p>
        </w:tc>
        <w:tc>
          <w:tcPr>
            <w:tcW w:w="2508" w:type="pct"/>
          </w:tcPr>
          <w:p w:rsidR="007A29C3" w:rsidRPr="008E04F2" w:rsidRDefault="007A29C3" w:rsidP="007A29C3">
            <w:pPr>
              <w:autoSpaceDE w:val="0"/>
              <w:autoSpaceDN w:val="0"/>
              <w:adjustRightInd w:val="0"/>
              <w:ind w:firstLine="720"/>
              <w:jc w:val="both"/>
            </w:pPr>
            <w:r w:rsidRPr="007A29C3">
              <w:rPr>
                <w:b/>
              </w:rPr>
              <w:t>105</w:t>
            </w:r>
            <w:r w:rsidRPr="008E04F2">
              <w:t xml:space="preserve">. Изменения, которые вносятся в настоящие Правила, вступают в силу со дня раскрытия сообщения об их регистрации, за исключением изменений, предусмотренных </w:t>
            </w:r>
            <w:r w:rsidRPr="007A29C3">
              <w:rPr>
                <w:b/>
              </w:rPr>
              <w:t>пунктами  106 и 107</w:t>
            </w:r>
            <w:r w:rsidRPr="008E04F2">
              <w:t xml:space="preserve"> настоящих Правил.</w:t>
            </w:r>
          </w:p>
          <w:p w:rsidR="007A29C3" w:rsidRPr="007A29C3" w:rsidRDefault="007A29C3" w:rsidP="007A29C3">
            <w:pPr>
              <w:ind w:firstLine="720"/>
              <w:jc w:val="both"/>
              <w:rPr>
                <w:b/>
              </w:rPr>
            </w:pPr>
          </w:p>
        </w:tc>
      </w:tr>
      <w:tr w:rsidR="007A29C3" w:rsidTr="0071665C">
        <w:trPr>
          <w:trHeight w:val="416"/>
        </w:trPr>
        <w:tc>
          <w:tcPr>
            <w:tcW w:w="2492" w:type="pct"/>
          </w:tcPr>
          <w:p w:rsidR="007A29C3" w:rsidRPr="008E04F2" w:rsidRDefault="007A29C3" w:rsidP="007A29C3">
            <w:pPr>
              <w:autoSpaceDE w:val="0"/>
              <w:autoSpaceDN w:val="0"/>
              <w:adjustRightInd w:val="0"/>
              <w:ind w:firstLine="720"/>
              <w:jc w:val="both"/>
            </w:pPr>
            <w:r w:rsidRPr="00500027">
              <w:t>108</w:t>
            </w:r>
            <w:r w:rsidRPr="008E04F2">
              <w:t>. Изменения, которые вносятся в настоящие Правила, вступают в силу по истечении одного месяца со дня раскрытия сообщения о регистрации таких изменений</w:t>
            </w:r>
            <w:r>
              <w:t xml:space="preserve"> Банком России</w:t>
            </w:r>
            <w:r w:rsidRPr="008E04F2">
              <w:t>, если они связанны:</w:t>
            </w:r>
          </w:p>
          <w:p w:rsidR="007A29C3" w:rsidRPr="008E04F2" w:rsidRDefault="007A29C3" w:rsidP="007A29C3">
            <w:pPr>
              <w:autoSpaceDE w:val="0"/>
              <w:autoSpaceDN w:val="0"/>
              <w:adjustRightInd w:val="0"/>
              <w:ind w:firstLine="720"/>
              <w:jc w:val="both"/>
            </w:pPr>
            <w:r w:rsidRPr="008E04F2">
              <w:t>1) с изменением инвестиционной декларации Фонда;</w:t>
            </w:r>
          </w:p>
          <w:p w:rsidR="007A29C3" w:rsidRPr="008E04F2" w:rsidRDefault="007A29C3" w:rsidP="007A29C3">
            <w:pPr>
              <w:autoSpaceDE w:val="0"/>
              <w:autoSpaceDN w:val="0"/>
              <w:adjustRightInd w:val="0"/>
              <w:ind w:firstLine="720"/>
              <w:jc w:val="both"/>
            </w:pPr>
            <w:r w:rsidRPr="008E04F2">
              <w:t xml:space="preserve">2) с увеличением размера вознаграждения управляющей компании, специализированного депозитария, регистратора, </w:t>
            </w:r>
            <w:r w:rsidRPr="007A29C3">
              <w:rPr>
                <w:b/>
              </w:rPr>
              <w:t>аудиторской организации</w:t>
            </w:r>
            <w:r w:rsidRPr="008E04F2">
              <w:t>;</w:t>
            </w:r>
          </w:p>
          <w:p w:rsidR="007A29C3" w:rsidRPr="008E04F2" w:rsidRDefault="007A29C3" w:rsidP="007A29C3">
            <w:pPr>
              <w:autoSpaceDE w:val="0"/>
              <w:autoSpaceDN w:val="0"/>
              <w:adjustRightInd w:val="0"/>
              <w:ind w:firstLine="720"/>
              <w:jc w:val="both"/>
            </w:pPr>
            <w:r w:rsidRPr="008E04F2">
              <w:t xml:space="preserve">3) с увеличением расходов и (или) </w:t>
            </w:r>
            <w:r w:rsidRPr="008E04F2">
              <w:lastRenderedPageBreak/>
              <w:t>расширением перечня расходов, подлежащих оплате за счет имущества, составляющего Фонд;</w:t>
            </w:r>
          </w:p>
          <w:p w:rsidR="007A29C3" w:rsidRPr="008E04F2" w:rsidRDefault="007A29C3" w:rsidP="007A29C3">
            <w:pPr>
              <w:autoSpaceDE w:val="0"/>
              <w:autoSpaceDN w:val="0"/>
              <w:adjustRightInd w:val="0"/>
              <w:ind w:firstLine="720"/>
              <w:jc w:val="both"/>
            </w:pPr>
            <w:r w:rsidRPr="008E04F2">
              <w:t>4) с введением скидок в связи с погашением инвестиционных паев или увеличением их размеров;</w:t>
            </w:r>
          </w:p>
          <w:p w:rsidR="007A29C3" w:rsidRPr="008E04F2" w:rsidRDefault="007A29C3" w:rsidP="007A29C3">
            <w:pPr>
              <w:autoSpaceDE w:val="0"/>
              <w:autoSpaceDN w:val="0"/>
              <w:adjustRightInd w:val="0"/>
              <w:ind w:firstLine="720"/>
              <w:jc w:val="both"/>
            </w:pPr>
            <w:r w:rsidRPr="008E04F2">
              <w:t>5) с иными изменениями, предусмотренными нормативными актами</w:t>
            </w:r>
            <w:r>
              <w:t xml:space="preserve"> в сфере финансовых рынков</w:t>
            </w:r>
            <w:r w:rsidRPr="008E04F2">
              <w:t>.</w:t>
            </w:r>
          </w:p>
          <w:p w:rsidR="007A29C3" w:rsidRPr="008E04F2" w:rsidRDefault="007A29C3" w:rsidP="007A29C3">
            <w:pPr>
              <w:autoSpaceDE w:val="0"/>
              <w:autoSpaceDN w:val="0"/>
              <w:adjustRightInd w:val="0"/>
              <w:ind w:firstLine="720"/>
              <w:jc w:val="both"/>
            </w:pPr>
          </w:p>
        </w:tc>
        <w:tc>
          <w:tcPr>
            <w:tcW w:w="2508" w:type="pct"/>
          </w:tcPr>
          <w:p w:rsidR="007A29C3" w:rsidRPr="008E04F2" w:rsidRDefault="007A29C3" w:rsidP="007A29C3">
            <w:pPr>
              <w:autoSpaceDE w:val="0"/>
              <w:autoSpaceDN w:val="0"/>
              <w:adjustRightInd w:val="0"/>
              <w:ind w:firstLine="720"/>
              <w:jc w:val="both"/>
            </w:pPr>
            <w:r w:rsidRPr="007A29C3">
              <w:rPr>
                <w:b/>
              </w:rPr>
              <w:lastRenderedPageBreak/>
              <w:t>106</w:t>
            </w:r>
            <w:r w:rsidRPr="008E04F2">
              <w:t>. Изменения, которые вносятся в настоящие Правила, вступают в силу по истечении одного месяца со дня раскрытия сообщения о регистрации таких изменений</w:t>
            </w:r>
            <w:r>
              <w:t xml:space="preserve"> Банком России</w:t>
            </w:r>
            <w:r w:rsidRPr="008E04F2">
              <w:t>, если они связанны:</w:t>
            </w:r>
          </w:p>
          <w:p w:rsidR="007A29C3" w:rsidRPr="008E04F2" w:rsidRDefault="007A29C3" w:rsidP="007A29C3">
            <w:pPr>
              <w:autoSpaceDE w:val="0"/>
              <w:autoSpaceDN w:val="0"/>
              <w:adjustRightInd w:val="0"/>
              <w:ind w:firstLine="720"/>
              <w:jc w:val="both"/>
            </w:pPr>
            <w:r w:rsidRPr="008E04F2">
              <w:t>1) с изменением инвестиционной декларации Фонда;</w:t>
            </w:r>
          </w:p>
          <w:p w:rsidR="007A29C3" w:rsidRPr="008E04F2" w:rsidRDefault="007A29C3" w:rsidP="007A29C3">
            <w:pPr>
              <w:autoSpaceDE w:val="0"/>
              <w:autoSpaceDN w:val="0"/>
              <w:adjustRightInd w:val="0"/>
              <w:ind w:firstLine="720"/>
              <w:jc w:val="both"/>
            </w:pPr>
            <w:r w:rsidRPr="008E04F2">
              <w:t>2) с увеличением размера вознаграждения управляющей компании, специализирова</w:t>
            </w:r>
            <w:r>
              <w:t>нного депозитария, регистратора</w:t>
            </w:r>
            <w:r w:rsidRPr="008E04F2">
              <w:t>;</w:t>
            </w:r>
          </w:p>
          <w:p w:rsidR="007A29C3" w:rsidRPr="008E04F2" w:rsidRDefault="007A29C3" w:rsidP="007A29C3">
            <w:pPr>
              <w:autoSpaceDE w:val="0"/>
              <w:autoSpaceDN w:val="0"/>
              <w:adjustRightInd w:val="0"/>
              <w:ind w:firstLine="720"/>
              <w:jc w:val="both"/>
            </w:pPr>
            <w:r w:rsidRPr="008E04F2">
              <w:t xml:space="preserve">3) с увеличением расходов и (или) </w:t>
            </w:r>
            <w:r w:rsidRPr="008E04F2">
              <w:lastRenderedPageBreak/>
              <w:t>расширением перечня расходов, подлежащих оплате за счет имущества, составляющего Фонд;</w:t>
            </w:r>
          </w:p>
          <w:p w:rsidR="007A29C3" w:rsidRPr="008E04F2" w:rsidRDefault="007A29C3" w:rsidP="007A29C3">
            <w:pPr>
              <w:autoSpaceDE w:val="0"/>
              <w:autoSpaceDN w:val="0"/>
              <w:adjustRightInd w:val="0"/>
              <w:ind w:firstLine="720"/>
              <w:jc w:val="both"/>
            </w:pPr>
            <w:r w:rsidRPr="008E04F2">
              <w:t>4) с введением скидок в связи с погашением инвестиционных паев или увеличением их размеров;</w:t>
            </w:r>
          </w:p>
          <w:p w:rsidR="007A29C3" w:rsidRPr="008E04F2" w:rsidRDefault="007A29C3" w:rsidP="007A29C3">
            <w:pPr>
              <w:autoSpaceDE w:val="0"/>
              <w:autoSpaceDN w:val="0"/>
              <w:adjustRightInd w:val="0"/>
              <w:ind w:firstLine="720"/>
              <w:jc w:val="both"/>
            </w:pPr>
            <w:r w:rsidRPr="008E04F2">
              <w:t>5) с иными изменениями, предусмотренными нормативными актами</w:t>
            </w:r>
            <w:r>
              <w:t xml:space="preserve"> в сфере финансовых рынков</w:t>
            </w:r>
            <w:r w:rsidRPr="008E04F2">
              <w:t>.</w:t>
            </w:r>
          </w:p>
          <w:p w:rsidR="007A29C3" w:rsidRPr="007A29C3" w:rsidRDefault="007A29C3" w:rsidP="007A29C3">
            <w:pPr>
              <w:autoSpaceDE w:val="0"/>
              <w:autoSpaceDN w:val="0"/>
              <w:adjustRightInd w:val="0"/>
              <w:ind w:firstLine="720"/>
              <w:jc w:val="both"/>
              <w:rPr>
                <w:b/>
              </w:rPr>
            </w:pPr>
          </w:p>
        </w:tc>
      </w:tr>
      <w:tr w:rsidR="007A29C3" w:rsidTr="0071665C">
        <w:trPr>
          <w:trHeight w:val="416"/>
        </w:trPr>
        <w:tc>
          <w:tcPr>
            <w:tcW w:w="2492" w:type="pct"/>
          </w:tcPr>
          <w:p w:rsidR="007A29C3" w:rsidRPr="008E04F2" w:rsidRDefault="007A29C3" w:rsidP="007A29C3">
            <w:pPr>
              <w:autoSpaceDE w:val="0"/>
              <w:autoSpaceDN w:val="0"/>
              <w:adjustRightInd w:val="0"/>
              <w:ind w:firstLine="720"/>
              <w:jc w:val="both"/>
            </w:pPr>
            <w:r w:rsidRPr="008E04F2">
              <w:lastRenderedPageBreak/>
              <w:t>1</w:t>
            </w:r>
            <w:r w:rsidRPr="00500027">
              <w:t>09</w:t>
            </w:r>
            <w:r w:rsidRPr="008E04F2">
              <w:t>. Изменения, которые вносятся в настоящие Правила, вступают в силу со дня их регистрации</w:t>
            </w:r>
            <w:r>
              <w:t xml:space="preserve"> Банком России</w:t>
            </w:r>
            <w:r w:rsidRPr="008E04F2">
              <w:t>, если они касаются:</w:t>
            </w:r>
          </w:p>
          <w:p w:rsidR="007A29C3" w:rsidRPr="008E04F2" w:rsidRDefault="007A29C3" w:rsidP="007A29C3">
            <w:pPr>
              <w:autoSpaceDE w:val="0"/>
              <w:autoSpaceDN w:val="0"/>
              <w:adjustRightInd w:val="0"/>
              <w:ind w:firstLine="720"/>
              <w:jc w:val="both"/>
            </w:pPr>
            <w:r w:rsidRPr="008E04F2">
              <w:t>1) изменения наименований управляющей компании, специализированного депозитария, регистратора</w:t>
            </w:r>
            <w:r w:rsidRPr="007A29C3">
              <w:rPr>
                <w:b/>
              </w:rPr>
              <w:t>, аудиторской организации</w:t>
            </w:r>
            <w:r w:rsidRPr="008E04F2">
              <w:t>, а также иных сведений об указанных лицах;</w:t>
            </w:r>
          </w:p>
          <w:p w:rsidR="007A29C3" w:rsidRPr="008E04F2" w:rsidRDefault="007A29C3" w:rsidP="007A29C3">
            <w:pPr>
              <w:autoSpaceDE w:val="0"/>
              <w:autoSpaceDN w:val="0"/>
              <w:adjustRightInd w:val="0"/>
              <w:ind w:firstLine="720"/>
              <w:jc w:val="both"/>
            </w:pPr>
            <w:r w:rsidRPr="008E04F2">
              <w:t xml:space="preserve">2) уменьшения размера вознаграждения управляющей компании, специализированного депозитария, регистратора, </w:t>
            </w:r>
            <w:r w:rsidRPr="007A29C3">
              <w:rPr>
                <w:b/>
              </w:rPr>
              <w:t>аудиторской организации</w:t>
            </w:r>
            <w:r w:rsidRPr="008E04F2">
              <w:t>, а также уменьшения размера и (или) сокращения перечня расходов, подлежащих оплате за счет имущества, составляющего Фонд;</w:t>
            </w:r>
          </w:p>
          <w:p w:rsidR="007A29C3" w:rsidRPr="008E04F2" w:rsidRDefault="007A29C3" w:rsidP="007A29C3">
            <w:pPr>
              <w:autoSpaceDE w:val="0"/>
              <w:autoSpaceDN w:val="0"/>
              <w:adjustRightInd w:val="0"/>
              <w:ind w:firstLine="720"/>
              <w:jc w:val="both"/>
            </w:pPr>
            <w:r w:rsidRPr="008E04F2">
              <w:t>3) отмены скидок (надбавок) или уменьшения их размеров;</w:t>
            </w:r>
          </w:p>
          <w:p w:rsidR="007A29C3" w:rsidRPr="00500027" w:rsidRDefault="007A29C3" w:rsidP="004C7266">
            <w:pPr>
              <w:autoSpaceDE w:val="0"/>
              <w:autoSpaceDN w:val="0"/>
              <w:adjustRightInd w:val="0"/>
              <w:ind w:firstLine="720"/>
              <w:jc w:val="both"/>
            </w:pPr>
            <w:r w:rsidRPr="008E04F2">
              <w:t>4) иных положений, предусмотренных нормативными актами</w:t>
            </w:r>
            <w:r w:rsidRPr="006B750B">
              <w:t xml:space="preserve"> </w:t>
            </w:r>
            <w:r>
              <w:t>в сфере финансовых рынков</w:t>
            </w:r>
            <w:r w:rsidRPr="008E04F2">
              <w:t>.</w:t>
            </w:r>
          </w:p>
        </w:tc>
        <w:tc>
          <w:tcPr>
            <w:tcW w:w="2508" w:type="pct"/>
          </w:tcPr>
          <w:p w:rsidR="007A29C3" w:rsidRPr="008E04F2" w:rsidRDefault="007A29C3" w:rsidP="007A29C3">
            <w:pPr>
              <w:autoSpaceDE w:val="0"/>
              <w:autoSpaceDN w:val="0"/>
              <w:adjustRightInd w:val="0"/>
              <w:ind w:firstLine="720"/>
              <w:jc w:val="both"/>
            </w:pPr>
            <w:r w:rsidRPr="007A29C3">
              <w:rPr>
                <w:b/>
              </w:rPr>
              <w:t>107</w:t>
            </w:r>
            <w:r w:rsidRPr="008E04F2">
              <w:t>. Изменения, которые вносятся в настоящие Правила, вступают в силу со дня их регистрации</w:t>
            </w:r>
            <w:r>
              <w:t xml:space="preserve"> Банком России</w:t>
            </w:r>
            <w:r w:rsidRPr="008E04F2">
              <w:t>, если они касаются:</w:t>
            </w:r>
          </w:p>
          <w:p w:rsidR="007A29C3" w:rsidRPr="008E04F2" w:rsidRDefault="007A29C3" w:rsidP="007A29C3">
            <w:pPr>
              <w:autoSpaceDE w:val="0"/>
              <w:autoSpaceDN w:val="0"/>
              <w:adjustRightInd w:val="0"/>
              <w:ind w:firstLine="720"/>
              <w:jc w:val="both"/>
            </w:pPr>
            <w:r w:rsidRPr="008E04F2">
              <w:t>1) изменения наименований управляющей компании, специализирован</w:t>
            </w:r>
            <w:r>
              <w:t>ного депозитария, регистратора</w:t>
            </w:r>
            <w:r w:rsidRPr="008E04F2">
              <w:t>, а также иных сведений об указанных лицах;</w:t>
            </w:r>
          </w:p>
          <w:p w:rsidR="007A29C3" w:rsidRPr="008E04F2" w:rsidRDefault="007A29C3" w:rsidP="007A29C3">
            <w:pPr>
              <w:autoSpaceDE w:val="0"/>
              <w:autoSpaceDN w:val="0"/>
              <w:adjustRightInd w:val="0"/>
              <w:ind w:firstLine="720"/>
              <w:jc w:val="both"/>
            </w:pPr>
            <w:r w:rsidRPr="008E04F2">
              <w:t>2) уменьшения размера вознаграждения управляющей компании, специализирован</w:t>
            </w:r>
            <w:r>
              <w:t>ного депозитария, регистратора</w:t>
            </w:r>
            <w:r w:rsidRPr="008E04F2">
              <w:t>, а также уменьшения размера и (или) сокращения перечня расходов, подлежащих оплате за счет имущества, составляющего Фонд;</w:t>
            </w:r>
          </w:p>
          <w:p w:rsidR="007A29C3" w:rsidRPr="008E04F2" w:rsidRDefault="007A29C3" w:rsidP="007A29C3">
            <w:pPr>
              <w:autoSpaceDE w:val="0"/>
              <w:autoSpaceDN w:val="0"/>
              <w:adjustRightInd w:val="0"/>
              <w:ind w:firstLine="720"/>
              <w:jc w:val="both"/>
            </w:pPr>
            <w:r w:rsidRPr="008E04F2">
              <w:t>3) отмены скидок (надбавок) или уменьшения их размеров;</w:t>
            </w:r>
          </w:p>
          <w:p w:rsidR="007A29C3" w:rsidRPr="008E04F2" w:rsidRDefault="007A29C3" w:rsidP="007A29C3">
            <w:pPr>
              <w:autoSpaceDE w:val="0"/>
              <w:autoSpaceDN w:val="0"/>
              <w:adjustRightInd w:val="0"/>
              <w:ind w:firstLine="720"/>
              <w:jc w:val="both"/>
            </w:pPr>
            <w:r w:rsidRPr="008E04F2">
              <w:t>4) иных положений, предусмотренных нормативными актами</w:t>
            </w:r>
            <w:r w:rsidRPr="006B750B">
              <w:t xml:space="preserve"> </w:t>
            </w:r>
            <w:r>
              <w:t>в сфере финансовых рынков</w:t>
            </w:r>
            <w:r w:rsidRPr="008E04F2">
              <w:t>.</w:t>
            </w:r>
          </w:p>
          <w:p w:rsidR="007A29C3" w:rsidRPr="007A29C3" w:rsidRDefault="007A29C3" w:rsidP="007A29C3">
            <w:pPr>
              <w:autoSpaceDE w:val="0"/>
              <w:autoSpaceDN w:val="0"/>
              <w:adjustRightInd w:val="0"/>
              <w:ind w:firstLine="720"/>
              <w:jc w:val="both"/>
              <w:rPr>
                <w:b/>
              </w:rPr>
            </w:pPr>
          </w:p>
        </w:tc>
      </w:tr>
    </w:tbl>
    <w:p w:rsidR="0010782A" w:rsidRDefault="0010782A" w:rsidP="003A3414">
      <w:pPr>
        <w:pStyle w:val="a4"/>
      </w:pPr>
    </w:p>
    <w:p w:rsidR="0038485E" w:rsidRDefault="0038485E" w:rsidP="003A3414">
      <w:pPr>
        <w:pStyle w:val="a4"/>
      </w:pPr>
    </w:p>
    <w:p w:rsidR="00A85AEC" w:rsidRDefault="00A85AEC" w:rsidP="003A3414">
      <w:pPr>
        <w:pStyle w:val="a4"/>
      </w:pPr>
    </w:p>
    <w:p w:rsidR="00A85AEC" w:rsidRDefault="00A85AEC" w:rsidP="003A3414">
      <w:pPr>
        <w:pStyle w:val="a4"/>
      </w:pPr>
    </w:p>
    <w:p w:rsidR="0086077B" w:rsidRDefault="0086077B" w:rsidP="003A3414">
      <w:pPr>
        <w:pStyle w:val="a4"/>
      </w:pPr>
      <w:r>
        <w:t>Генеральный директор</w:t>
      </w:r>
      <w:r>
        <w:tab/>
      </w:r>
      <w:r>
        <w:tab/>
      </w:r>
    </w:p>
    <w:p w:rsidR="0086077B" w:rsidRDefault="0086077B" w:rsidP="00C71319">
      <w:pPr>
        <w:pStyle w:val="a4"/>
      </w:pPr>
      <w:r>
        <w:t xml:space="preserve">ООО «УК «ГЕРФИН»                                    </w:t>
      </w:r>
      <w:r>
        <w:tab/>
      </w:r>
      <w:r>
        <w:tab/>
      </w:r>
      <w:r>
        <w:tab/>
        <w:t xml:space="preserve">               /Герасимов С.Я./</w:t>
      </w:r>
    </w:p>
    <w:sectPr w:rsidR="0086077B" w:rsidSect="00831519">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15D" w:rsidRDefault="00AA015D">
      <w:r>
        <w:separator/>
      </w:r>
    </w:p>
  </w:endnote>
  <w:endnote w:type="continuationSeparator" w:id="0">
    <w:p w:rsidR="00AA015D" w:rsidRDefault="00AA01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Times New Roman CYR">
    <w:altName w:val="Tahoma"/>
    <w:panose1 w:val="02020603050405020304"/>
    <w:charset w:val="CC"/>
    <w:family w:val="roman"/>
    <w:pitch w:val="variable"/>
    <w:sig w:usb0="E0002AFF" w:usb1="C0007841" w:usb2="00000009" w:usb3="00000000" w:csb0="000001FF" w:csb1="00000000"/>
  </w:font>
  <w:font w:name="Minion Pro Cyr">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8CD" w:rsidRDefault="00FB4158" w:rsidP="007C10F8">
    <w:pPr>
      <w:pStyle w:val="aa"/>
      <w:framePr w:wrap="auto" w:vAnchor="text" w:hAnchor="margin" w:xAlign="right" w:y="1"/>
      <w:rPr>
        <w:rStyle w:val="ac"/>
      </w:rPr>
    </w:pPr>
    <w:r>
      <w:rPr>
        <w:rStyle w:val="ac"/>
      </w:rPr>
      <w:fldChar w:fldCharType="begin"/>
    </w:r>
    <w:r w:rsidR="00C438CD">
      <w:rPr>
        <w:rStyle w:val="ac"/>
      </w:rPr>
      <w:instrText xml:space="preserve">PAGE  </w:instrText>
    </w:r>
    <w:r>
      <w:rPr>
        <w:rStyle w:val="ac"/>
      </w:rPr>
      <w:fldChar w:fldCharType="separate"/>
    </w:r>
    <w:r w:rsidR="00811854">
      <w:rPr>
        <w:rStyle w:val="ac"/>
        <w:noProof/>
      </w:rPr>
      <w:t>18</w:t>
    </w:r>
    <w:r>
      <w:rPr>
        <w:rStyle w:val="ac"/>
      </w:rPr>
      <w:fldChar w:fldCharType="end"/>
    </w:r>
  </w:p>
  <w:p w:rsidR="00C438CD" w:rsidRDefault="00C438CD" w:rsidP="003A341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15D" w:rsidRDefault="00AA015D">
      <w:r>
        <w:separator/>
      </w:r>
    </w:p>
  </w:footnote>
  <w:footnote w:type="continuationSeparator" w:id="0">
    <w:p w:rsidR="00AA015D" w:rsidRDefault="00AA01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912CA"/>
    <w:multiLevelType w:val="hybridMultilevel"/>
    <w:tmpl w:val="F754F5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80A77A3"/>
    <w:multiLevelType w:val="hybridMultilevel"/>
    <w:tmpl w:val="0E6C9D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D515E82"/>
    <w:multiLevelType w:val="multilevel"/>
    <w:tmpl w:val="F5AA2972"/>
    <w:lvl w:ilvl="0">
      <w:start w:val="1"/>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F250136"/>
    <w:multiLevelType w:val="hybridMultilevel"/>
    <w:tmpl w:val="5A444C18"/>
    <w:lvl w:ilvl="0" w:tplc="04520CD2">
      <w:start w:val="1"/>
      <w:numFmt w:val="decimal"/>
      <w:lvlText w:val="(%1)"/>
      <w:lvlJc w:val="left"/>
      <w:pPr>
        <w:ind w:left="1259" w:hanging="360"/>
      </w:pPr>
      <w:rPr>
        <w:rFonts w:cs="Times New Roman" w:hint="default"/>
      </w:rPr>
    </w:lvl>
    <w:lvl w:ilvl="1" w:tplc="04520CD2">
      <w:start w:val="1"/>
      <w:numFmt w:val="decimal"/>
      <w:lvlText w:val="(%2)"/>
      <w:lvlJc w:val="left"/>
      <w:pPr>
        <w:ind w:left="360" w:hanging="360"/>
      </w:pPr>
      <w:rPr>
        <w:rFonts w:cs="Times New Roman" w:hint="default"/>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4">
    <w:nsid w:val="2B064F37"/>
    <w:multiLevelType w:val="hybridMultilevel"/>
    <w:tmpl w:val="938A9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E8831FD"/>
    <w:multiLevelType w:val="hybridMultilevel"/>
    <w:tmpl w:val="DAF8EF4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0484F43"/>
    <w:multiLevelType w:val="hybridMultilevel"/>
    <w:tmpl w:val="053E96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B9017C6"/>
    <w:multiLevelType w:val="multilevel"/>
    <w:tmpl w:val="F5AA2972"/>
    <w:lvl w:ilvl="0">
      <w:start w:val="1"/>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517A05F1"/>
    <w:multiLevelType w:val="hybridMultilevel"/>
    <w:tmpl w:val="5AC803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60B0D79"/>
    <w:multiLevelType w:val="hybridMultilevel"/>
    <w:tmpl w:val="0DACCD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ED50AE7"/>
    <w:multiLevelType w:val="hybridMultilevel"/>
    <w:tmpl w:val="5AA273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0"/>
  </w:num>
  <w:num w:numId="4">
    <w:abstractNumId w:val="4"/>
  </w:num>
  <w:num w:numId="5">
    <w:abstractNumId w:val="10"/>
  </w:num>
  <w:num w:numId="6">
    <w:abstractNumId w:val="1"/>
  </w:num>
  <w:num w:numId="7">
    <w:abstractNumId w:val="2"/>
  </w:num>
  <w:num w:numId="8">
    <w:abstractNumId w:val="6"/>
  </w:num>
  <w:num w:numId="9">
    <w:abstractNumId w:val="8"/>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0C09AA"/>
    <w:rsid w:val="00004122"/>
    <w:rsid w:val="0000752D"/>
    <w:rsid w:val="000121FF"/>
    <w:rsid w:val="00013990"/>
    <w:rsid w:val="00020784"/>
    <w:rsid w:val="00021123"/>
    <w:rsid w:val="00022D9E"/>
    <w:rsid w:val="00033CEE"/>
    <w:rsid w:val="00054A54"/>
    <w:rsid w:val="00056800"/>
    <w:rsid w:val="000601E1"/>
    <w:rsid w:val="00062CF0"/>
    <w:rsid w:val="00063812"/>
    <w:rsid w:val="00063C5A"/>
    <w:rsid w:val="0006442B"/>
    <w:rsid w:val="00067BC5"/>
    <w:rsid w:val="00077556"/>
    <w:rsid w:val="00081A9A"/>
    <w:rsid w:val="00083973"/>
    <w:rsid w:val="00091C4B"/>
    <w:rsid w:val="00093888"/>
    <w:rsid w:val="000A6F33"/>
    <w:rsid w:val="000C09AA"/>
    <w:rsid w:val="000C0BA9"/>
    <w:rsid w:val="000C4576"/>
    <w:rsid w:val="000C54DF"/>
    <w:rsid w:val="000C758B"/>
    <w:rsid w:val="000D7A62"/>
    <w:rsid w:val="000E0A2D"/>
    <w:rsid w:val="000E2BEC"/>
    <w:rsid w:val="000E2DB9"/>
    <w:rsid w:val="000E7A2A"/>
    <w:rsid w:val="000F19C7"/>
    <w:rsid w:val="000F2A79"/>
    <w:rsid w:val="000F42B8"/>
    <w:rsid w:val="0010782A"/>
    <w:rsid w:val="00120CF3"/>
    <w:rsid w:val="001223F0"/>
    <w:rsid w:val="0013286E"/>
    <w:rsid w:val="0013607E"/>
    <w:rsid w:val="00146050"/>
    <w:rsid w:val="00157650"/>
    <w:rsid w:val="00164EDF"/>
    <w:rsid w:val="0016757E"/>
    <w:rsid w:val="001702A2"/>
    <w:rsid w:val="00176DB8"/>
    <w:rsid w:val="00182BD3"/>
    <w:rsid w:val="0019486E"/>
    <w:rsid w:val="001A02A6"/>
    <w:rsid w:val="001A226B"/>
    <w:rsid w:val="001B203C"/>
    <w:rsid w:val="001D081E"/>
    <w:rsid w:val="001D220A"/>
    <w:rsid w:val="001D3280"/>
    <w:rsid w:val="001E110D"/>
    <w:rsid w:val="001E1448"/>
    <w:rsid w:val="001E4BA6"/>
    <w:rsid w:val="001E7963"/>
    <w:rsid w:val="001E79F9"/>
    <w:rsid w:val="001E7D29"/>
    <w:rsid w:val="001F02D1"/>
    <w:rsid w:val="001F34A8"/>
    <w:rsid w:val="001F50EA"/>
    <w:rsid w:val="001F598D"/>
    <w:rsid w:val="0020272F"/>
    <w:rsid w:val="002205BD"/>
    <w:rsid w:val="00220D21"/>
    <w:rsid w:val="00221944"/>
    <w:rsid w:val="00222598"/>
    <w:rsid w:val="0022402F"/>
    <w:rsid w:val="00243855"/>
    <w:rsid w:val="0024388C"/>
    <w:rsid w:val="00243ABE"/>
    <w:rsid w:val="00246BC4"/>
    <w:rsid w:val="0026482B"/>
    <w:rsid w:val="00266E2C"/>
    <w:rsid w:val="0026781E"/>
    <w:rsid w:val="00271998"/>
    <w:rsid w:val="002737AE"/>
    <w:rsid w:val="00274780"/>
    <w:rsid w:val="002749C3"/>
    <w:rsid w:val="002813A4"/>
    <w:rsid w:val="00283967"/>
    <w:rsid w:val="00285147"/>
    <w:rsid w:val="002861BD"/>
    <w:rsid w:val="0028744C"/>
    <w:rsid w:val="00292AE0"/>
    <w:rsid w:val="00293A93"/>
    <w:rsid w:val="002A06FB"/>
    <w:rsid w:val="002A7CC5"/>
    <w:rsid w:val="002B4DCF"/>
    <w:rsid w:val="002B5018"/>
    <w:rsid w:val="002C3BF1"/>
    <w:rsid w:val="002D0A01"/>
    <w:rsid w:val="002E229C"/>
    <w:rsid w:val="002E638A"/>
    <w:rsid w:val="00310790"/>
    <w:rsid w:val="0031416A"/>
    <w:rsid w:val="003153BE"/>
    <w:rsid w:val="00316696"/>
    <w:rsid w:val="003170B3"/>
    <w:rsid w:val="00321230"/>
    <w:rsid w:val="00322353"/>
    <w:rsid w:val="003309E5"/>
    <w:rsid w:val="00330DB6"/>
    <w:rsid w:val="0034010B"/>
    <w:rsid w:val="00361B38"/>
    <w:rsid w:val="00361F5B"/>
    <w:rsid w:val="00363554"/>
    <w:rsid w:val="00372BA9"/>
    <w:rsid w:val="0037566B"/>
    <w:rsid w:val="00375B90"/>
    <w:rsid w:val="0038289A"/>
    <w:rsid w:val="00383CD7"/>
    <w:rsid w:val="0038485E"/>
    <w:rsid w:val="00386F76"/>
    <w:rsid w:val="00390DB6"/>
    <w:rsid w:val="0039274E"/>
    <w:rsid w:val="003A3414"/>
    <w:rsid w:val="003B0F13"/>
    <w:rsid w:val="003B62BF"/>
    <w:rsid w:val="003C0687"/>
    <w:rsid w:val="003C0F8C"/>
    <w:rsid w:val="003C51E3"/>
    <w:rsid w:val="003D0A09"/>
    <w:rsid w:val="003D0D44"/>
    <w:rsid w:val="003D7148"/>
    <w:rsid w:val="003D75F9"/>
    <w:rsid w:val="003E2FD1"/>
    <w:rsid w:val="003F4F4C"/>
    <w:rsid w:val="00401C8D"/>
    <w:rsid w:val="00410A8E"/>
    <w:rsid w:val="00411686"/>
    <w:rsid w:val="00413AF8"/>
    <w:rsid w:val="0042120F"/>
    <w:rsid w:val="00437EFC"/>
    <w:rsid w:val="00441654"/>
    <w:rsid w:val="00456540"/>
    <w:rsid w:val="0046080C"/>
    <w:rsid w:val="00465D18"/>
    <w:rsid w:val="00465FFE"/>
    <w:rsid w:val="00473247"/>
    <w:rsid w:val="00475AF3"/>
    <w:rsid w:val="00481E20"/>
    <w:rsid w:val="004954A8"/>
    <w:rsid w:val="00496AC8"/>
    <w:rsid w:val="0049740E"/>
    <w:rsid w:val="004A7739"/>
    <w:rsid w:val="004B01D8"/>
    <w:rsid w:val="004B5261"/>
    <w:rsid w:val="004B7741"/>
    <w:rsid w:val="004C5164"/>
    <w:rsid w:val="004C592B"/>
    <w:rsid w:val="004C7266"/>
    <w:rsid w:val="004E2390"/>
    <w:rsid w:val="004E2782"/>
    <w:rsid w:val="004E6F59"/>
    <w:rsid w:val="004F4AFF"/>
    <w:rsid w:val="004F7CC7"/>
    <w:rsid w:val="00500027"/>
    <w:rsid w:val="00500CD4"/>
    <w:rsid w:val="00502CC7"/>
    <w:rsid w:val="00505E0B"/>
    <w:rsid w:val="00506624"/>
    <w:rsid w:val="00524825"/>
    <w:rsid w:val="00531882"/>
    <w:rsid w:val="0053260C"/>
    <w:rsid w:val="00532A2A"/>
    <w:rsid w:val="00540BB7"/>
    <w:rsid w:val="00543B51"/>
    <w:rsid w:val="005468D5"/>
    <w:rsid w:val="005542AE"/>
    <w:rsid w:val="0056412A"/>
    <w:rsid w:val="005707CE"/>
    <w:rsid w:val="00587A35"/>
    <w:rsid w:val="00590BD0"/>
    <w:rsid w:val="00595AEC"/>
    <w:rsid w:val="00597187"/>
    <w:rsid w:val="005A2E05"/>
    <w:rsid w:val="005A39A9"/>
    <w:rsid w:val="005A7605"/>
    <w:rsid w:val="005B4242"/>
    <w:rsid w:val="005C14AC"/>
    <w:rsid w:val="005C5F00"/>
    <w:rsid w:val="005D5C20"/>
    <w:rsid w:val="005E07FE"/>
    <w:rsid w:val="005E7C8A"/>
    <w:rsid w:val="005F11F9"/>
    <w:rsid w:val="005F2118"/>
    <w:rsid w:val="005F756F"/>
    <w:rsid w:val="005F7B7C"/>
    <w:rsid w:val="00607EE3"/>
    <w:rsid w:val="0061388C"/>
    <w:rsid w:val="00614CAF"/>
    <w:rsid w:val="00614DC4"/>
    <w:rsid w:val="00620DB9"/>
    <w:rsid w:val="0065039A"/>
    <w:rsid w:val="00655E84"/>
    <w:rsid w:val="006608C7"/>
    <w:rsid w:val="006633F5"/>
    <w:rsid w:val="00664983"/>
    <w:rsid w:val="00665F63"/>
    <w:rsid w:val="00680654"/>
    <w:rsid w:val="00693647"/>
    <w:rsid w:val="006B0309"/>
    <w:rsid w:val="006B750B"/>
    <w:rsid w:val="006C7064"/>
    <w:rsid w:val="006D700F"/>
    <w:rsid w:val="006E1859"/>
    <w:rsid w:val="006E2EA3"/>
    <w:rsid w:val="006E48CE"/>
    <w:rsid w:val="00700353"/>
    <w:rsid w:val="007051E0"/>
    <w:rsid w:val="007055F1"/>
    <w:rsid w:val="00705AB0"/>
    <w:rsid w:val="00705D33"/>
    <w:rsid w:val="0071665C"/>
    <w:rsid w:val="00724282"/>
    <w:rsid w:val="00724698"/>
    <w:rsid w:val="00731EBD"/>
    <w:rsid w:val="00736714"/>
    <w:rsid w:val="00747140"/>
    <w:rsid w:val="007535DF"/>
    <w:rsid w:val="00755478"/>
    <w:rsid w:val="007619D2"/>
    <w:rsid w:val="0076244D"/>
    <w:rsid w:val="007637B3"/>
    <w:rsid w:val="00766B2B"/>
    <w:rsid w:val="00776CFB"/>
    <w:rsid w:val="0078103F"/>
    <w:rsid w:val="007953C8"/>
    <w:rsid w:val="007A29C3"/>
    <w:rsid w:val="007A2AF9"/>
    <w:rsid w:val="007B4361"/>
    <w:rsid w:val="007B7C33"/>
    <w:rsid w:val="007C0B82"/>
    <w:rsid w:val="007C10F8"/>
    <w:rsid w:val="007C2198"/>
    <w:rsid w:val="007D4911"/>
    <w:rsid w:val="007D70C2"/>
    <w:rsid w:val="007E0D15"/>
    <w:rsid w:val="007E1A63"/>
    <w:rsid w:val="007F4AA6"/>
    <w:rsid w:val="007F4E53"/>
    <w:rsid w:val="008041CB"/>
    <w:rsid w:val="00811854"/>
    <w:rsid w:val="0081418D"/>
    <w:rsid w:val="00814798"/>
    <w:rsid w:val="00814EF7"/>
    <w:rsid w:val="00821F2A"/>
    <w:rsid w:val="00831519"/>
    <w:rsid w:val="00832859"/>
    <w:rsid w:val="0083298D"/>
    <w:rsid w:val="00832A53"/>
    <w:rsid w:val="00834225"/>
    <w:rsid w:val="00834E22"/>
    <w:rsid w:val="008402F7"/>
    <w:rsid w:val="0085312F"/>
    <w:rsid w:val="0086077B"/>
    <w:rsid w:val="00866231"/>
    <w:rsid w:val="008770F8"/>
    <w:rsid w:val="00884437"/>
    <w:rsid w:val="00890EF0"/>
    <w:rsid w:val="0089147E"/>
    <w:rsid w:val="00894E23"/>
    <w:rsid w:val="008968DA"/>
    <w:rsid w:val="008976F4"/>
    <w:rsid w:val="008A17FD"/>
    <w:rsid w:val="008B4127"/>
    <w:rsid w:val="008B614B"/>
    <w:rsid w:val="008B7203"/>
    <w:rsid w:val="008C0449"/>
    <w:rsid w:val="008C1AE3"/>
    <w:rsid w:val="008C258B"/>
    <w:rsid w:val="008C6FAB"/>
    <w:rsid w:val="008D6752"/>
    <w:rsid w:val="008E04F2"/>
    <w:rsid w:val="008E6C43"/>
    <w:rsid w:val="008E6CAA"/>
    <w:rsid w:val="008F6939"/>
    <w:rsid w:val="009154BD"/>
    <w:rsid w:val="00920BA6"/>
    <w:rsid w:val="00927F61"/>
    <w:rsid w:val="00931626"/>
    <w:rsid w:val="00932C89"/>
    <w:rsid w:val="00933B71"/>
    <w:rsid w:val="00947C1F"/>
    <w:rsid w:val="009524C3"/>
    <w:rsid w:val="009558C2"/>
    <w:rsid w:val="00956136"/>
    <w:rsid w:val="00960F94"/>
    <w:rsid w:val="009611AE"/>
    <w:rsid w:val="00963607"/>
    <w:rsid w:val="00974C83"/>
    <w:rsid w:val="00990B45"/>
    <w:rsid w:val="009A56D3"/>
    <w:rsid w:val="009C0FEB"/>
    <w:rsid w:val="009C4E8B"/>
    <w:rsid w:val="009C65B8"/>
    <w:rsid w:val="009C6EFB"/>
    <w:rsid w:val="009C79CE"/>
    <w:rsid w:val="009E6293"/>
    <w:rsid w:val="009E6AA5"/>
    <w:rsid w:val="009E6D67"/>
    <w:rsid w:val="00A00D2C"/>
    <w:rsid w:val="00A01171"/>
    <w:rsid w:val="00A015E2"/>
    <w:rsid w:val="00A057AA"/>
    <w:rsid w:val="00A17055"/>
    <w:rsid w:val="00A17862"/>
    <w:rsid w:val="00A20081"/>
    <w:rsid w:val="00A24CE3"/>
    <w:rsid w:val="00A254F3"/>
    <w:rsid w:val="00A277A3"/>
    <w:rsid w:val="00A30AEB"/>
    <w:rsid w:val="00A33919"/>
    <w:rsid w:val="00A40248"/>
    <w:rsid w:val="00A4179D"/>
    <w:rsid w:val="00A41A1A"/>
    <w:rsid w:val="00A44419"/>
    <w:rsid w:val="00A4562C"/>
    <w:rsid w:val="00A47A28"/>
    <w:rsid w:val="00A5148B"/>
    <w:rsid w:val="00A516EF"/>
    <w:rsid w:val="00A54277"/>
    <w:rsid w:val="00A54492"/>
    <w:rsid w:val="00A61325"/>
    <w:rsid w:val="00A72892"/>
    <w:rsid w:val="00A73127"/>
    <w:rsid w:val="00A849EC"/>
    <w:rsid w:val="00A85AEC"/>
    <w:rsid w:val="00A9138B"/>
    <w:rsid w:val="00AA015D"/>
    <w:rsid w:val="00AA215C"/>
    <w:rsid w:val="00AA4780"/>
    <w:rsid w:val="00AC1323"/>
    <w:rsid w:val="00AD0024"/>
    <w:rsid w:val="00AD1F0B"/>
    <w:rsid w:val="00AD50BE"/>
    <w:rsid w:val="00AD6953"/>
    <w:rsid w:val="00AD7EEB"/>
    <w:rsid w:val="00AE3A97"/>
    <w:rsid w:val="00AF4390"/>
    <w:rsid w:val="00B00BA9"/>
    <w:rsid w:val="00B06B30"/>
    <w:rsid w:val="00B14873"/>
    <w:rsid w:val="00B17019"/>
    <w:rsid w:val="00B2468B"/>
    <w:rsid w:val="00B25BC5"/>
    <w:rsid w:val="00B31B0D"/>
    <w:rsid w:val="00B3253A"/>
    <w:rsid w:val="00B32912"/>
    <w:rsid w:val="00B333F0"/>
    <w:rsid w:val="00B339DA"/>
    <w:rsid w:val="00B33A70"/>
    <w:rsid w:val="00B40DDB"/>
    <w:rsid w:val="00B4269F"/>
    <w:rsid w:val="00B61DF2"/>
    <w:rsid w:val="00B708B6"/>
    <w:rsid w:val="00B715D7"/>
    <w:rsid w:val="00B74D84"/>
    <w:rsid w:val="00B871AC"/>
    <w:rsid w:val="00B92F8D"/>
    <w:rsid w:val="00BA35CE"/>
    <w:rsid w:val="00BA63AF"/>
    <w:rsid w:val="00BB07DD"/>
    <w:rsid w:val="00BB0A0D"/>
    <w:rsid w:val="00BB15C7"/>
    <w:rsid w:val="00BB557A"/>
    <w:rsid w:val="00BC1979"/>
    <w:rsid w:val="00BC1C7D"/>
    <w:rsid w:val="00BC23B2"/>
    <w:rsid w:val="00BD64E7"/>
    <w:rsid w:val="00BF02CD"/>
    <w:rsid w:val="00BF7AAF"/>
    <w:rsid w:val="00C06426"/>
    <w:rsid w:val="00C072D2"/>
    <w:rsid w:val="00C0789B"/>
    <w:rsid w:val="00C07A2D"/>
    <w:rsid w:val="00C1046A"/>
    <w:rsid w:val="00C123E0"/>
    <w:rsid w:val="00C323A3"/>
    <w:rsid w:val="00C356C2"/>
    <w:rsid w:val="00C411DE"/>
    <w:rsid w:val="00C438CD"/>
    <w:rsid w:val="00C44D93"/>
    <w:rsid w:val="00C46629"/>
    <w:rsid w:val="00C46F47"/>
    <w:rsid w:val="00C471A5"/>
    <w:rsid w:val="00C47CB8"/>
    <w:rsid w:val="00C50AE8"/>
    <w:rsid w:val="00C53A41"/>
    <w:rsid w:val="00C56A0E"/>
    <w:rsid w:val="00C5784C"/>
    <w:rsid w:val="00C656CF"/>
    <w:rsid w:val="00C6692A"/>
    <w:rsid w:val="00C67D46"/>
    <w:rsid w:val="00C71319"/>
    <w:rsid w:val="00C72A2B"/>
    <w:rsid w:val="00C73ADC"/>
    <w:rsid w:val="00C740F5"/>
    <w:rsid w:val="00C767B1"/>
    <w:rsid w:val="00C77D79"/>
    <w:rsid w:val="00C8362D"/>
    <w:rsid w:val="00C8499F"/>
    <w:rsid w:val="00C91A5E"/>
    <w:rsid w:val="00C92D98"/>
    <w:rsid w:val="00C9314F"/>
    <w:rsid w:val="00C94FDD"/>
    <w:rsid w:val="00CB59D0"/>
    <w:rsid w:val="00CC13F8"/>
    <w:rsid w:val="00CC3A9F"/>
    <w:rsid w:val="00CD2BC5"/>
    <w:rsid w:val="00CE0B7D"/>
    <w:rsid w:val="00CE4C7C"/>
    <w:rsid w:val="00CF05A6"/>
    <w:rsid w:val="00CF2B15"/>
    <w:rsid w:val="00CF3D39"/>
    <w:rsid w:val="00CF4A96"/>
    <w:rsid w:val="00D034BF"/>
    <w:rsid w:val="00D03557"/>
    <w:rsid w:val="00D11FE8"/>
    <w:rsid w:val="00D15C1D"/>
    <w:rsid w:val="00D27D3E"/>
    <w:rsid w:val="00D33198"/>
    <w:rsid w:val="00D45D22"/>
    <w:rsid w:val="00D52C48"/>
    <w:rsid w:val="00D578A8"/>
    <w:rsid w:val="00D65290"/>
    <w:rsid w:val="00D658CF"/>
    <w:rsid w:val="00D7184D"/>
    <w:rsid w:val="00D718FE"/>
    <w:rsid w:val="00D73DB3"/>
    <w:rsid w:val="00D75014"/>
    <w:rsid w:val="00D75A74"/>
    <w:rsid w:val="00D86F3D"/>
    <w:rsid w:val="00D9174B"/>
    <w:rsid w:val="00D9642F"/>
    <w:rsid w:val="00DB3B33"/>
    <w:rsid w:val="00DB6DDA"/>
    <w:rsid w:val="00DC1736"/>
    <w:rsid w:val="00DC4C33"/>
    <w:rsid w:val="00DC5242"/>
    <w:rsid w:val="00DD09D3"/>
    <w:rsid w:val="00DD0F1C"/>
    <w:rsid w:val="00DD192A"/>
    <w:rsid w:val="00DD3F29"/>
    <w:rsid w:val="00DD4773"/>
    <w:rsid w:val="00DD7B44"/>
    <w:rsid w:val="00DE34DA"/>
    <w:rsid w:val="00DE35C1"/>
    <w:rsid w:val="00DE3BFC"/>
    <w:rsid w:val="00DE3C71"/>
    <w:rsid w:val="00DF0B98"/>
    <w:rsid w:val="00DF4729"/>
    <w:rsid w:val="00DF5523"/>
    <w:rsid w:val="00DF63CE"/>
    <w:rsid w:val="00E00346"/>
    <w:rsid w:val="00E02439"/>
    <w:rsid w:val="00E02784"/>
    <w:rsid w:val="00E101CB"/>
    <w:rsid w:val="00E11486"/>
    <w:rsid w:val="00E1177B"/>
    <w:rsid w:val="00E156E3"/>
    <w:rsid w:val="00E24374"/>
    <w:rsid w:val="00E3573C"/>
    <w:rsid w:val="00E42B9B"/>
    <w:rsid w:val="00E4421F"/>
    <w:rsid w:val="00E459DB"/>
    <w:rsid w:val="00E5494A"/>
    <w:rsid w:val="00E62865"/>
    <w:rsid w:val="00E72FEC"/>
    <w:rsid w:val="00E74E75"/>
    <w:rsid w:val="00E77C2E"/>
    <w:rsid w:val="00E806F6"/>
    <w:rsid w:val="00E81BEB"/>
    <w:rsid w:val="00E82384"/>
    <w:rsid w:val="00E82948"/>
    <w:rsid w:val="00E8699B"/>
    <w:rsid w:val="00E86FC6"/>
    <w:rsid w:val="00E91199"/>
    <w:rsid w:val="00E94C31"/>
    <w:rsid w:val="00E95C02"/>
    <w:rsid w:val="00E95EEC"/>
    <w:rsid w:val="00EA4C7F"/>
    <w:rsid w:val="00EB3E24"/>
    <w:rsid w:val="00EB46CB"/>
    <w:rsid w:val="00EC1224"/>
    <w:rsid w:val="00EC1AD5"/>
    <w:rsid w:val="00EE72F0"/>
    <w:rsid w:val="00EF139D"/>
    <w:rsid w:val="00EF179A"/>
    <w:rsid w:val="00F01B91"/>
    <w:rsid w:val="00F03622"/>
    <w:rsid w:val="00F072B2"/>
    <w:rsid w:val="00F14653"/>
    <w:rsid w:val="00F3104F"/>
    <w:rsid w:val="00F40EF4"/>
    <w:rsid w:val="00F46A65"/>
    <w:rsid w:val="00F52C8A"/>
    <w:rsid w:val="00F55FAA"/>
    <w:rsid w:val="00F6203B"/>
    <w:rsid w:val="00F63828"/>
    <w:rsid w:val="00F641D6"/>
    <w:rsid w:val="00F72D46"/>
    <w:rsid w:val="00F73CFC"/>
    <w:rsid w:val="00F7529F"/>
    <w:rsid w:val="00F75928"/>
    <w:rsid w:val="00F925B3"/>
    <w:rsid w:val="00FA107B"/>
    <w:rsid w:val="00FA113D"/>
    <w:rsid w:val="00FB0CC6"/>
    <w:rsid w:val="00FB2563"/>
    <w:rsid w:val="00FB4158"/>
    <w:rsid w:val="00FB76ED"/>
    <w:rsid w:val="00FB7AAC"/>
    <w:rsid w:val="00FD794F"/>
    <w:rsid w:val="00FE7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33919"/>
    <w:rPr>
      <w:sz w:val="24"/>
      <w:szCs w:val="24"/>
    </w:rPr>
  </w:style>
  <w:style w:type="paragraph" w:styleId="1">
    <w:name w:val="heading 1"/>
    <w:basedOn w:val="a"/>
    <w:next w:val="a"/>
    <w:link w:val="10"/>
    <w:uiPriority w:val="99"/>
    <w:qFormat/>
    <w:rsid w:val="005F756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F756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F756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C09AA"/>
    <w:pPr>
      <w:keepNext/>
      <w:ind w:firstLine="284"/>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402F"/>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22402F"/>
    <w:rPr>
      <w:rFonts w:ascii="Cambria" w:hAnsi="Cambria" w:cs="Times New Roman"/>
      <w:b/>
      <w:bCs/>
      <w:i/>
      <w:iCs/>
      <w:sz w:val="28"/>
      <w:szCs w:val="28"/>
    </w:rPr>
  </w:style>
  <w:style w:type="character" w:customStyle="1" w:styleId="30">
    <w:name w:val="Заголовок 3 Знак"/>
    <w:basedOn w:val="a0"/>
    <w:link w:val="3"/>
    <w:uiPriority w:val="99"/>
    <w:semiHidden/>
    <w:locked/>
    <w:rsid w:val="0022402F"/>
    <w:rPr>
      <w:rFonts w:ascii="Cambria" w:hAnsi="Cambria" w:cs="Times New Roman"/>
      <w:b/>
      <w:bCs/>
      <w:sz w:val="26"/>
      <w:szCs w:val="26"/>
    </w:rPr>
  </w:style>
  <w:style w:type="character" w:customStyle="1" w:styleId="40">
    <w:name w:val="Заголовок 4 Знак"/>
    <w:basedOn w:val="a0"/>
    <w:link w:val="4"/>
    <w:uiPriority w:val="99"/>
    <w:semiHidden/>
    <w:locked/>
    <w:rsid w:val="0022402F"/>
    <w:rPr>
      <w:rFonts w:ascii="Calibri" w:hAnsi="Calibri" w:cs="Times New Roman"/>
      <w:b/>
      <w:bCs/>
      <w:sz w:val="28"/>
      <w:szCs w:val="28"/>
    </w:rPr>
  </w:style>
  <w:style w:type="table" w:styleId="a3">
    <w:name w:val="Table Grid"/>
    <w:basedOn w:val="a1"/>
    <w:uiPriority w:val="99"/>
    <w:rsid w:val="000C09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0C09AA"/>
    <w:pPr>
      <w:spacing w:after="120" w:line="480" w:lineRule="auto"/>
      <w:ind w:left="283"/>
    </w:pPr>
  </w:style>
  <w:style w:type="character" w:customStyle="1" w:styleId="22">
    <w:name w:val="Основной текст с отступом 2 Знак"/>
    <w:basedOn w:val="a0"/>
    <w:link w:val="21"/>
    <w:uiPriority w:val="99"/>
    <w:semiHidden/>
    <w:locked/>
    <w:rsid w:val="0022402F"/>
    <w:rPr>
      <w:rFonts w:cs="Times New Roman"/>
      <w:sz w:val="24"/>
      <w:szCs w:val="24"/>
    </w:rPr>
  </w:style>
  <w:style w:type="paragraph" w:styleId="a4">
    <w:name w:val="Body Text"/>
    <w:basedOn w:val="a"/>
    <w:link w:val="a5"/>
    <w:uiPriority w:val="99"/>
    <w:rsid w:val="00F01B91"/>
    <w:pPr>
      <w:spacing w:after="120"/>
    </w:pPr>
  </w:style>
  <w:style w:type="character" w:customStyle="1" w:styleId="a5">
    <w:name w:val="Основной текст Знак"/>
    <w:basedOn w:val="a0"/>
    <w:link w:val="a4"/>
    <w:uiPriority w:val="99"/>
    <w:semiHidden/>
    <w:locked/>
    <w:rsid w:val="0022402F"/>
    <w:rPr>
      <w:rFonts w:cs="Times New Roman"/>
      <w:sz w:val="24"/>
      <w:szCs w:val="24"/>
    </w:rPr>
  </w:style>
  <w:style w:type="paragraph" w:customStyle="1" w:styleId="ConsPlusNormal">
    <w:name w:val="ConsPlusNormal"/>
    <w:uiPriority w:val="99"/>
    <w:rsid w:val="00F01B91"/>
    <w:pPr>
      <w:autoSpaceDE w:val="0"/>
      <w:autoSpaceDN w:val="0"/>
      <w:adjustRightInd w:val="0"/>
      <w:ind w:firstLine="720"/>
    </w:pPr>
    <w:rPr>
      <w:rFonts w:ascii="Arial" w:hAnsi="Arial" w:cs="Arial"/>
      <w:sz w:val="20"/>
      <w:szCs w:val="20"/>
    </w:rPr>
  </w:style>
  <w:style w:type="paragraph" w:styleId="a6">
    <w:name w:val="Balloon Text"/>
    <w:basedOn w:val="a"/>
    <w:link w:val="a7"/>
    <w:uiPriority w:val="99"/>
    <w:semiHidden/>
    <w:rsid w:val="00E8699B"/>
    <w:rPr>
      <w:rFonts w:ascii="Tahoma" w:hAnsi="Tahoma" w:cs="Tahoma"/>
      <w:sz w:val="16"/>
      <w:szCs w:val="16"/>
    </w:rPr>
  </w:style>
  <w:style w:type="character" w:customStyle="1" w:styleId="a7">
    <w:name w:val="Текст выноски Знак"/>
    <w:basedOn w:val="a0"/>
    <w:link w:val="a6"/>
    <w:uiPriority w:val="99"/>
    <w:semiHidden/>
    <w:locked/>
    <w:rsid w:val="0022402F"/>
    <w:rPr>
      <w:rFonts w:ascii="Tahoma" w:hAnsi="Tahoma" w:cs="Tahoma"/>
      <w:sz w:val="16"/>
      <w:szCs w:val="16"/>
    </w:rPr>
  </w:style>
  <w:style w:type="paragraph" w:styleId="31">
    <w:name w:val="Body Text 3"/>
    <w:basedOn w:val="a"/>
    <w:link w:val="32"/>
    <w:uiPriority w:val="99"/>
    <w:rsid w:val="005F756F"/>
    <w:pPr>
      <w:jc w:val="both"/>
    </w:pPr>
    <w:rPr>
      <w:b/>
      <w:bCs/>
      <w:sz w:val="28"/>
      <w:szCs w:val="28"/>
    </w:rPr>
  </w:style>
  <w:style w:type="character" w:customStyle="1" w:styleId="32">
    <w:name w:val="Основной текст 3 Знак"/>
    <w:basedOn w:val="a0"/>
    <w:link w:val="31"/>
    <w:uiPriority w:val="99"/>
    <w:semiHidden/>
    <w:locked/>
    <w:rsid w:val="0022402F"/>
    <w:rPr>
      <w:rFonts w:cs="Times New Roman"/>
      <w:sz w:val="16"/>
      <w:szCs w:val="16"/>
    </w:rPr>
  </w:style>
  <w:style w:type="paragraph" w:styleId="a8">
    <w:name w:val="Block Text"/>
    <w:basedOn w:val="a"/>
    <w:uiPriority w:val="99"/>
    <w:rsid w:val="005F756F"/>
    <w:pPr>
      <w:ind w:left="142" w:right="33" w:firstLine="567"/>
      <w:jc w:val="both"/>
    </w:pPr>
    <w:rPr>
      <w:sz w:val="20"/>
      <w:szCs w:val="20"/>
    </w:rPr>
  </w:style>
  <w:style w:type="paragraph" w:styleId="a9">
    <w:name w:val="Normal (Web)"/>
    <w:basedOn w:val="a"/>
    <w:uiPriority w:val="99"/>
    <w:rsid w:val="005F756F"/>
    <w:pPr>
      <w:spacing w:before="100" w:after="100"/>
    </w:pPr>
    <w:rPr>
      <w:rFonts w:ascii="Verdana" w:hAnsi="Verdana" w:cs="Verdana"/>
      <w:color w:val="000000"/>
      <w:sz w:val="21"/>
      <w:szCs w:val="21"/>
    </w:rPr>
  </w:style>
  <w:style w:type="paragraph" w:customStyle="1" w:styleId="fieldcomment">
    <w:name w:val="field_comment"/>
    <w:basedOn w:val="a"/>
    <w:uiPriority w:val="99"/>
    <w:rsid w:val="005F756F"/>
    <w:pPr>
      <w:spacing w:before="45" w:after="45"/>
    </w:pPr>
    <w:rPr>
      <w:rFonts w:ascii="Arial" w:hAnsi="Arial" w:cs="Arial"/>
      <w:sz w:val="9"/>
      <w:szCs w:val="9"/>
      <w:lang w:val="en-US" w:eastAsia="en-US"/>
    </w:rPr>
  </w:style>
  <w:style w:type="paragraph" w:customStyle="1" w:styleId="fieldname">
    <w:name w:val="field_name"/>
    <w:basedOn w:val="a"/>
    <w:uiPriority w:val="99"/>
    <w:rsid w:val="005F756F"/>
    <w:pPr>
      <w:spacing w:before="45" w:after="45"/>
      <w:jc w:val="right"/>
    </w:pPr>
    <w:rPr>
      <w:rFonts w:ascii="Arial" w:hAnsi="Arial" w:cs="Arial"/>
      <w:b/>
      <w:bCs/>
      <w:sz w:val="16"/>
      <w:szCs w:val="16"/>
      <w:lang w:val="en-US" w:eastAsia="en-US"/>
    </w:rPr>
  </w:style>
  <w:style w:type="paragraph" w:customStyle="1" w:styleId="signfield">
    <w:name w:val="sign_field"/>
    <w:basedOn w:val="a"/>
    <w:uiPriority w:val="99"/>
    <w:rsid w:val="005F756F"/>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uiPriority w:val="99"/>
    <w:rsid w:val="005F756F"/>
    <w:pPr>
      <w:spacing w:after="150"/>
      <w:ind w:left="6120"/>
      <w:jc w:val="center"/>
      <w:textAlignment w:val="top"/>
    </w:pPr>
    <w:rPr>
      <w:rFonts w:ascii="Arial" w:hAnsi="Arial" w:cs="Arial"/>
      <w:lang w:val="en-US" w:eastAsia="en-US"/>
    </w:rPr>
  </w:style>
  <w:style w:type="paragraph" w:customStyle="1" w:styleId="fielddata">
    <w:name w:val="field_data"/>
    <w:basedOn w:val="a"/>
    <w:uiPriority w:val="99"/>
    <w:rsid w:val="005F756F"/>
    <w:pPr>
      <w:spacing w:before="45" w:after="45"/>
    </w:pPr>
    <w:rPr>
      <w:rFonts w:ascii="Arial" w:hAnsi="Arial" w:cs="Arial"/>
      <w:sz w:val="16"/>
      <w:szCs w:val="16"/>
      <w:lang w:val="en-US" w:eastAsia="en-US"/>
    </w:rPr>
  </w:style>
  <w:style w:type="character" w:customStyle="1" w:styleId="fieldcomment1">
    <w:name w:val="field_comment1"/>
    <w:uiPriority w:val="99"/>
    <w:rsid w:val="005F756F"/>
    <w:rPr>
      <w:rFonts w:ascii="Times New Roman" w:hAnsi="Times New Roman"/>
      <w:sz w:val="9"/>
    </w:rPr>
  </w:style>
  <w:style w:type="paragraph" w:styleId="aa">
    <w:name w:val="footer"/>
    <w:basedOn w:val="a"/>
    <w:link w:val="ab"/>
    <w:uiPriority w:val="99"/>
    <w:rsid w:val="003A3414"/>
    <w:pPr>
      <w:tabs>
        <w:tab w:val="center" w:pos="4677"/>
        <w:tab w:val="right" w:pos="9355"/>
      </w:tabs>
    </w:pPr>
  </w:style>
  <w:style w:type="character" w:customStyle="1" w:styleId="ab">
    <w:name w:val="Нижний колонтитул Знак"/>
    <w:basedOn w:val="a0"/>
    <w:link w:val="aa"/>
    <w:uiPriority w:val="99"/>
    <w:semiHidden/>
    <w:locked/>
    <w:rsid w:val="0022402F"/>
    <w:rPr>
      <w:rFonts w:cs="Times New Roman"/>
      <w:sz w:val="24"/>
      <w:szCs w:val="24"/>
    </w:rPr>
  </w:style>
  <w:style w:type="character" w:styleId="ac">
    <w:name w:val="page number"/>
    <w:basedOn w:val="a0"/>
    <w:uiPriority w:val="99"/>
    <w:rsid w:val="003A3414"/>
    <w:rPr>
      <w:rFonts w:cs="Times New Roman"/>
    </w:rPr>
  </w:style>
  <w:style w:type="paragraph" w:customStyle="1" w:styleId="33">
    <w:name w:val="Âåðòèêàëüíûé îòñòóï 3"/>
    <w:uiPriority w:val="99"/>
    <w:rsid w:val="007C10F8"/>
    <w:pPr>
      <w:autoSpaceDE w:val="0"/>
      <w:autoSpaceDN w:val="0"/>
      <w:jc w:val="center"/>
    </w:pPr>
    <w:rPr>
      <w:b/>
      <w:bCs/>
      <w:sz w:val="28"/>
      <w:szCs w:val="28"/>
    </w:rPr>
  </w:style>
  <w:style w:type="paragraph" w:styleId="HTML">
    <w:name w:val="HTML Preformatted"/>
    <w:basedOn w:val="a"/>
    <w:link w:val="HTML0"/>
    <w:uiPriority w:val="99"/>
    <w:rsid w:val="00F64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22402F"/>
    <w:rPr>
      <w:rFonts w:ascii="Courier New" w:hAnsi="Courier New" w:cs="Courier New"/>
      <w:sz w:val="20"/>
      <w:szCs w:val="20"/>
    </w:rPr>
  </w:style>
  <w:style w:type="paragraph" w:customStyle="1" w:styleId="separator">
    <w:name w:val="separator"/>
    <w:basedOn w:val="a"/>
    <w:uiPriority w:val="99"/>
    <w:rsid w:val="00A849EC"/>
    <w:pPr>
      <w:spacing w:before="100" w:beforeAutospacing="1" w:after="100" w:afterAutospacing="1"/>
    </w:pPr>
    <w:rPr>
      <w:color w:val="000080"/>
    </w:rPr>
  </w:style>
  <w:style w:type="paragraph" w:styleId="ad">
    <w:name w:val="header"/>
    <w:basedOn w:val="a"/>
    <w:link w:val="ae"/>
    <w:uiPriority w:val="99"/>
    <w:rsid w:val="00386F76"/>
    <w:pPr>
      <w:tabs>
        <w:tab w:val="center" w:pos="4677"/>
        <w:tab w:val="right" w:pos="9355"/>
      </w:tabs>
    </w:pPr>
  </w:style>
  <w:style w:type="character" w:customStyle="1" w:styleId="ae">
    <w:name w:val="Верхний колонтитул Знак"/>
    <w:basedOn w:val="a0"/>
    <w:link w:val="ad"/>
    <w:uiPriority w:val="99"/>
    <w:semiHidden/>
    <w:locked/>
    <w:rsid w:val="00465FFE"/>
    <w:rPr>
      <w:rFonts w:cs="Times New Roman"/>
      <w:sz w:val="24"/>
      <w:szCs w:val="24"/>
    </w:rPr>
  </w:style>
  <w:style w:type="character" w:styleId="af">
    <w:name w:val="Hyperlink"/>
    <w:basedOn w:val="a0"/>
    <w:uiPriority w:val="99"/>
    <w:locked/>
    <w:rsid w:val="00316696"/>
    <w:rPr>
      <w:rFonts w:cs="Times New Roman"/>
      <w:color w:val="0000FF" w:themeColor="hyperlink"/>
      <w:u w:val="single"/>
    </w:rPr>
  </w:style>
  <w:style w:type="paragraph" w:styleId="af0">
    <w:name w:val="List Paragraph"/>
    <w:basedOn w:val="a"/>
    <w:uiPriority w:val="34"/>
    <w:qFormat/>
    <w:rsid w:val="00990B45"/>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63476510">
      <w:marLeft w:val="0"/>
      <w:marRight w:val="0"/>
      <w:marTop w:val="0"/>
      <w:marBottom w:val="0"/>
      <w:divBdr>
        <w:top w:val="none" w:sz="0" w:space="0" w:color="auto"/>
        <w:left w:val="none" w:sz="0" w:space="0" w:color="auto"/>
        <w:bottom w:val="none" w:sz="0" w:space="0" w:color="auto"/>
        <w:right w:val="none" w:sz="0" w:space="0" w:color="auto"/>
      </w:divBdr>
    </w:div>
    <w:div w:id="18634765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012_частично действующая редакция</Статус_x0020_документа>
    <_EndDate xmlns="http://schemas.microsoft.com/sharepoint/v3/fields">14.04.2020</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2DAF1-7C1C-408A-99B6-B979E1245C95}"/>
</file>

<file path=customXml/itemProps2.xml><?xml version="1.0" encoding="utf-8"?>
<ds:datastoreItem xmlns:ds="http://schemas.openxmlformats.org/officeDocument/2006/customXml" ds:itemID="{89FA51BA-DFC5-42DD-8555-B64AE8FDAB85}"/>
</file>

<file path=customXml/itemProps3.xml><?xml version="1.0" encoding="utf-8"?>
<ds:datastoreItem xmlns:ds="http://schemas.openxmlformats.org/officeDocument/2006/customXml" ds:itemID="{F6CACE79-5B22-46E2-B63D-55724D0C8B54}"/>
</file>

<file path=customXml/itemProps4.xml><?xml version="1.0" encoding="utf-8"?>
<ds:datastoreItem xmlns:ds="http://schemas.openxmlformats.org/officeDocument/2006/customXml" ds:itemID="{070E33D4-E18A-4215-97E8-6D1E7EB514DF}"/>
</file>

<file path=docProps/app.xml><?xml version="1.0" encoding="utf-8"?>
<Properties xmlns="http://schemas.openxmlformats.org/officeDocument/2006/extended-properties" xmlns:vt="http://schemas.openxmlformats.org/officeDocument/2006/docPropsVTypes">
  <Template>Normal.dotm</Template>
  <TotalTime>0</TotalTime>
  <Pages>18</Pages>
  <Words>7013</Words>
  <Characters>48359</Characters>
  <Application>Microsoft Office Word</Application>
  <DocSecurity>0</DocSecurity>
  <Lines>402</Lines>
  <Paragraphs>110</Paragraphs>
  <ScaleCrop>false</ScaleCrop>
  <Company>ᜄс„䄢⃴ᑂ∔</Company>
  <LinksUpToDate>false</LinksUpToDate>
  <CharactersWithSpaces>55262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 № 2</dc:title>
  <dc:creator>Антонова</dc:creator>
  <cp:lastModifiedBy>malyhina</cp:lastModifiedBy>
  <cp:revision>2</cp:revision>
  <cp:lastPrinted>2019-10-14T16:11:00Z</cp:lastPrinted>
  <dcterms:created xsi:type="dcterms:W3CDTF">2020-04-14T14:05:00Z</dcterms:created>
  <dcterms:modified xsi:type="dcterms:W3CDTF">2020-04-14T14:05:00Z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Статус">
    <vt:lpwstr>В работе, файл созд. заново</vt:lpwstr>
  </property>
  <property fmtid="{D5CDD505-2E9C-101B-9397-08002B2CF9AE}" pid="3" name="ContentType">
    <vt:lpwstr>Документ</vt:lpwstr>
  </property>
  <property fmtid="{D5CDD505-2E9C-101B-9397-08002B2CF9AE}" pid="4" name="ContentTypeId">
    <vt:lpwstr>0x0101000A208CA240C4E143B0AB8415F7D7A4C9</vt:lpwstr>
  </property>
</Properties>
</file>