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35" w:rsidRDefault="00341635" w:rsidP="008A3ABB">
      <w:pPr>
        <w:pStyle w:val="a3"/>
        <w:ind w:left="4140"/>
        <w:jc w:val="right"/>
        <w:rPr>
          <w:rFonts w:ascii="Times New Roman" w:hAnsi="Times New Roman" w:cs="Times New Roman"/>
        </w:rPr>
      </w:pPr>
    </w:p>
    <w:p w:rsidR="008A3ABB" w:rsidRPr="00A16525" w:rsidRDefault="008A3ABB" w:rsidP="008A3ABB">
      <w:pPr>
        <w:pStyle w:val="a3"/>
        <w:ind w:left="4140"/>
        <w:jc w:val="right"/>
        <w:rPr>
          <w:rFonts w:ascii="Times New Roman" w:hAnsi="Times New Roman" w:cs="Times New Roman"/>
        </w:rPr>
      </w:pPr>
      <w:r w:rsidRPr="00A16525">
        <w:rPr>
          <w:rFonts w:ascii="Times New Roman" w:hAnsi="Times New Roman" w:cs="Times New Roman"/>
        </w:rPr>
        <w:t>УТВЕРЖДЕНО</w:t>
      </w:r>
    </w:p>
    <w:p w:rsidR="008A3ABB" w:rsidRPr="00A16525" w:rsidRDefault="008A3ABB" w:rsidP="008A3ABB">
      <w:pPr>
        <w:pStyle w:val="a3"/>
        <w:ind w:left="4140"/>
        <w:jc w:val="right"/>
        <w:rPr>
          <w:rFonts w:ascii="Times New Roman" w:hAnsi="Times New Roman" w:cs="Times New Roman"/>
        </w:rPr>
      </w:pPr>
      <w:r w:rsidRPr="00A16525">
        <w:rPr>
          <w:rFonts w:ascii="Times New Roman" w:hAnsi="Times New Roman" w:cs="Times New Roman"/>
        </w:rPr>
        <w:t>Приказом Генерального директора</w:t>
      </w:r>
    </w:p>
    <w:p w:rsidR="008A3ABB" w:rsidRDefault="008A3ABB" w:rsidP="008A3ABB">
      <w:pPr>
        <w:pStyle w:val="2"/>
        <w:ind w:firstLine="720"/>
        <w:jc w:val="right"/>
        <w:rPr>
          <w:sz w:val="24"/>
          <w:szCs w:val="24"/>
          <w:lang w:val="ru-RU"/>
        </w:rPr>
      </w:pPr>
      <w:r w:rsidRPr="00BC3573">
        <w:rPr>
          <w:sz w:val="24"/>
          <w:szCs w:val="24"/>
          <w:lang w:val="ru-RU"/>
        </w:rPr>
        <w:t xml:space="preserve">Закрытое акционерное общество </w:t>
      </w:r>
    </w:p>
    <w:p w:rsidR="008A3ABB" w:rsidRPr="00FD257E" w:rsidRDefault="008A3ABB" w:rsidP="008A3ABB">
      <w:pPr>
        <w:pStyle w:val="2"/>
        <w:ind w:firstLine="720"/>
        <w:jc w:val="right"/>
        <w:rPr>
          <w:sz w:val="24"/>
          <w:szCs w:val="24"/>
          <w:lang w:val="ru-RU"/>
        </w:rPr>
      </w:pPr>
      <w:r w:rsidRPr="00BC3573">
        <w:rPr>
          <w:sz w:val="24"/>
          <w:szCs w:val="24"/>
          <w:lang w:val="ru-RU"/>
        </w:rPr>
        <w:t>«</w:t>
      </w:r>
      <w:r w:rsidRPr="00FD257E">
        <w:rPr>
          <w:sz w:val="24"/>
          <w:szCs w:val="24"/>
          <w:lang w:val="ru-RU"/>
        </w:rPr>
        <w:t>Управляющая Компания ГФТ КАПИТАЛ»</w:t>
      </w:r>
    </w:p>
    <w:p w:rsidR="00830965" w:rsidRDefault="008A3ABB" w:rsidP="009F3B27">
      <w:pPr>
        <w:pStyle w:val="a3"/>
        <w:ind w:left="4140"/>
        <w:rPr>
          <w:rFonts w:ascii="Times New Roman" w:hAnsi="Times New Roman" w:cs="Times New Roman"/>
        </w:rPr>
      </w:pPr>
      <w:r w:rsidRPr="00FD257E">
        <w:rPr>
          <w:rFonts w:ascii="Times New Roman" w:hAnsi="Times New Roman" w:cs="Times New Roman"/>
        </w:rPr>
        <w:t xml:space="preserve">                 </w:t>
      </w:r>
      <w:r w:rsidR="000C0D1A">
        <w:rPr>
          <w:rFonts w:ascii="Times New Roman" w:hAnsi="Times New Roman" w:cs="Times New Roman"/>
        </w:rPr>
        <w:t xml:space="preserve">                              </w:t>
      </w:r>
      <w:r w:rsidRPr="00FD257E">
        <w:rPr>
          <w:rFonts w:ascii="Times New Roman" w:hAnsi="Times New Roman" w:cs="Times New Roman"/>
        </w:rPr>
        <w:t xml:space="preserve">№ </w:t>
      </w:r>
      <w:r w:rsidR="000C0D1A">
        <w:rPr>
          <w:rFonts w:ascii="Times New Roman" w:hAnsi="Times New Roman" w:cs="Times New Roman"/>
        </w:rPr>
        <w:t>9</w:t>
      </w:r>
      <w:r w:rsidR="009F3B27" w:rsidRPr="000C0D1A">
        <w:rPr>
          <w:rFonts w:ascii="Times New Roman" w:hAnsi="Times New Roman" w:cs="Times New Roman"/>
        </w:rPr>
        <w:t xml:space="preserve"> </w:t>
      </w:r>
      <w:r w:rsidRPr="00FD257E">
        <w:rPr>
          <w:rFonts w:ascii="Times New Roman" w:hAnsi="Times New Roman" w:cs="Times New Roman"/>
        </w:rPr>
        <w:t>от «</w:t>
      </w:r>
      <w:r w:rsidR="000C0D1A">
        <w:rPr>
          <w:rFonts w:ascii="Times New Roman" w:hAnsi="Times New Roman" w:cs="Times New Roman"/>
        </w:rPr>
        <w:t>02</w:t>
      </w:r>
      <w:r>
        <w:rPr>
          <w:rFonts w:ascii="Times New Roman" w:hAnsi="Times New Roman" w:cs="Times New Roman"/>
        </w:rPr>
        <w:t>»</w:t>
      </w:r>
      <w:r w:rsidRPr="00FD257E">
        <w:rPr>
          <w:rFonts w:ascii="Times New Roman" w:hAnsi="Times New Roman" w:cs="Times New Roman"/>
        </w:rPr>
        <w:t xml:space="preserve"> </w:t>
      </w:r>
      <w:r w:rsidR="000C0D1A">
        <w:rPr>
          <w:rFonts w:ascii="Times New Roman" w:hAnsi="Times New Roman" w:cs="Times New Roman"/>
        </w:rPr>
        <w:t>марта</w:t>
      </w:r>
      <w:r w:rsidRPr="00FD257E">
        <w:rPr>
          <w:rFonts w:ascii="Times New Roman" w:hAnsi="Times New Roman" w:cs="Times New Roman"/>
        </w:rPr>
        <w:t xml:space="preserve"> 201</w:t>
      </w:r>
      <w:r w:rsidR="000C0D1A">
        <w:rPr>
          <w:rFonts w:ascii="Times New Roman" w:hAnsi="Times New Roman" w:cs="Times New Roman"/>
        </w:rPr>
        <w:t>5 года</w:t>
      </w:r>
    </w:p>
    <w:p w:rsidR="00830965" w:rsidRPr="00051657" w:rsidRDefault="00830965" w:rsidP="00620783">
      <w:pPr>
        <w:pStyle w:val="a3"/>
        <w:ind w:left="4140"/>
        <w:jc w:val="right"/>
        <w:rPr>
          <w:rFonts w:ascii="Times New Roman" w:hAnsi="Times New Roman" w:cs="Times New Roman"/>
        </w:rPr>
      </w:pPr>
    </w:p>
    <w:p w:rsidR="00CB366F" w:rsidRPr="000C0D1A" w:rsidRDefault="00CB366F" w:rsidP="00CB366F">
      <w:pPr>
        <w:jc w:val="center"/>
      </w:pPr>
    </w:p>
    <w:p w:rsidR="009F3B27" w:rsidRPr="000C0D1A" w:rsidRDefault="009F3B27" w:rsidP="00CB366F">
      <w:pPr>
        <w:jc w:val="center"/>
      </w:pPr>
    </w:p>
    <w:p w:rsidR="009F3B27" w:rsidRPr="000C0D1A" w:rsidRDefault="009F3B27" w:rsidP="00CB366F">
      <w:pPr>
        <w:jc w:val="center"/>
      </w:pPr>
    </w:p>
    <w:p w:rsidR="00CB366F" w:rsidRPr="00A16525" w:rsidRDefault="00CB366F" w:rsidP="00CB366F">
      <w:pPr>
        <w:pStyle w:val="a3"/>
        <w:spacing w:after="60"/>
        <w:ind w:firstLine="284"/>
        <w:rPr>
          <w:rFonts w:ascii="Times New Roman" w:hAnsi="Times New Roman" w:cs="Times New Roman"/>
          <w:bCs/>
        </w:rPr>
      </w:pPr>
      <w:r w:rsidRPr="00C659B3">
        <w:rPr>
          <w:rFonts w:ascii="Times New Roman" w:hAnsi="Times New Roman" w:cs="Times New Roman"/>
          <w:bCs/>
        </w:rPr>
        <w:t xml:space="preserve">Изменения и дополнения </w:t>
      </w:r>
      <w:r w:rsidR="0047092C" w:rsidRPr="00C659B3">
        <w:rPr>
          <w:rFonts w:ascii="Times New Roman" w:hAnsi="Times New Roman" w:cs="Times New Roman"/>
          <w:bCs/>
        </w:rPr>
        <w:t xml:space="preserve">№ </w:t>
      </w:r>
      <w:r w:rsidR="000C0D1A">
        <w:rPr>
          <w:rFonts w:ascii="Times New Roman" w:hAnsi="Times New Roman" w:cs="Times New Roman"/>
          <w:bCs/>
        </w:rPr>
        <w:t>006</w:t>
      </w:r>
    </w:p>
    <w:p w:rsidR="00CB366F" w:rsidRPr="00A16525" w:rsidRDefault="00CB366F" w:rsidP="00CB366F">
      <w:pPr>
        <w:pStyle w:val="a3"/>
        <w:spacing w:after="60"/>
        <w:ind w:firstLine="284"/>
        <w:rPr>
          <w:rFonts w:ascii="Times New Roman" w:hAnsi="Times New Roman" w:cs="Times New Roman"/>
          <w:bCs/>
        </w:rPr>
      </w:pPr>
      <w:r w:rsidRPr="00A16525">
        <w:rPr>
          <w:rFonts w:ascii="Times New Roman" w:hAnsi="Times New Roman" w:cs="Times New Roman"/>
          <w:bCs/>
        </w:rPr>
        <w:t>в Правила доверительного управления</w:t>
      </w:r>
    </w:p>
    <w:p w:rsidR="008A3ABB" w:rsidRPr="00FD257E" w:rsidRDefault="008A3ABB" w:rsidP="008A3ABB">
      <w:pPr>
        <w:keepNext/>
        <w:widowControl w:val="0"/>
        <w:suppressLineNumbers/>
        <w:suppressAutoHyphens/>
        <w:autoSpaceDE w:val="0"/>
        <w:autoSpaceDN w:val="0"/>
        <w:adjustRightInd w:val="0"/>
        <w:spacing w:before="120"/>
        <w:jc w:val="center"/>
        <w:rPr>
          <w:b/>
          <w:bCs/>
        </w:rPr>
      </w:pPr>
      <w:r w:rsidRPr="00FD257E">
        <w:rPr>
          <w:b/>
          <w:bCs/>
        </w:rPr>
        <w:t>Закрытым</w:t>
      </w:r>
      <w:r w:rsidRPr="00FD257E">
        <w:t xml:space="preserve"> </w:t>
      </w:r>
      <w:r w:rsidRPr="00FD257E">
        <w:rPr>
          <w:b/>
          <w:bCs/>
        </w:rPr>
        <w:t>паевым инвестиционным фондом недвижимости</w:t>
      </w:r>
    </w:p>
    <w:p w:rsidR="008A3ABB" w:rsidRPr="00FD257E" w:rsidRDefault="008A3ABB" w:rsidP="008A3ABB">
      <w:pPr>
        <w:keepNext/>
        <w:widowControl w:val="0"/>
        <w:suppressLineNumbers/>
        <w:suppressAutoHyphens/>
        <w:autoSpaceDE w:val="0"/>
        <w:autoSpaceDN w:val="0"/>
        <w:adjustRightInd w:val="0"/>
        <w:spacing w:before="120"/>
        <w:jc w:val="center"/>
        <w:rPr>
          <w:b/>
          <w:bCs/>
          <w:sz w:val="32"/>
          <w:szCs w:val="32"/>
        </w:rPr>
      </w:pPr>
      <w:r w:rsidRPr="00FD257E">
        <w:rPr>
          <w:b/>
          <w:bCs/>
          <w:sz w:val="32"/>
          <w:szCs w:val="32"/>
        </w:rPr>
        <w:t>«НСКА Новостройки»</w:t>
      </w:r>
    </w:p>
    <w:p w:rsidR="00CB366F" w:rsidRPr="0070046D" w:rsidRDefault="008A3ABB" w:rsidP="008A3ABB">
      <w:pPr>
        <w:pStyle w:val="a3"/>
        <w:spacing w:after="60"/>
        <w:ind w:firstLine="0"/>
        <w:rPr>
          <w:rFonts w:ascii="Times New Roman" w:hAnsi="Times New Roman" w:cs="Times New Roman"/>
        </w:rPr>
      </w:pPr>
      <w:proofErr w:type="gramStart"/>
      <w:r w:rsidRPr="00FD257E">
        <w:rPr>
          <w:rFonts w:ascii="Times New Roman" w:hAnsi="Times New Roman" w:cs="Times New Roman"/>
          <w:bCs/>
        </w:rPr>
        <w:t xml:space="preserve">Правила доверительного управления фондом зарегистрированы ФСФР России </w:t>
      </w:r>
      <w:r w:rsidRPr="00FD257E">
        <w:rPr>
          <w:rFonts w:ascii="Times New Roman" w:hAnsi="Times New Roman" w:cs="Times New Roman"/>
        </w:rPr>
        <w:t>23.08.2012 года за № 2419)</w:t>
      </w:r>
      <w:proofErr w:type="gramEnd"/>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860"/>
        <w:gridCol w:w="5040"/>
      </w:tblGrid>
      <w:tr w:rsidR="00CB366F" w:rsidRPr="008C47B1" w:rsidTr="00620783">
        <w:tc>
          <w:tcPr>
            <w:tcW w:w="540" w:type="dxa"/>
          </w:tcPr>
          <w:p w:rsidR="00CB366F" w:rsidRPr="008C47B1" w:rsidRDefault="00CB366F" w:rsidP="005921CC">
            <w:pPr>
              <w:spacing w:after="60"/>
              <w:jc w:val="center"/>
            </w:pPr>
            <w:r w:rsidRPr="008C47B1">
              <w:t xml:space="preserve">№ </w:t>
            </w:r>
            <w:proofErr w:type="spellStart"/>
            <w:r w:rsidRPr="008C47B1">
              <w:t>п</w:t>
            </w:r>
            <w:proofErr w:type="gramStart"/>
            <w:r w:rsidRPr="008C47B1">
              <w:t>.п</w:t>
            </w:r>
            <w:proofErr w:type="spellEnd"/>
            <w:proofErr w:type="gramEnd"/>
          </w:p>
        </w:tc>
        <w:tc>
          <w:tcPr>
            <w:tcW w:w="4860" w:type="dxa"/>
          </w:tcPr>
          <w:p w:rsidR="00CB366F" w:rsidRPr="008C47B1" w:rsidRDefault="00CB366F" w:rsidP="005921CC">
            <w:pPr>
              <w:pStyle w:val="3"/>
              <w:rPr>
                <w:b/>
              </w:rPr>
            </w:pPr>
            <w:r w:rsidRPr="008C47B1">
              <w:rPr>
                <w:b/>
              </w:rPr>
              <w:t xml:space="preserve">Старая редакция </w:t>
            </w:r>
          </w:p>
        </w:tc>
        <w:tc>
          <w:tcPr>
            <w:tcW w:w="5040" w:type="dxa"/>
          </w:tcPr>
          <w:p w:rsidR="00CB366F" w:rsidRPr="008C47B1" w:rsidRDefault="00CB366F" w:rsidP="005921CC">
            <w:pPr>
              <w:pStyle w:val="3"/>
              <w:rPr>
                <w:b/>
              </w:rPr>
            </w:pPr>
            <w:r w:rsidRPr="008C47B1">
              <w:rPr>
                <w:b/>
              </w:rPr>
              <w:t>Новая редакция</w:t>
            </w:r>
          </w:p>
        </w:tc>
      </w:tr>
      <w:tr w:rsidR="00620783" w:rsidRPr="00A16525" w:rsidTr="00830965">
        <w:trPr>
          <w:trHeight w:val="1632"/>
        </w:trPr>
        <w:tc>
          <w:tcPr>
            <w:tcW w:w="540" w:type="dxa"/>
          </w:tcPr>
          <w:p w:rsidR="00620783" w:rsidRPr="009F3B27" w:rsidRDefault="009F3B27" w:rsidP="005921CC">
            <w:pPr>
              <w:spacing w:after="60"/>
              <w:jc w:val="center"/>
              <w:rPr>
                <w:lang w:val="en-US"/>
              </w:rPr>
            </w:pPr>
            <w:r>
              <w:rPr>
                <w:lang w:val="en-US"/>
              </w:rPr>
              <w:t>1</w:t>
            </w:r>
          </w:p>
        </w:tc>
        <w:tc>
          <w:tcPr>
            <w:tcW w:w="4860" w:type="dxa"/>
          </w:tcPr>
          <w:p w:rsidR="000C0D1A" w:rsidRDefault="000C0D1A" w:rsidP="000C0D1A">
            <w:pPr>
              <w:tabs>
                <w:tab w:val="left" w:pos="9072"/>
              </w:tabs>
            </w:pPr>
            <w:r>
              <w:t>4. Полное фирменное наименование управляющей компании фонда: Закрытое акционерное общество «Управляющая Компания ГФТ КАПИТАЛ» (далее – управляющая компания).</w:t>
            </w:r>
          </w:p>
          <w:p w:rsidR="00620783" w:rsidRPr="000C1C1C" w:rsidRDefault="00620783" w:rsidP="008A3ABB"/>
        </w:tc>
        <w:tc>
          <w:tcPr>
            <w:tcW w:w="5040" w:type="dxa"/>
          </w:tcPr>
          <w:p w:rsidR="000C0D1A" w:rsidRPr="00411A62" w:rsidRDefault="000C0D1A" w:rsidP="000C0D1A">
            <w:pPr>
              <w:tabs>
                <w:tab w:val="left" w:pos="9072"/>
              </w:tabs>
            </w:pPr>
            <w:r>
              <w:t>4. Полное фирменное наименование управляющей компании фонда</w:t>
            </w:r>
            <w:r w:rsidRPr="00411A62">
              <w:t>: Общество с ограниченной ответственностью  «КАПИТАЛ ЭССЕТ МЕНЕДЖМЕНТ» (далее – управляющая компания).</w:t>
            </w:r>
          </w:p>
          <w:p w:rsidR="00620783" w:rsidRPr="000C1C1C" w:rsidRDefault="00620783" w:rsidP="008A3ABB"/>
        </w:tc>
      </w:tr>
      <w:tr w:rsidR="00830965" w:rsidRPr="00A16525" w:rsidTr="00830965">
        <w:trPr>
          <w:trHeight w:val="683"/>
        </w:trPr>
        <w:tc>
          <w:tcPr>
            <w:tcW w:w="540" w:type="dxa"/>
          </w:tcPr>
          <w:p w:rsidR="00830965" w:rsidRPr="009F3B27" w:rsidRDefault="009F3B27" w:rsidP="005921CC">
            <w:pPr>
              <w:spacing w:after="60"/>
              <w:jc w:val="center"/>
              <w:rPr>
                <w:lang w:val="en-US"/>
              </w:rPr>
            </w:pPr>
            <w:r>
              <w:rPr>
                <w:lang w:val="en-US"/>
              </w:rPr>
              <w:t>2</w:t>
            </w:r>
          </w:p>
        </w:tc>
        <w:tc>
          <w:tcPr>
            <w:tcW w:w="4860" w:type="dxa"/>
          </w:tcPr>
          <w:p w:rsidR="000C0D1A" w:rsidRDefault="000C0D1A" w:rsidP="000C0D1A">
            <w:pPr>
              <w:tabs>
                <w:tab w:val="left" w:pos="9072"/>
              </w:tabs>
            </w:pPr>
            <w:r>
              <w:t xml:space="preserve">5. Место нахождения управляющей компании: </w:t>
            </w:r>
            <w:r w:rsidRPr="00C74831">
              <w:t>117</w:t>
            </w:r>
            <w:r w:rsidRPr="00270A4B">
              <w:t>246</w:t>
            </w:r>
            <w:r w:rsidRPr="00C74831">
              <w:t xml:space="preserve">, г. Москва, </w:t>
            </w:r>
            <w:r>
              <w:t>Научный проезд, дом 8, строение 1</w:t>
            </w:r>
            <w:r w:rsidRPr="00C74831">
              <w:t>.</w:t>
            </w:r>
          </w:p>
          <w:p w:rsidR="00830965" w:rsidRPr="000C1C1C" w:rsidRDefault="00830965" w:rsidP="00830965"/>
        </w:tc>
        <w:tc>
          <w:tcPr>
            <w:tcW w:w="5040" w:type="dxa"/>
          </w:tcPr>
          <w:p w:rsidR="000C0D1A" w:rsidRPr="00411A62" w:rsidRDefault="000C0D1A" w:rsidP="000C0D1A">
            <w:pPr>
              <w:tabs>
                <w:tab w:val="left" w:pos="9072"/>
              </w:tabs>
            </w:pPr>
            <w:r w:rsidRPr="00411A62">
              <w:t>5. Место нахождения управляющей компании: 117312, г</w:t>
            </w:r>
            <w:proofErr w:type="gramStart"/>
            <w:r w:rsidRPr="00411A62">
              <w:t>.М</w:t>
            </w:r>
            <w:proofErr w:type="gramEnd"/>
            <w:r w:rsidRPr="00411A62">
              <w:t>осква, ул. Вавилова,  д.53,  корп.1.</w:t>
            </w:r>
          </w:p>
          <w:p w:rsidR="00830965" w:rsidRPr="00830965" w:rsidRDefault="00830965" w:rsidP="008A3ABB"/>
        </w:tc>
      </w:tr>
      <w:tr w:rsidR="00E52654" w:rsidRPr="00A16525" w:rsidTr="00830965">
        <w:trPr>
          <w:trHeight w:val="683"/>
        </w:trPr>
        <w:tc>
          <w:tcPr>
            <w:tcW w:w="540" w:type="dxa"/>
          </w:tcPr>
          <w:p w:rsidR="00E52654" w:rsidRPr="00E52654" w:rsidRDefault="00E52654" w:rsidP="005921CC">
            <w:pPr>
              <w:spacing w:after="60"/>
              <w:jc w:val="center"/>
            </w:pPr>
            <w:r>
              <w:t>3</w:t>
            </w:r>
          </w:p>
        </w:tc>
        <w:tc>
          <w:tcPr>
            <w:tcW w:w="4860" w:type="dxa"/>
          </w:tcPr>
          <w:p w:rsidR="00205F9B" w:rsidRPr="00C74831" w:rsidRDefault="00205F9B" w:rsidP="00205F9B">
            <w:pPr>
              <w:tabs>
                <w:tab w:val="left" w:pos="9072"/>
              </w:tabs>
            </w:pPr>
            <w: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C74831">
              <w:t xml:space="preserve">от </w:t>
            </w:r>
            <w:r w:rsidRPr="00E07F04">
              <w:t>“19” декабря 2012 г. № 21-000-1-00948,</w:t>
            </w:r>
            <w:r w:rsidRPr="00C74831">
              <w:t xml:space="preserve"> предоставленная Федеральной службой по финансовым рынкам.</w:t>
            </w:r>
          </w:p>
          <w:p w:rsidR="00E52654" w:rsidRDefault="00E52654" w:rsidP="000C0D1A">
            <w:pPr>
              <w:tabs>
                <w:tab w:val="left" w:pos="9072"/>
              </w:tabs>
            </w:pPr>
          </w:p>
        </w:tc>
        <w:tc>
          <w:tcPr>
            <w:tcW w:w="5040" w:type="dxa"/>
          </w:tcPr>
          <w:p w:rsidR="00205F9B" w:rsidRPr="00C74831" w:rsidRDefault="00205F9B" w:rsidP="00205F9B">
            <w:pPr>
              <w:tabs>
                <w:tab w:val="left" w:pos="9072"/>
              </w:tabs>
            </w:pPr>
            <w: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C74831">
              <w:t xml:space="preserve">от </w:t>
            </w:r>
            <w:r w:rsidRPr="00E07F04">
              <w:t>“</w:t>
            </w:r>
            <w:r>
              <w:t>26</w:t>
            </w:r>
            <w:r w:rsidRPr="00E07F04">
              <w:t xml:space="preserve">” </w:t>
            </w:r>
            <w:r>
              <w:t>мая</w:t>
            </w:r>
            <w:r w:rsidRPr="00E07F04">
              <w:t xml:space="preserve"> 201</w:t>
            </w:r>
            <w:r>
              <w:t>1</w:t>
            </w:r>
            <w:r w:rsidRPr="00E07F04">
              <w:t xml:space="preserve"> г. № 21-000-1-00</w:t>
            </w:r>
            <w:r>
              <w:t>816</w:t>
            </w:r>
            <w:r w:rsidRPr="00E07F04">
              <w:t>,</w:t>
            </w:r>
            <w:r w:rsidRPr="00C74831">
              <w:t xml:space="preserve"> предоставленная Федеральной службой по финансовым рынкам.</w:t>
            </w:r>
          </w:p>
          <w:p w:rsidR="00E52654" w:rsidRPr="00411A62" w:rsidRDefault="00E52654" w:rsidP="000C0D1A">
            <w:pPr>
              <w:tabs>
                <w:tab w:val="left" w:pos="9072"/>
              </w:tabs>
            </w:pPr>
          </w:p>
        </w:tc>
      </w:tr>
      <w:tr w:rsidR="000C0D1A" w:rsidRPr="00830965" w:rsidTr="000C0D1A">
        <w:trPr>
          <w:trHeight w:val="683"/>
        </w:trPr>
        <w:tc>
          <w:tcPr>
            <w:tcW w:w="540" w:type="dxa"/>
          </w:tcPr>
          <w:p w:rsidR="000C0D1A" w:rsidRPr="000C0D1A" w:rsidRDefault="00E52654" w:rsidP="00FA7CA8">
            <w:pPr>
              <w:spacing w:after="60"/>
              <w:jc w:val="center"/>
            </w:pPr>
            <w:r>
              <w:t>4</w:t>
            </w:r>
          </w:p>
        </w:tc>
        <w:tc>
          <w:tcPr>
            <w:tcW w:w="4860" w:type="dxa"/>
          </w:tcPr>
          <w:p w:rsidR="000C0D1A" w:rsidRPr="00A721BF" w:rsidRDefault="000C0D1A" w:rsidP="000C0D1A">
            <w:r w:rsidRPr="00A721BF">
              <w:t>3</w:t>
            </w:r>
            <w:r>
              <w:t>5</w:t>
            </w:r>
            <w:r w:rsidRPr="00A721BF">
              <w:t>. Инвестиционный пай является именной ценной бумагой, удостоверяющей:</w:t>
            </w:r>
          </w:p>
          <w:p w:rsidR="000C0D1A" w:rsidRPr="00A721BF" w:rsidRDefault="000C0D1A" w:rsidP="000C0D1A">
            <w:r w:rsidRPr="00A721BF">
              <w:t>1) долю его владельца в праве собственности на имущество, составляющее фонд;</w:t>
            </w:r>
          </w:p>
          <w:p w:rsidR="000C0D1A" w:rsidRPr="00A721BF" w:rsidRDefault="000C0D1A" w:rsidP="000C0D1A">
            <w:r w:rsidRPr="00A721BF">
              <w:t>2) право требовать от управляющей компании надлежащего доверительного управления фондом;</w:t>
            </w:r>
          </w:p>
          <w:p w:rsidR="000C0D1A" w:rsidRPr="00A721BF" w:rsidRDefault="000C0D1A" w:rsidP="000C0D1A">
            <w:r w:rsidRPr="00A721BF">
              <w:t>3) право на участие в общем собрании владельцев инвестиционных паев;</w:t>
            </w:r>
          </w:p>
          <w:p w:rsidR="000C0D1A" w:rsidRPr="00A721BF" w:rsidRDefault="000C0D1A" w:rsidP="000C0D1A">
            <w:r w:rsidRPr="00A721BF">
              <w:t xml:space="preserve">4)  право требовать от управляющей компании погашения инвестиционного пая и выплаты в связи с этим денежной компенсации, соразмерной приходящейся на </w:t>
            </w:r>
            <w:r w:rsidRPr="00A721BF">
              <w:lastRenderedPageBreak/>
              <w:t>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0C0D1A" w:rsidRDefault="000C0D1A" w:rsidP="000C0D1A">
            <w:r w:rsidRPr="00631FA6">
              <w:t>5) право владельцев инвестиционных паев на получение дохода по инвестиционному паю;</w:t>
            </w:r>
          </w:p>
          <w:p w:rsidR="000C0D1A" w:rsidRDefault="000C0D1A" w:rsidP="000C0D1A">
            <w:pPr>
              <w:ind w:firstLine="720"/>
            </w:pPr>
            <w:r w:rsidRPr="00631FA6">
              <w:t xml:space="preserve">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w:t>
            </w:r>
            <w:proofErr w:type="gramStart"/>
            <w:r w:rsidRPr="00631FA6">
              <w:t>с даты вступления</w:t>
            </w:r>
            <w:proofErr w:type="gramEnd"/>
            <w:r w:rsidRPr="00631FA6">
              <w:t xml:space="preserve"> в силу изменений и дополнений в настоящие Правила, связанные с установлением права владельцев инвестиционных паев на получение дохода по инвестиционному паю, до даты окончания календарного месяца, в котором указанные изменения вступили в силу.  </w:t>
            </w:r>
          </w:p>
          <w:p w:rsidR="000C0D1A" w:rsidRDefault="000C0D1A" w:rsidP="000C0D1A">
            <w:pPr>
              <w:ind w:firstLine="720"/>
            </w:pPr>
            <w:r w:rsidRPr="00631FA6">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631FA6">
              <w:t>с даты получения</w:t>
            </w:r>
            <w:proofErr w:type="gramEnd"/>
            <w:r w:rsidRPr="00631FA6">
              <w:t xml:space="preserve"> управляющей компанией необходимых сведений о реквизитах банковского счета для перечисления дохода. </w:t>
            </w:r>
          </w:p>
          <w:p w:rsidR="000C0D1A" w:rsidRDefault="000C0D1A" w:rsidP="000C0D1A">
            <w:pPr>
              <w:ind w:firstLine="720"/>
            </w:pPr>
            <w:r w:rsidRPr="00631FA6">
              <w:t>Промежуточные выплаты инвестиционного дохода в течение отчетного периода не производятся. Доход по инвестиционным паям составляет 100 (</w:t>
            </w:r>
            <w:proofErr w:type="spellStart"/>
            <w:proofErr w:type="gramStart"/>
            <w:r w:rsidRPr="00631FA6">
              <w:t>C</w:t>
            </w:r>
            <w:proofErr w:type="gramEnd"/>
            <w:r w:rsidRPr="00631FA6">
              <w:t>то</w:t>
            </w:r>
            <w:proofErr w:type="spellEnd"/>
            <w:r w:rsidRPr="00631FA6">
              <w:t>) процентов от суммы денежных средств, находящихся на расчетном рублевом счету № 40701810800006050337, открытом в АКЦИОНЕРНОМ КОММЕРЧЕСКОМ ИННОВАЦИОННОМ БАНКЕ «ОБРАЗОВАНИЕ» (закрытое акционерное общество), на последний рабочий день отчетного периода.</w:t>
            </w:r>
          </w:p>
          <w:p w:rsidR="000C0D1A" w:rsidRDefault="000C0D1A" w:rsidP="000C0D1A">
            <w:pPr>
              <w:ind w:firstLine="720"/>
            </w:pPr>
            <w:r w:rsidRPr="00631FA6">
              <w:t xml:space="preserve">Доход по одному инвестиционному паю равен доходу по инвестиционным паям, </w:t>
            </w:r>
            <w:r w:rsidRPr="00631FA6">
              <w:lastRenderedPageBreak/>
              <w:t>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rsidR="000C0D1A" w:rsidRDefault="000C0D1A" w:rsidP="000C0D1A">
            <w:pPr>
              <w:ind w:firstLine="720"/>
            </w:pPr>
            <w:r w:rsidRPr="00631FA6">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0C0D1A" w:rsidRPr="000C1C1C" w:rsidRDefault="000C0D1A" w:rsidP="000C0D1A">
            <w:pPr>
              <w:tabs>
                <w:tab w:val="left" w:pos="9072"/>
              </w:tabs>
            </w:pPr>
            <w:r w:rsidRPr="00631FA6">
              <w:t>6</w:t>
            </w:r>
            <w:r w:rsidRPr="008A45BC">
              <w:t>) право на получение денежной компенсации</w:t>
            </w:r>
            <w:r w:rsidRPr="00A721BF">
              <w:t xml:space="preserve">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w:t>
            </w:r>
            <w:r>
              <w:t xml:space="preserve"> владельцев инвестиционных паев.</w:t>
            </w:r>
          </w:p>
        </w:tc>
        <w:tc>
          <w:tcPr>
            <w:tcW w:w="5040" w:type="dxa"/>
          </w:tcPr>
          <w:p w:rsidR="000C0D1A" w:rsidRPr="00A721BF" w:rsidRDefault="000C0D1A" w:rsidP="000C0D1A">
            <w:r w:rsidRPr="00A721BF">
              <w:lastRenderedPageBreak/>
              <w:t>3</w:t>
            </w:r>
            <w:r>
              <w:t>5</w:t>
            </w:r>
            <w:r w:rsidRPr="00A721BF">
              <w:t>. Инвестиционный пай является именной ценной бумагой, удостоверяющей:</w:t>
            </w:r>
          </w:p>
          <w:p w:rsidR="000C0D1A" w:rsidRPr="00A721BF" w:rsidRDefault="000C0D1A" w:rsidP="000C0D1A">
            <w:pPr>
              <w:ind w:firstLine="720"/>
            </w:pPr>
            <w:r w:rsidRPr="00A721BF">
              <w:t>1) долю его владельца в праве собственности на имущество, составляющее фонд;</w:t>
            </w:r>
          </w:p>
          <w:p w:rsidR="000C0D1A" w:rsidRPr="00A721BF" w:rsidRDefault="000C0D1A" w:rsidP="000C0D1A">
            <w:pPr>
              <w:ind w:firstLine="720"/>
            </w:pPr>
            <w:r w:rsidRPr="00A721BF">
              <w:t>2) право требовать от управляющей компании надлежащего доверительного управления фондом;</w:t>
            </w:r>
          </w:p>
          <w:p w:rsidR="000C0D1A" w:rsidRPr="00A721BF" w:rsidRDefault="000C0D1A" w:rsidP="000C0D1A">
            <w:pPr>
              <w:ind w:firstLine="720"/>
            </w:pPr>
            <w:r w:rsidRPr="00A721BF">
              <w:t>3) право на участие в общем собрании владельцев инвестиционных паев;</w:t>
            </w:r>
          </w:p>
          <w:p w:rsidR="000C0D1A" w:rsidRPr="00A721BF" w:rsidRDefault="000C0D1A" w:rsidP="000C0D1A">
            <w:pPr>
              <w:ind w:firstLine="720"/>
            </w:pPr>
            <w:r w:rsidRPr="00A721BF">
              <w:t xml:space="preserve">4)  право требовать от управляющей компании погашения инвестиционного пая и выплаты в связи с этим денежной </w:t>
            </w:r>
            <w:r w:rsidRPr="00A721BF">
              <w:lastRenderedPageBreak/>
              <w:t>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0C0D1A" w:rsidRDefault="000C0D1A" w:rsidP="000C0D1A">
            <w:pPr>
              <w:ind w:firstLine="720"/>
            </w:pPr>
            <w:r w:rsidRPr="00631FA6">
              <w:t>5) право владельцев инвестиционных паев на получение дохода по инвестиционному паю;</w:t>
            </w:r>
          </w:p>
          <w:p w:rsidR="000C0D1A" w:rsidRDefault="000C0D1A" w:rsidP="000C0D1A">
            <w:pPr>
              <w:ind w:firstLine="720"/>
            </w:pPr>
            <w:r w:rsidRPr="00631FA6">
              <w:t xml:space="preserve">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w:t>
            </w:r>
            <w:proofErr w:type="gramStart"/>
            <w:r w:rsidRPr="00631FA6">
              <w:t>с даты вступления</w:t>
            </w:r>
            <w:proofErr w:type="gramEnd"/>
            <w:r w:rsidRPr="00631FA6">
              <w:t xml:space="preserve"> в силу изменений и дополнений в настоящие Правила, связанные с установлением права владельцев инвестиционных паев на получение дохода по инвестиционному паю, до даты окончания календарного месяца, в котором указанные изменения вступили в силу.  </w:t>
            </w:r>
          </w:p>
          <w:p w:rsidR="000C0D1A" w:rsidRDefault="000C0D1A" w:rsidP="000C0D1A">
            <w:pPr>
              <w:ind w:firstLine="720"/>
            </w:pPr>
            <w:r w:rsidRPr="00631FA6">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631FA6">
              <w:t>с даты получения</w:t>
            </w:r>
            <w:proofErr w:type="gramEnd"/>
            <w:r w:rsidRPr="00631FA6">
              <w:t xml:space="preserve"> управляющей компанией необходимых сведений о реквизитах банковского счета для перечисления дохода. </w:t>
            </w:r>
          </w:p>
          <w:p w:rsidR="000C0D1A" w:rsidRDefault="000C0D1A" w:rsidP="000C0D1A">
            <w:pPr>
              <w:ind w:firstLine="720"/>
            </w:pPr>
            <w:r w:rsidRPr="00631FA6">
              <w:t>Промежуточные выплаты инвестиционного дохода в течение отчетного периода не производятся</w:t>
            </w:r>
            <w:r w:rsidRPr="00FD655E">
              <w:t>. Доход по инвестиционным паям составляет 10 (Десять) процентов от полученных в течение отчетного периода арендных платежей (без НДС).</w:t>
            </w:r>
          </w:p>
          <w:p w:rsidR="000C0D1A" w:rsidRDefault="000C0D1A" w:rsidP="000C0D1A">
            <w:pPr>
              <w:ind w:firstLine="720"/>
            </w:pPr>
            <w:r w:rsidRPr="00631FA6">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rsidR="000C0D1A" w:rsidRDefault="000C0D1A" w:rsidP="000C0D1A">
            <w:pPr>
              <w:ind w:firstLine="720"/>
            </w:pPr>
            <w:r w:rsidRPr="00631FA6">
              <w:t xml:space="preserve">Доход по инвестиционному паю </w:t>
            </w:r>
            <w:r w:rsidRPr="00631FA6">
              <w:lastRenderedPageBreak/>
              <w:t>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0C0D1A" w:rsidRDefault="000C0D1A" w:rsidP="000C0D1A">
            <w:pPr>
              <w:ind w:firstLine="720"/>
            </w:pPr>
          </w:p>
          <w:p w:rsidR="000C0D1A" w:rsidRDefault="000C0D1A" w:rsidP="000C0D1A">
            <w:pPr>
              <w:ind w:firstLine="720"/>
            </w:pPr>
            <w:r>
              <w:t>6</w:t>
            </w:r>
            <w:r w:rsidRPr="008A45BC">
              <w:t>) право на получение денежной компенсации</w:t>
            </w:r>
            <w:r w:rsidRPr="00A721BF">
              <w:t xml:space="preserve">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w:t>
            </w:r>
            <w:r>
              <w:t xml:space="preserve"> владельцев инвестиционных паев.</w:t>
            </w:r>
          </w:p>
          <w:p w:rsidR="000C0D1A" w:rsidRPr="00830965" w:rsidRDefault="000C0D1A" w:rsidP="000C0D1A">
            <w:pPr>
              <w:tabs>
                <w:tab w:val="left" w:pos="9072"/>
              </w:tabs>
            </w:pPr>
          </w:p>
        </w:tc>
      </w:tr>
      <w:tr w:rsidR="00990BEC" w:rsidRPr="00830965" w:rsidTr="000C0D1A">
        <w:trPr>
          <w:trHeight w:val="683"/>
        </w:trPr>
        <w:tc>
          <w:tcPr>
            <w:tcW w:w="540" w:type="dxa"/>
          </w:tcPr>
          <w:p w:rsidR="00990BEC" w:rsidRDefault="00990BEC" w:rsidP="00FA7CA8">
            <w:pPr>
              <w:spacing w:after="60"/>
              <w:jc w:val="center"/>
            </w:pPr>
            <w:r>
              <w:lastRenderedPageBreak/>
              <w:t>5</w:t>
            </w:r>
          </w:p>
        </w:tc>
        <w:tc>
          <w:tcPr>
            <w:tcW w:w="4860" w:type="dxa"/>
          </w:tcPr>
          <w:p w:rsidR="00990BEC" w:rsidRPr="00A721BF" w:rsidRDefault="00990BEC" w:rsidP="00990BEC">
            <w:pPr>
              <w:autoSpaceDE w:val="0"/>
              <w:autoSpaceDN w:val="0"/>
              <w:adjustRightInd w:val="0"/>
            </w:pPr>
            <w:r w:rsidRPr="00A721BF">
              <w:t>4</w:t>
            </w:r>
            <w:r>
              <w:t>5</w:t>
            </w:r>
            <w:r w:rsidRPr="00A721BF">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990BEC" w:rsidRPr="00A721BF" w:rsidRDefault="00990BEC" w:rsidP="00990BEC">
            <w:pPr>
              <w:autoSpaceDE w:val="0"/>
              <w:autoSpaceDN w:val="0"/>
              <w:adjustRightInd w:val="0"/>
              <w:ind w:firstLine="709"/>
            </w:pPr>
            <w:r w:rsidRPr="00A721BF">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990BEC" w:rsidRPr="00A721BF" w:rsidRDefault="00990BEC" w:rsidP="00990BEC">
            <w:pPr>
              <w:autoSpaceDE w:val="0"/>
              <w:autoSpaceDN w:val="0"/>
              <w:adjustRightInd w:val="0"/>
              <w:ind w:firstLine="709"/>
            </w:pPr>
            <w:r w:rsidRPr="00A721BF">
              <w:t xml:space="preserve">Раскрытие сообщения о созыве общего собрания осуществляется на сайте в сети Интернет </w:t>
            </w:r>
            <w:proofErr w:type="spellStart"/>
            <w:r>
              <w:t>www</w:t>
            </w:r>
            <w:proofErr w:type="spellEnd"/>
            <w:r>
              <w:t>.</w:t>
            </w:r>
            <w:proofErr w:type="spellStart"/>
            <w:r>
              <w:rPr>
                <w:lang w:val="en-US"/>
              </w:rPr>
              <w:t>gft</w:t>
            </w:r>
            <w:proofErr w:type="spellEnd"/>
            <w:r w:rsidRPr="000A7301">
              <w:t>-</w:t>
            </w:r>
            <w:r>
              <w:rPr>
                <w:lang w:val="en-US"/>
              </w:rPr>
              <w:t>capital</w:t>
            </w:r>
            <w:r w:rsidRPr="00C0087E">
              <w:t>.</w:t>
            </w:r>
            <w:proofErr w:type="spellStart"/>
            <w:r w:rsidRPr="00C0087E">
              <w:t>ru</w:t>
            </w:r>
            <w:proofErr w:type="spellEnd"/>
          </w:p>
          <w:p w:rsidR="00990BEC" w:rsidRPr="00A721BF" w:rsidRDefault="00990BEC" w:rsidP="000C0D1A"/>
        </w:tc>
        <w:tc>
          <w:tcPr>
            <w:tcW w:w="5040" w:type="dxa"/>
          </w:tcPr>
          <w:p w:rsidR="00990BEC" w:rsidRPr="00A721BF" w:rsidRDefault="00990BEC" w:rsidP="00990BEC">
            <w:pPr>
              <w:autoSpaceDE w:val="0"/>
              <w:autoSpaceDN w:val="0"/>
              <w:adjustRightInd w:val="0"/>
            </w:pPr>
            <w:r w:rsidRPr="00A721BF">
              <w:t>4</w:t>
            </w:r>
            <w:r>
              <w:t>5</w:t>
            </w:r>
            <w:r w:rsidRPr="00A721BF">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990BEC" w:rsidRPr="00A721BF" w:rsidRDefault="00990BEC" w:rsidP="00990BEC">
            <w:pPr>
              <w:autoSpaceDE w:val="0"/>
              <w:autoSpaceDN w:val="0"/>
              <w:adjustRightInd w:val="0"/>
              <w:ind w:firstLine="709"/>
            </w:pPr>
            <w:r w:rsidRPr="00A721BF">
              <w:t xml:space="preserve">До его раскрытия сообщение о созыве общего собрания должно быть направлено в </w:t>
            </w:r>
            <w:r>
              <w:t>Банк России</w:t>
            </w:r>
            <w:r w:rsidRPr="00A721BF">
              <w:t>.</w:t>
            </w:r>
          </w:p>
          <w:p w:rsidR="00990BEC" w:rsidRPr="00A721BF" w:rsidRDefault="00990BEC" w:rsidP="00990BEC">
            <w:pPr>
              <w:autoSpaceDE w:val="0"/>
              <w:autoSpaceDN w:val="0"/>
              <w:adjustRightInd w:val="0"/>
              <w:ind w:firstLine="709"/>
            </w:pPr>
            <w:r w:rsidRPr="00A721BF">
              <w:t xml:space="preserve">Раскрытие сообщения о созыве общего собрания осуществляется на сайте в сети Интернет </w:t>
            </w:r>
            <w:proofErr w:type="spellStart"/>
            <w:r>
              <w:t>www</w:t>
            </w:r>
            <w:proofErr w:type="spellEnd"/>
            <w:r>
              <w:t>.</w:t>
            </w:r>
            <w:proofErr w:type="spellStart"/>
            <w:r>
              <w:rPr>
                <w:lang w:val="en-US"/>
              </w:rPr>
              <w:t>capeman</w:t>
            </w:r>
            <w:proofErr w:type="spellEnd"/>
            <w:r w:rsidRPr="0021660C">
              <w:t>.</w:t>
            </w:r>
            <w:proofErr w:type="spellStart"/>
            <w:r>
              <w:rPr>
                <w:lang w:val="en-US"/>
              </w:rPr>
              <w:t>ru</w:t>
            </w:r>
            <w:proofErr w:type="spellEnd"/>
            <w:r w:rsidRPr="0021660C">
              <w:t>.</w:t>
            </w:r>
          </w:p>
          <w:p w:rsidR="00990BEC" w:rsidRPr="00A721BF" w:rsidRDefault="00990BEC" w:rsidP="000C0D1A"/>
        </w:tc>
      </w:tr>
      <w:tr w:rsidR="00990BEC" w:rsidRPr="00830965" w:rsidTr="000C0D1A">
        <w:trPr>
          <w:trHeight w:val="683"/>
        </w:trPr>
        <w:tc>
          <w:tcPr>
            <w:tcW w:w="540" w:type="dxa"/>
          </w:tcPr>
          <w:p w:rsidR="00990BEC" w:rsidRDefault="00990BEC" w:rsidP="00FA7CA8">
            <w:pPr>
              <w:spacing w:after="60"/>
              <w:jc w:val="center"/>
            </w:pPr>
            <w:r>
              <w:t>6</w:t>
            </w:r>
          </w:p>
        </w:tc>
        <w:tc>
          <w:tcPr>
            <w:tcW w:w="4860" w:type="dxa"/>
          </w:tcPr>
          <w:p w:rsidR="00577F52" w:rsidRPr="00A721BF" w:rsidRDefault="00577F52" w:rsidP="00577F52">
            <w:pPr>
              <w:widowControl w:val="0"/>
              <w:autoSpaceDE w:val="0"/>
              <w:autoSpaceDN w:val="0"/>
              <w:adjustRightInd w:val="0"/>
            </w:pPr>
            <w:r w:rsidRPr="00A721BF">
              <w:t>6</w:t>
            </w:r>
            <w:r>
              <w:t>3</w:t>
            </w:r>
            <w:r w:rsidRPr="00A721BF">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proofErr w:type="spellStart"/>
            <w:r>
              <w:t>www</w:t>
            </w:r>
            <w:proofErr w:type="spellEnd"/>
            <w:r>
              <w:t>.</w:t>
            </w:r>
            <w:proofErr w:type="spellStart"/>
            <w:r>
              <w:rPr>
                <w:lang w:val="en-US"/>
              </w:rPr>
              <w:t>gft</w:t>
            </w:r>
            <w:proofErr w:type="spellEnd"/>
            <w:r w:rsidRPr="005C7D1E">
              <w:t>-</w:t>
            </w:r>
            <w:r>
              <w:rPr>
                <w:lang w:val="en-US"/>
              </w:rPr>
              <w:t>capital</w:t>
            </w:r>
            <w:r w:rsidRPr="00C0087E">
              <w:t>.</w:t>
            </w:r>
            <w:proofErr w:type="spellStart"/>
            <w:r w:rsidRPr="00C0087E">
              <w:t>ru</w:t>
            </w:r>
            <w:proofErr w:type="spellEnd"/>
            <w:r w:rsidRPr="00A721BF">
              <w:rPr>
                <w:color w:val="000000"/>
                <w:spacing w:val="-1"/>
              </w:rPr>
              <w:t xml:space="preserve"> </w:t>
            </w:r>
          </w:p>
          <w:p w:rsidR="00990BEC" w:rsidRPr="00A721BF" w:rsidRDefault="00990BEC" w:rsidP="000C0D1A"/>
        </w:tc>
        <w:tc>
          <w:tcPr>
            <w:tcW w:w="5040" w:type="dxa"/>
          </w:tcPr>
          <w:p w:rsidR="00577F52" w:rsidRPr="0021660C" w:rsidRDefault="00577F52" w:rsidP="00577F52">
            <w:pPr>
              <w:widowControl w:val="0"/>
              <w:autoSpaceDE w:val="0"/>
              <w:autoSpaceDN w:val="0"/>
              <w:adjustRightInd w:val="0"/>
            </w:pPr>
            <w:r w:rsidRPr="00A721BF">
              <w:t>6</w:t>
            </w:r>
            <w:r>
              <w:t>3</w:t>
            </w:r>
            <w:r w:rsidRPr="00A721BF">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proofErr w:type="spellStart"/>
            <w:r>
              <w:t>www</w:t>
            </w:r>
            <w:proofErr w:type="spellEnd"/>
            <w:r>
              <w:t>.</w:t>
            </w:r>
            <w:r w:rsidRPr="0021660C">
              <w:t xml:space="preserve"> </w:t>
            </w:r>
            <w:proofErr w:type="spellStart"/>
            <w:r>
              <w:t>www</w:t>
            </w:r>
            <w:proofErr w:type="spellEnd"/>
            <w:r>
              <w:t>.</w:t>
            </w:r>
            <w:proofErr w:type="spellStart"/>
            <w:r>
              <w:rPr>
                <w:lang w:val="en-US"/>
              </w:rPr>
              <w:t>capeman</w:t>
            </w:r>
            <w:proofErr w:type="spellEnd"/>
            <w:r w:rsidRPr="0021660C">
              <w:t>.</w:t>
            </w:r>
            <w:proofErr w:type="spellStart"/>
            <w:r>
              <w:rPr>
                <w:lang w:val="en-US"/>
              </w:rPr>
              <w:t>ru</w:t>
            </w:r>
            <w:proofErr w:type="spellEnd"/>
            <w:r w:rsidRPr="0021660C">
              <w:t>.</w:t>
            </w:r>
          </w:p>
          <w:p w:rsidR="00990BEC" w:rsidRPr="00A721BF" w:rsidRDefault="00990BEC" w:rsidP="000C0D1A"/>
        </w:tc>
      </w:tr>
      <w:tr w:rsidR="00990BEC" w:rsidRPr="00830965" w:rsidTr="000C0D1A">
        <w:trPr>
          <w:trHeight w:val="683"/>
        </w:trPr>
        <w:tc>
          <w:tcPr>
            <w:tcW w:w="540" w:type="dxa"/>
          </w:tcPr>
          <w:p w:rsidR="00990BEC" w:rsidRDefault="00990BEC" w:rsidP="00FA7CA8">
            <w:pPr>
              <w:spacing w:after="60"/>
              <w:jc w:val="center"/>
            </w:pPr>
            <w:r>
              <w:t>7</w:t>
            </w:r>
          </w:p>
        </w:tc>
        <w:tc>
          <w:tcPr>
            <w:tcW w:w="4860" w:type="dxa"/>
          </w:tcPr>
          <w:p w:rsidR="002114F3" w:rsidRPr="00A721BF" w:rsidRDefault="002114F3" w:rsidP="002114F3">
            <w:r w:rsidRPr="00A721BF">
              <w:t>6</w:t>
            </w:r>
            <w:r>
              <w:t>5</w:t>
            </w:r>
            <w:r w:rsidRPr="00A721BF">
              <w:t xml:space="preserve">.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proofErr w:type="spellStart"/>
            <w:r>
              <w:t>www</w:t>
            </w:r>
            <w:proofErr w:type="spellEnd"/>
            <w:r>
              <w:t>.</w:t>
            </w:r>
            <w:proofErr w:type="spellStart"/>
            <w:r>
              <w:rPr>
                <w:lang w:val="en-US"/>
              </w:rPr>
              <w:t>gft</w:t>
            </w:r>
            <w:proofErr w:type="spellEnd"/>
            <w:r w:rsidRPr="005C7D1E">
              <w:t>-</w:t>
            </w:r>
            <w:r>
              <w:rPr>
                <w:lang w:val="en-US"/>
              </w:rPr>
              <w:t>capital</w:t>
            </w:r>
            <w:r w:rsidRPr="00C0087E">
              <w:t>.</w:t>
            </w:r>
            <w:proofErr w:type="spellStart"/>
            <w:r w:rsidRPr="00C0087E">
              <w:t>ru</w:t>
            </w:r>
            <w:proofErr w:type="spellEnd"/>
          </w:p>
          <w:p w:rsidR="00990BEC" w:rsidRPr="00A721BF" w:rsidRDefault="00990BEC" w:rsidP="000C0D1A"/>
        </w:tc>
        <w:tc>
          <w:tcPr>
            <w:tcW w:w="5040" w:type="dxa"/>
          </w:tcPr>
          <w:p w:rsidR="002114F3" w:rsidRDefault="002114F3" w:rsidP="002114F3">
            <w:r w:rsidRPr="00A721BF">
              <w:lastRenderedPageBreak/>
              <w:t>6</w:t>
            </w:r>
            <w:r>
              <w:t>5</w:t>
            </w:r>
            <w:r w:rsidRPr="00A721BF">
              <w:t xml:space="preserve">.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proofErr w:type="spellStart"/>
            <w:r>
              <w:t>www</w:t>
            </w:r>
            <w:proofErr w:type="spellEnd"/>
            <w:r>
              <w:t>.</w:t>
            </w:r>
            <w:proofErr w:type="spellStart"/>
            <w:r>
              <w:rPr>
                <w:lang w:val="en-US"/>
              </w:rPr>
              <w:t>capeman</w:t>
            </w:r>
            <w:proofErr w:type="spellEnd"/>
            <w:r w:rsidRPr="0021660C">
              <w:t>.</w:t>
            </w:r>
            <w:proofErr w:type="spellStart"/>
            <w:r>
              <w:rPr>
                <w:lang w:val="en-US"/>
              </w:rPr>
              <w:t>ru</w:t>
            </w:r>
            <w:proofErr w:type="spellEnd"/>
            <w:r>
              <w:t>.</w:t>
            </w:r>
          </w:p>
          <w:p w:rsidR="00990BEC" w:rsidRPr="00A721BF" w:rsidRDefault="00990BEC" w:rsidP="000C0D1A"/>
        </w:tc>
      </w:tr>
      <w:tr w:rsidR="00990BEC" w:rsidRPr="00830965" w:rsidTr="000C0D1A">
        <w:trPr>
          <w:trHeight w:val="683"/>
        </w:trPr>
        <w:tc>
          <w:tcPr>
            <w:tcW w:w="540" w:type="dxa"/>
          </w:tcPr>
          <w:p w:rsidR="00990BEC" w:rsidRDefault="00990BEC" w:rsidP="00FA7CA8">
            <w:pPr>
              <w:spacing w:after="60"/>
              <w:jc w:val="center"/>
            </w:pPr>
            <w:r>
              <w:lastRenderedPageBreak/>
              <w:t>8</w:t>
            </w:r>
          </w:p>
        </w:tc>
        <w:tc>
          <w:tcPr>
            <w:tcW w:w="4860" w:type="dxa"/>
          </w:tcPr>
          <w:p w:rsidR="00FA7CA8" w:rsidRPr="00A721BF" w:rsidRDefault="00FA7CA8" w:rsidP="00FA7CA8">
            <w:r w:rsidRPr="00A721BF">
              <w:t>7</w:t>
            </w:r>
            <w:r>
              <w:t>2</w:t>
            </w:r>
            <w:r w:rsidRPr="00A721BF">
              <w:t xml:space="preserve">. Управляющая компания раскрывает информацию о принятом </w:t>
            </w:r>
            <w:proofErr w:type="gramStart"/>
            <w:r w:rsidRPr="00A721BF">
              <w:t>решении</w:t>
            </w:r>
            <w:proofErr w:type="gramEnd"/>
            <w:r w:rsidRPr="00A721BF">
              <w:t xml:space="preserve">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FA7CA8" w:rsidRPr="00A721BF" w:rsidRDefault="00FA7CA8" w:rsidP="00FA7CA8">
            <w:pPr>
              <w:ind w:firstLine="709"/>
            </w:pPr>
            <w:r w:rsidRPr="00A721BF">
              <w:t>1) максимальное количество выдаваемых дополнительных  инвестиционных паев;</w:t>
            </w:r>
          </w:p>
          <w:p w:rsidR="00FA7CA8" w:rsidRPr="00A721BF" w:rsidRDefault="00FA7CA8" w:rsidP="00FA7CA8">
            <w:pPr>
              <w:ind w:firstLine="709"/>
            </w:pPr>
            <w:r w:rsidRPr="00A721BF">
              <w:t>2) имущество, которое может быть передано в оплату выдаваемых дополнительных инвестиционных паев.</w:t>
            </w:r>
          </w:p>
          <w:p w:rsidR="00FA7CA8" w:rsidRPr="00A721BF" w:rsidRDefault="00FA7CA8" w:rsidP="00FA7CA8">
            <w:pPr>
              <w:widowControl w:val="0"/>
              <w:autoSpaceDE w:val="0"/>
              <w:autoSpaceDN w:val="0"/>
              <w:adjustRightInd w:val="0"/>
              <w:ind w:firstLine="709"/>
              <w:rPr>
                <w:color w:val="000000"/>
                <w:spacing w:val="-1"/>
              </w:rPr>
            </w:pPr>
            <w:r w:rsidRPr="00A721BF">
              <w:t xml:space="preserve">Указанную информацию управляющая компания раскрывает на сайте </w:t>
            </w:r>
            <w:proofErr w:type="spellStart"/>
            <w:r>
              <w:t>www</w:t>
            </w:r>
            <w:proofErr w:type="spellEnd"/>
            <w:r>
              <w:t>.</w:t>
            </w:r>
            <w:proofErr w:type="spellStart"/>
            <w:r>
              <w:rPr>
                <w:lang w:val="en-US"/>
              </w:rPr>
              <w:t>gft</w:t>
            </w:r>
            <w:proofErr w:type="spellEnd"/>
            <w:r w:rsidRPr="005C7D1E">
              <w:t>-</w:t>
            </w:r>
            <w:r>
              <w:rPr>
                <w:lang w:val="en-US"/>
              </w:rPr>
              <w:t>capital</w:t>
            </w:r>
            <w:r w:rsidRPr="00C0087E">
              <w:t>.</w:t>
            </w:r>
            <w:proofErr w:type="spellStart"/>
            <w:r w:rsidRPr="00C0087E">
              <w:t>ru</w:t>
            </w:r>
            <w:proofErr w:type="spellEnd"/>
            <w:r>
              <w:rPr>
                <w:color w:val="000000"/>
                <w:spacing w:val="-1"/>
              </w:rPr>
              <w:t xml:space="preserve"> и в «Приложении к Вестнику Федеральной службы по финансовым рынкам».</w:t>
            </w:r>
          </w:p>
          <w:p w:rsidR="00990BEC" w:rsidRPr="00A721BF" w:rsidRDefault="00990BEC" w:rsidP="000C0D1A"/>
        </w:tc>
        <w:tc>
          <w:tcPr>
            <w:tcW w:w="5040" w:type="dxa"/>
          </w:tcPr>
          <w:p w:rsidR="00AA0B41" w:rsidRPr="00A721BF" w:rsidRDefault="00AA0B41" w:rsidP="00AA0B41">
            <w:r w:rsidRPr="00A721BF">
              <w:t>7</w:t>
            </w:r>
            <w:r>
              <w:t>2</w:t>
            </w:r>
            <w:r w:rsidRPr="00A721BF">
              <w:t xml:space="preserve">. Управляющая компания раскрывает информацию о принятом </w:t>
            </w:r>
            <w:proofErr w:type="gramStart"/>
            <w:r w:rsidRPr="00A721BF">
              <w:t>решении</w:t>
            </w:r>
            <w:proofErr w:type="gramEnd"/>
            <w:r w:rsidRPr="00A721BF">
              <w:t xml:space="preserve">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AA0B41" w:rsidRPr="00A721BF" w:rsidRDefault="00AA0B41" w:rsidP="00AA0B41">
            <w:pPr>
              <w:ind w:firstLine="709"/>
            </w:pPr>
            <w:r w:rsidRPr="00A721BF">
              <w:t>1) максимальное количество выдаваемых дополнительных  инвестиционных паев;</w:t>
            </w:r>
          </w:p>
          <w:p w:rsidR="00AA0B41" w:rsidRPr="00A721BF" w:rsidRDefault="00AA0B41" w:rsidP="00AA0B41">
            <w:pPr>
              <w:ind w:firstLine="709"/>
            </w:pPr>
            <w:r w:rsidRPr="00A721BF">
              <w:t>2) имущество, которое может быть передано в оплату выдаваемых дополнительных инвестиционных паев.</w:t>
            </w:r>
          </w:p>
          <w:p w:rsidR="00AA0B41" w:rsidRPr="00A721BF" w:rsidRDefault="00AA0B41" w:rsidP="00AA0B41">
            <w:pPr>
              <w:widowControl w:val="0"/>
              <w:autoSpaceDE w:val="0"/>
              <w:autoSpaceDN w:val="0"/>
              <w:adjustRightInd w:val="0"/>
              <w:ind w:firstLine="709"/>
              <w:rPr>
                <w:color w:val="000000"/>
                <w:spacing w:val="-1"/>
              </w:rPr>
            </w:pPr>
            <w:r w:rsidRPr="00A721BF">
              <w:t xml:space="preserve">Указанную информацию управляющая компания раскрывает на сайте </w:t>
            </w:r>
            <w:proofErr w:type="spellStart"/>
            <w:r>
              <w:t>www</w:t>
            </w:r>
            <w:proofErr w:type="spellEnd"/>
            <w:r>
              <w:t>.</w:t>
            </w:r>
            <w:proofErr w:type="spellStart"/>
            <w:r>
              <w:rPr>
                <w:lang w:val="en-US"/>
              </w:rPr>
              <w:t>capeman</w:t>
            </w:r>
            <w:proofErr w:type="spellEnd"/>
            <w:r w:rsidRPr="0021660C">
              <w:t>.</w:t>
            </w:r>
            <w:proofErr w:type="spellStart"/>
            <w:r>
              <w:rPr>
                <w:lang w:val="en-US"/>
              </w:rPr>
              <w:t>ru</w:t>
            </w:r>
            <w:proofErr w:type="spellEnd"/>
            <w:r>
              <w:rPr>
                <w:color w:val="000000"/>
                <w:spacing w:val="-1"/>
              </w:rPr>
              <w:t xml:space="preserve"> и в «Приложении к Вестнику Федеральной службы по финансовым рынкам».</w:t>
            </w:r>
          </w:p>
          <w:p w:rsidR="00990BEC" w:rsidRPr="00A721BF" w:rsidRDefault="00990BEC" w:rsidP="000C0D1A"/>
        </w:tc>
      </w:tr>
      <w:tr w:rsidR="00990BEC" w:rsidRPr="00830965" w:rsidTr="000C0D1A">
        <w:trPr>
          <w:trHeight w:val="683"/>
        </w:trPr>
        <w:tc>
          <w:tcPr>
            <w:tcW w:w="540" w:type="dxa"/>
          </w:tcPr>
          <w:p w:rsidR="00990BEC" w:rsidRDefault="00990BEC" w:rsidP="00FA7CA8">
            <w:pPr>
              <w:spacing w:after="60"/>
              <w:jc w:val="center"/>
            </w:pPr>
            <w:r>
              <w:t>9</w:t>
            </w:r>
          </w:p>
        </w:tc>
        <w:tc>
          <w:tcPr>
            <w:tcW w:w="4860" w:type="dxa"/>
          </w:tcPr>
          <w:p w:rsidR="00797E73" w:rsidRPr="00A721BF" w:rsidRDefault="00797E73" w:rsidP="00797E73">
            <w:pPr>
              <w:autoSpaceDE w:val="0"/>
              <w:autoSpaceDN w:val="0"/>
              <w:adjustRightInd w:val="0"/>
            </w:pPr>
            <w:r>
              <w:t>74</w:t>
            </w:r>
            <w:r w:rsidRPr="00A721BF">
              <w:t xml:space="preserve">. </w:t>
            </w:r>
            <w:proofErr w:type="gramStart"/>
            <w:r w:rsidRPr="00A721BF">
              <w:t xml:space="preserve">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приобретении дополнительных инвестиционных паев. </w:t>
            </w:r>
            <w:proofErr w:type="gramEnd"/>
          </w:p>
          <w:p w:rsidR="00990BEC" w:rsidRPr="00A721BF" w:rsidRDefault="00797E73" w:rsidP="00797E73">
            <w:r w:rsidRPr="00A721BF">
              <w:t xml:space="preserve">Указанную информацию управляющая компания раскрывает на сайте </w:t>
            </w:r>
            <w:proofErr w:type="spellStart"/>
            <w:r>
              <w:t>www</w:t>
            </w:r>
            <w:proofErr w:type="spellEnd"/>
            <w:r>
              <w:t>.</w:t>
            </w:r>
            <w:proofErr w:type="spellStart"/>
            <w:r>
              <w:rPr>
                <w:lang w:val="en-US"/>
              </w:rPr>
              <w:t>gft</w:t>
            </w:r>
            <w:proofErr w:type="spellEnd"/>
            <w:r w:rsidRPr="005C7D1E">
              <w:t>-</w:t>
            </w:r>
            <w:r>
              <w:rPr>
                <w:lang w:val="en-US"/>
              </w:rPr>
              <w:t>capital</w:t>
            </w:r>
            <w:r w:rsidRPr="00C0087E">
              <w:t>.</w:t>
            </w:r>
            <w:proofErr w:type="spellStart"/>
            <w:r w:rsidRPr="00C0087E">
              <w:t>ru</w:t>
            </w:r>
            <w:proofErr w:type="spellEnd"/>
          </w:p>
        </w:tc>
        <w:tc>
          <w:tcPr>
            <w:tcW w:w="5040" w:type="dxa"/>
          </w:tcPr>
          <w:p w:rsidR="00797E73" w:rsidRPr="00A721BF" w:rsidRDefault="00797E73" w:rsidP="00797E73">
            <w:pPr>
              <w:autoSpaceDE w:val="0"/>
              <w:autoSpaceDN w:val="0"/>
              <w:adjustRightInd w:val="0"/>
            </w:pPr>
            <w:r>
              <w:t>74</w:t>
            </w:r>
            <w:r w:rsidRPr="00A721BF">
              <w:t xml:space="preserve">. </w:t>
            </w:r>
            <w:proofErr w:type="gramStart"/>
            <w:r w:rsidRPr="00A721BF">
              <w:t xml:space="preserve">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приобретении дополнительных инвестиционных паев. </w:t>
            </w:r>
            <w:proofErr w:type="gramEnd"/>
          </w:p>
          <w:p w:rsidR="00990BEC" w:rsidRPr="00A721BF" w:rsidRDefault="00797E73" w:rsidP="00797E73">
            <w:pPr>
              <w:widowControl w:val="0"/>
              <w:autoSpaceDE w:val="0"/>
              <w:autoSpaceDN w:val="0"/>
              <w:adjustRightInd w:val="0"/>
              <w:ind w:firstLine="709"/>
            </w:pPr>
            <w:r w:rsidRPr="00A721BF">
              <w:t xml:space="preserve">Указанную информацию управляющая компания раскрывает на сайте </w:t>
            </w:r>
            <w:proofErr w:type="spellStart"/>
            <w:r>
              <w:t>www</w:t>
            </w:r>
            <w:proofErr w:type="spellEnd"/>
            <w:r>
              <w:t>.</w:t>
            </w:r>
            <w:proofErr w:type="spellStart"/>
            <w:r>
              <w:rPr>
                <w:lang w:val="en-US"/>
              </w:rPr>
              <w:t>capeman</w:t>
            </w:r>
            <w:proofErr w:type="spellEnd"/>
            <w:r w:rsidRPr="0021660C">
              <w:t>.</w:t>
            </w:r>
            <w:proofErr w:type="spellStart"/>
            <w:r>
              <w:rPr>
                <w:lang w:val="en-US"/>
              </w:rPr>
              <w:t>ru</w:t>
            </w:r>
            <w:proofErr w:type="spellEnd"/>
            <w:r>
              <w:t>.</w:t>
            </w:r>
          </w:p>
        </w:tc>
      </w:tr>
      <w:tr w:rsidR="00990BEC" w:rsidRPr="00830965" w:rsidTr="000C0D1A">
        <w:trPr>
          <w:trHeight w:val="683"/>
        </w:trPr>
        <w:tc>
          <w:tcPr>
            <w:tcW w:w="540" w:type="dxa"/>
          </w:tcPr>
          <w:p w:rsidR="00990BEC" w:rsidRDefault="00990BEC" w:rsidP="00FA7CA8">
            <w:pPr>
              <w:spacing w:after="60"/>
              <w:jc w:val="center"/>
            </w:pPr>
            <w:r>
              <w:t>10</w:t>
            </w:r>
          </w:p>
        </w:tc>
        <w:tc>
          <w:tcPr>
            <w:tcW w:w="4860" w:type="dxa"/>
          </w:tcPr>
          <w:p w:rsidR="009E3F95" w:rsidRPr="00A721BF" w:rsidRDefault="009E3F95" w:rsidP="009E3F95">
            <w:pPr>
              <w:widowControl w:val="0"/>
              <w:autoSpaceDE w:val="0"/>
              <w:autoSpaceDN w:val="0"/>
              <w:adjustRightInd w:val="0"/>
              <w:rPr>
                <w:color w:val="000000"/>
                <w:spacing w:val="-1"/>
              </w:rPr>
            </w:pPr>
            <w:r>
              <w:rPr>
                <w:color w:val="000000"/>
                <w:spacing w:val="-1"/>
              </w:rPr>
              <w:t>75</w:t>
            </w:r>
            <w:r w:rsidRPr="00A721BF">
              <w:rPr>
                <w:color w:val="000000"/>
                <w:spacing w:val="-1"/>
              </w:rPr>
              <w:t>.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w:t>
            </w:r>
            <w:r>
              <w:rPr>
                <w:color w:val="000000"/>
                <w:spacing w:val="-1"/>
              </w:rPr>
              <w:t>я компания раскрывает информацию</w:t>
            </w:r>
            <w:r w:rsidRPr="00A721BF">
              <w:rPr>
                <w:color w:val="000000"/>
                <w:spacing w:val="-1"/>
              </w:rPr>
              <w:t xml:space="preserve">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rsidR="009E3F95" w:rsidRPr="005C7D1E" w:rsidRDefault="009E3F95" w:rsidP="009E3F95">
            <w:pPr>
              <w:widowControl w:val="0"/>
              <w:autoSpaceDE w:val="0"/>
              <w:autoSpaceDN w:val="0"/>
              <w:adjustRightInd w:val="0"/>
              <w:ind w:firstLine="709"/>
              <w:rPr>
                <w:color w:val="000000"/>
                <w:spacing w:val="-1"/>
              </w:rPr>
            </w:pPr>
            <w:r w:rsidRPr="00A721BF">
              <w:t xml:space="preserve">Указанную информацию управляющая компания раскрывает на сайте </w:t>
            </w:r>
            <w:proofErr w:type="spellStart"/>
            <w:r>
              <w:t>www</w:t>
            </w:r>
            <w:proofErr w:type="spellEnd"/>
            <w:r>
              <w:t>.</w:t>
            </w:r>
            <w:proofErr w:type="spellStart"/>
            <w:r>
              <w:rPr>
                <w:lang w:val="en-US"/>
              </w:rPr>
              <w:t>gft</w:t>
            </w:r>
            <w:proofErr w:type="spellEnd"/>
            <w:r w:rsidRPr="005C7D1E">
              <w:t>-</w:t>
            </w:r>
            <w:r>
              <w:rPr>
                <w:lang w:val="en-US"/>
              </w:rPr>
              <w:t>capital</w:t>
            </w:r>
            <w:r w:rsidRPr="00C0087E">
              <w:t>.</w:t>
            </w:r>
            <w:proofErr w:type="spellStart"/>
            <w:r w:rsidRPr="00C0087E">
              <w:t>ru</w:t>
            </w:r>
            <w:proofErr w:type="spellEnd"/>
          </w:p>
          <w:p w:rsidR="00990BEC" w:rsidRPr="00A721BF" w:rsidRDefault="00990BEC" w:rsidP="000C0D1A"/>
        </w:tc>
        <w:tc>
          <w:tcPr>
            <w:tcW w:w="5040" w:type="dxa"/>
          </w:tcPr>
          <w:p w:rsidR="009E3F95" w:rsidRPr="00A721BF" w:rsidRDefault="009E3F95" w:rsidP="009E3F95">
            <w:pPr>
              <w:widowControl w:val="0"/>
              <w:autoSpaceDE w:val="0"/>
              <w:autoSpaceDN w:val="0"/>
              <w:adjustRightInd w:val="0"/>
              <w:rPr>
                <w:color w:val="000000"/>
                <w:spacing w:val="-1"/>
              </w:rPr>
            </w:pPr>
            <w:r>
              <w:rPr>
                <w:color w:val="000000"/>
                <w:spacing w:val="-1"/>
              </w:rPr>
              <w:t>75</w:t>
            </w:r>
            <w:r w:rsidRPr="00A721BF">
              <w:rPr>
                <w:color w:val="000000"/>
                <w:spacing w:val="-1"/>
              </w:rPr>
              <w:t>.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w:t>
            </w:r>
            <w:r>
              <w:rPr>
                <w:color w:val="000000"/>
                <w:spacing w:val="-1"/>
              </w:rPr>
              <w:t>я компания раскрывает информацию</w:t>
            </w:r>
            <w:r w:rsidRPr="00A721BF">
              <w:rPr>
                <w:color w:val="000000"/>
                <w:spacing w:val="-1"/>
              </w:rPr>
              <w:t xml:space="preserve">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 </w:t>
            </w:r>
          </w:p>
          <w:p w:rsidR="009E3F95" w:rsidRPr="00143A30" w:rsidRDefault="009E3F95" w:rsidP="009E3F95">
            <w:pPr>
              <w:widowControl w:val="0"/>
              <w:autoSpaceDE w:val="0"/>
              <w:autoSpaceDN w:val="0"/>
              <w:adjustRightInd w:val="0"/>
              <w:ind w:firstLine="709"/>
              <w:rPr>
                <w:color w:val="000000"/>
                <w:spacing w:val="-1"/>
              </w:rPr>
            </w:pPr>
            <w:r w:rsidRPr="00A721BF">
              <w:t xml:space="preserve">Указанную информацию управляющая компания раскрывает на сайте </w:t>
            </w:r>
            <w:proofErr w:type="spellStart"/>
            <w:r>
              <w:t>www</w:t>
            </w:r>
            <w:proofErr w:type="spellEnd"/>
            <w:r>
              <w:t>.</w:t>
            </w:r>
            <w:proofErr w:type="spellStart"/>
            <w:r>
              <w:rPr>
                <w:lang w:val="en-US"/>
              </w:rPr>
              <w:t>capeman</w:t>
            </w:r>
            <w:proofErr w:type="spellEnd"/>
            <w:r w:rsidRPr="0021660C">
              <w:t>.</w:t>
            </w:r>
            <w:proofErr w:type="spellStart"/>
            <w:r>
              <w:rPr>
                <w:lang w:val="en-US"/>
              </w:rPr>
              <w:t>ru</w:t>
            </w:r>
            <w:proofErr w:type="spellEnd"/>
            <w:r>
              <w:t>.</w:t>
            </w:r>
          </w:p>
          <w:p w:rsidR="00990BEC" w:rsidRPr="00A721BF" w:rsidRDefault="00990BEC" w:rsidP="000C0D1A"/>
        </w:tc>
      </w:tr>
      <w:tr w:rsidR="000C0D1A" w:rsidRPr="00830965" w:rsidTr="000C0D1A">
        <w:trPr>
          <w:trHeight w:val="683"/>
        </w:trPr>
        <w:tc>
          <w:tcPr>
            <w:tcW w:w="540" w:type="dxa"/>
          </w:tcPr>
          <w:p w:rsidR="000C0D1A" w:rsidRPr="000C0D1A" w:rsidRDefault="00990BEC" w:rsidP="00B31A04">
            <w:pPr>
              <w:spacing w:after="60"/>
              <w:jc w:val="center"/>
            </w:pPr>
            <w:r>
              <w:lastRenderedPageBreak/>
              <w:t>1</w:t>
            </w:r>
            <w:r w:rsidR="00B31A04">
              <w:t>1</w:t>
            </w:r>
          </w:p>
        </w:tc>
        <w:tc>
          <w:tcPr>
            <w:tcW w:w="4860" w:type="dxa"/>
          </w:tcPr>
          <w:p w:rsidR="00D82D41" w:rsidRDefault="00D82D41" w:rsidP="00D82D41">
            <w:r w:rsidRPr="003906D7">
              <w:t>11</w:t>
            </w:r>
            <w:r>
              <w:t>4</w:t>
            </w:r>
            <w:r w:rsidRPr="003906D7">
              <w:t>. </w:t>
            </w:r>
            <w:r w:rsidRPr="00A85761">
              <w:t>За счет имущества, составляющего Фонд, выплачиваются вознаграждения Управляющей компании</w:t>
            </w:r>
            <w:bookmarkStart w:id="0" w:name="p_81"/>
            <w:bookmarkEnd w:id="0"/>
            <w:r>
              <w:t xml:space="preserve"> в размере: </w:t>
            </w:r>
          </w:p>
          <w:p w:rsidR="00D82D41" w:rsidRPr="00AD6801" w:rsidRDefault="00D82D41" w:rsidP="00D82D41">
            <w:pPr>
              <w:autoSpaceDE w:val="0"/>
              <w:autoSpaceDN w:val="0"/>
              <w:adjustRightInd w:val="0"/>
              <w:ind w:firstLine="540"/>
            </w:pPr>
            <w:r w:rsidRPr="00AD6801">
              <w:t xml:space="preserve">2 (двух) процентов среднегодовой стоимости чистых активов фонда, если на последний рабочий день предшествующего календарного месяца, стоимость чистых активов фонда составила менее 250 000 000 (двухсот пятидесяти миллионов) рублей;  </w:t>
            </w:r>
          </w:p>
          <w:p w:rsidR="00D82D41" w:rsidRPr="00AD6801" w:rsidRDefault="00D82D41" w:rsidP="00D82D41">
            <w:pPr>
              <w:autoSpaceDE w:val="0"/>
              <w:autoSpaceDN w:val="0"/>
              <w:adjustRightInd w:val="0"/>
              <w:ind w:firstLine="540"/>
            </w:pPr>
            <w:r w:rsidRPr="00AD6801">
              <w:t>1,8 (одна целая восемь десятых) процента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250 000 000 (двухсот пятидесяти миллионов)  рублей, но менее 500 000 000 (</w:t>
            </w:r>
            <w:proofErr w:type="spellStart"/>
            <w:r w:rsidRPr="00AD6801">
              <w:t>пятиста</w:t>
            </w:r>
            <w:proofErr w:type="spellEnd"/>
            <w:r w:rsidRPr="00AD6801">
              <w:t xml:space="preserve"> миллионов) рублей; </w:t>
            </w:r>
          </w:p>
          <w:p w:rsidR="00D82D41" w:rsidRPr="00AD6801" w:rsidRDefault="00D82D41" w:rsidP="00D82D41">
            <w:pPr>
              <w:autoSpaceDE w:val="0"/>
              <w:autoSpaceDN w:val="0"/>
              <w:adjustRightInd w:val="0"/>
              <w:ind w:firstLine="540"/>
            </w:pPr>
            <w:r w:rsidRPr="00AD6801">
              <w:t>1,5 (одна целая пять десятых) процента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500 000 000 (</w:t>
            </w:r>
            <w:proofErr w:type="spellStart"/>
            <w:r w:rsidRPr="00AD6801">
              <w:t>пятиста</w:t>
            </w:r>
            <w:proofErr w:type="spellEnd"/>
            <w:r w:rsidRPr="00AD6801">
              <w:t xml:space="preserve"> миллионов) рублей, но менее</w:t>
            </w:r>
            <w:r>
              <w:t xml:space="preserve"> </w:t>
            </w:r>
            <w:r w:rsidRPr="00AD6801">
              <w:t xml:space="preserve">1 000 000 000 (одного миллиарда) рублей; </w:t>
            </w:r>
          </w:p>
          <w:p w:rsidR="00D82D41" w:rsidRPr="00AD6801" w:rsidRDefault="00D82D41" w:rsidP="00D82D41">
            <w:pPr>
              <w:autoSpaceDE w:val="0"/>
              <w:autoSpaceDN w:val="0"/>
              <w:adjustRightInd w:val="0"/>
              <w:ind w:firstLine="540"/>
            </w:pPr>
            <w:r w:rsidRPr="00AD6801">
              <w:t>1 (одного) процента среднегодовой стоимости чистых активов фонда, если  на последний рабочий день предшествующего календарного месяца,  стоимость чистых активов фонда равна или более 1 000 000 000 (одного миллиарда</w:t>
            </w:r>
            <w:r>
              <w:t>) рублей.</w:t>
            </w:r>
            <w:r w:rsidRPr="00AD6801">
              <w:t xml:space="preserve"> </w:t>
            </w:r>
          </w:p>
          <w:p w:rsidR="00D82D41" w:rsidRDefault="00D82D41" w:rsidP="00D82D41">
            <w:pPr>
              <w:autoSpaceDE w:val="0"/>
              <w:autoSpaceDN w:val="0"/>
              <w:adjustRightInd w:val="0"/>
              <w:ind w:firstLine="540"/>
            </w:pPr>
            <w:r w:rsidRPr="00AD6801">
              <w:t>Размер вознаграждения управляющей компании за месяц, в котором фонд завершил (</w:t>
            </w:r>
            <w:proofErr w:type="gramStart"/>
            <w:r w:rsidRPr="00AD6801">
              <w:t xml:space="preserve">окончил) </w:t>
            </w:r>
            <w:proofErr w:type="gramEnd"/>
            <w:r w:rsidRPr="00AD6801">
              <w:t>формирование, определяется исходя из стоимости чистых активов фонда на дату завершения (</w:t>
            </w:r>
            <w:r>
              <w:t xml:space="preserve">окончания) формирования фонда. </w:t>
            </w:r>
          </w:p>
          <w:p w:rsidR="00D82D41" w:rsidRPr="00AD6801" w:rsidRDefault="00D82D41" w:rsidP="00D82D41">
            <w:pPr>
              <w:autoSpaceDE w:val="0"/>
              <w:autoSpaceDN w:val="0"/>
              <w:adjustRightInd w:val="0"/>
              <w:ind w:firstLine="540"/>
            </w:pPr>
            <w:r w:rsidRPr="00AD6801">
              <w:t>За счет имущества, составляющего фонд, выплачиваются вознаграждения специализированному депозитарию, регистратору, аудитор</w:t>
            </w:r>
            <w:r>
              <w:t>ской организации</w:t>
            </w:r>
            <w:r w:rsidRPr="00AD6801">
              <w:t xml:space="preserve"> и оценщику в размере не более </w:t>
            </w:r>
            <w:r>
              <w:t>2</w:t>
            </w:r>
            <w:r w:rsidRPr="00AD6801">
              <w:t xml:space="preserve"> (</w:t>
            </w:r>
            <w:r>
              <w:t>двух</w:t>
            </w:r>
            <w:r w:rsidRPr="00AD6801">
              <w:t>) процент</w:t>
            </w:r>
            <w:r>
              <w:t>ов</w:t>
            </w:r>
            <w:r w:rsidRPr="00AD6801">
              <w:t xml:space="preserve"> (с учетом налога на добавленную стоимость) среднегодовой стоимости чистых активов Фонда.</w:t>
            </w:r>
          </w:p>
          <w:p w:rsidR="000C0D1A" w:rsidRPr="000C1C1C" w:rsidRDefault="000C0D1A" w:rsidP="000C0D1A">
            <w:pPr>
              <w:tabs>
                <w:tab w:val="left" w:pos="9072"/>
              </w:tabs>
            </w:pPr>
          </w:p>
        </w:tc>
        <w:tc>
          <w:tcPr>
            <w:tcW w:w="5040" w:type="dxa"/>
          </w:tcPr>
          <w:p w:rsidR="00D82D41" w:rsidRPr="00411A62" w:rsidRDefault="00D82D41" w:rsidP="00D82D41">
            <w:r w:rsidRPr="00411A62">
              <w:t xml:space="preserve">114. За счет имущества, составляющего </w:t>
            </w:r>
            <w:r w:rsidR="00AF7837">
              <w:t>ф</w:t>
            </w:r>
            <w:r w:rsidRPr="00411A62">
              <w:t xml:space="preserve">онд, выплачиваются вознаграждения Управляющей компании в размере: </w:t>
            </w:r>
          </w:p>
          <w:p w:rsidR="00D82D41" w:rsidRPr="00D82D41" w:rsidRDefault="00D82D41" w:rsidP="00D82D41">
            <w:pPr>
              <w:autoSpaceDE w:val="0"/>
              <w:autoSpaceDN w:val="0"/>
              <w:adjustRightInd w:val="0"/>
              <w:ind w:firstLine="540"/>
            </w:pPr>
            <w:r w:rsidRPr="00411A62">
              <w:t>Не более 3 (трех) процентов среднегодовой стоимости чистых активов</w:t>
            </w:r>
            <w:r w:rsidRPr="00AD6801">
              <w:t xml:space="preserve"> </w:t>
            </w:r>
            <w:r>
              <w:t>Ф</w:t>
            </w:r>
            <w:r w:rsidRPr="00AD6801">
              <w:t>онда</w:t>
            </w:r>
            <w:r>
              <w:t>.</w:t>
            </w:r>
          </w:p>
          <w:p w:rsidR="00D82D41" w:rsidRPr="00AD6801" w:rsidRDefault="00D82D41" w:rsidP="00D82D41">
            <w:pPr>
              <w:autoSpaceDE w:val="0"/>
              <w:autoSpaceDN w:val="0"/>
              <w:adjustRightInd w:val="0"/>
              <w:ind w:firstLine="540"/>
            </w:pPr>
            <w:r w:rsidRPr="00AD6801">
              <w:t>За счет имущества, составляющего фонд, выплачиваются вознаграждения специализированному депозитарию, регистратору, аудитор</w:t>
            </w:r>
            <w:r>
              <w:t>ской организации</w:t>
            </w:r>
            <w:r w:rsidRPr="00AD6801">
              <w:t xml:space="preserve"> и оценщику в размере не более </w:t>
            </w:r>
            <w:r>
              <w:t>2</w:t>
            </w:r>
            <w:r w:rsidRPr="00AD6801">
              <w:t xml:space="preserve"> (</w:t>
            </w:r>
            <w:r>
              <w:t>двух</w:t>
            </w:r>
            <w:r w:rsidRPr="00AD6801">
              <w:t>) процент</w:t>
            </w:r>
            <w:r>
              <w:t>ов</w:t>
            </w:r>
            <w:r w:rsidRPr="00AD6801">
              <w:t xml:space="preserve"> (с учетом налога на добавленную стоимость) среднегодовой стоимости чистых активов Фонда.</w:t>
            </w:r>
          </w:p>
          <w:p w:rsidR="000C0D1A" w:rsidRPr="00830965" w:rsidRDefault="000C0D1A" w:rsidP="000C0D1A">
            <w:pPr>
              <w:tabs>
                <w:tab w:val="left" w:pos="9072"/>
              </w:tabs>
            </w:pPr>
          </w:p>
        </w:tc>
      </w:tr>
      <w:tr w:rsidR="00B31A04" w:rsidRPr="00830965" w:rsidTr="000C0D1A">
        <w:trPr>
          <w:trHeight w:val="683"/>
        </w:trPr>
        <w:tc>
          <w:tcPr>
            <w:tcW w:w="540" w:type="dxa"/>
          </w:tcPr>
          <w:p w:rsidR="00B31A04" w:rsidRDefault="00B31A04" w:rsidP="00B31A04">
            <w:pPr>
              <w:spacing w:after="60"/>
              <w:jc w:val="center"/>
            </w:pPr>
            <w:r>
              <w:t>12</w:t>
            </w:r>
          </w:p>
        </w:tc>
        <w:tc>
          <w:tcPr>
            <w:tcW w:w="4860" w:type="dxa"/>
          </w:tcPr>
          <w:p w:rsidR="00B31A04" w:rsidRPr="00A721BF" w:rsidRDefault="00B31A04" w:rsidP="00B31A04">
            <w:r w:rsidRPr="00A721BF">
              <w:t>12</w:t>
            </w:r>
            <w:r>
              <w:t>4</w:t>
            </w:r>
            <w:r w:rsidRPr="00A721BF">
              <w:t>. Управляющая компания обязана раскрывать информацию на сайте</w:t>
            </w:r>
            <w:bookmarkStart w:id="1" w:name="OLE_LINK1"/>
            <w:bookmarkStart w:id="2" w:name="OLE_LINK2"/>
            <w:r w:rsidRPr="00A721BF">
              <w:t xml:space="preserve"> </w:t>
            </w:r>
            <w:proofErr w:type="spellStart"/>
            <w:r>
              <w:t>www</w:t>
            </w:r>
            <w:proofErr w:type="spellEnd"/>
            <w:r>
              <w:t>.</w:t>
            </w:r>
            <w:proofErr w:type="spellStart"/>
            <w:r>
              <w:rPr>
                <w:lang w:val="en-US"/>
              </w:rPr>
              <w:t>gft</w:t>
            </w:r>
            <w:proofErr w:type="spellEnd"/>
            <w:r w:rsidRPr="000A7301">
              <w:t>-</w:t>
            </w:r>
            <w:r>
              <w:rPr>
                <w:lang w:val="en-US"/>
              </w:rPr>
              <w:t>capital</w:t>
            </w:r>
            <w:r w:rsidRPr="00C0087E">
              <w:t>.</w:t>
            </w:r>
            <w:proofErr w:type="spellStart"/>
            <w:r w:rsidRPr="00C0087E">
              <w:t>ru</w:t>
            </w:r>
            <w:proofErr w:type="spellEnd"/>
            <w:r w:rsidRPr="00A721BF">
              <w:t>.</w:t>
            </w:r>
            <w:bookmarkEnd w:id="1"/>
            <w:bookmarkEnd w:id="2"/>
            <w:r w:rsidRPr="00A721BF">
              <w:t xml:space="preserve"> Информация, подлежащая в соответствии с нормативными правовыми актами федерального органа исполнительной власти по рынку ценных </w:t>
            </w:r>
            <w:r w:rsidRPr="00A721BF">
              <w:lastRenderedPageBreak/>
              <w:t>бумаг опубликованию в печатном издании, публикуется в «Приложении к Вестнику Федеральной службы по финансовым рынкам».</w:t>
            </w:r>
          </w:p>
          <w:p w:rsidR="00B31A04" w:rsidRPr="003906D7" w:rsidRDefault="00B31A04" w:rsidP="00D82D41"/>
        </w:tc>
        <w:tc>
          <w:tcPr>
            <w:tcW w:w="5040" w:type="dxa"/>
          </w:tcPr>
          <w:p w:rsidR="00B31A04" w:rsidRPr="00A721BF" w:rsidRDefault="00B31A04" w:rsidP="00B31A04">
            <w:r w:rsidRPr="00A721BF">
              <w:lastRenderedPageBreak/>
              <w:t>12</w:t>
            </w:r>
            <w:r>
              <w:t>4</w:t>
            </w:r>
            <w:r w:rsidRPr="00A721BF">
              <w:t xml:space="preserve">. Управляющая компания обязана раскрывать информацию на сайте </w:t>
            </w:r>
            <w:proofErr w:type="spellStart"/>
            <w:r>
              <w:t>www</w:t>
            </w:r>
            <w:proofErr w:type="spellEnd"/>
            <w:r>
              <w:t>.</w:t>
            </w:r>
            <w:proofErr w:type="spellStart"/>
            <w:r>
              <w:rPr>
                <w:lang w:val="en-US"/>
              </w:rPr>
              <w:t>capeman</w:t>
            </w:r>
            <w:proofErr w:type="spellEnd"/>
            <w:r w:rsidRPr="0021660C">
              <w:t>.</w:t>
            </w:r>
            <w:proofErr w:type="spellStart"/>
            <w:r>
              <w:rPr>
                <w:lang w:val="en-US"/>
              </w:rPr>
              <w:t>ru</w:t>
            </w:r>
            <w:proofErr w:type="spellEnd"/>
            <w:r w:rsidRPr="00A721BF">
              <w:t xml:space="preserve">. Информация, подлежащая в соответствии с нормативными актами </w:t>
            </w:r>
            <w:r>
              <w:t>в области финансовых рынков</w:t>
            </w:r>
            <w:r w:rsidRPr="00A721BF">
              <w:t xml:space="preserve"> опубликованию в печатном издании, публикуется в </w:t>
            </w:r>
            <w:r w:rsidRPr="00A721BF">
              <w:lastRenderedPageBreak/>
              <w:t>«Приложении к Вестнику Федеральной службы по финансовым рынкам».</w:t>
            </w:r>
          </w:p>
          <w:p w:rsidR="00B31A04" w:rsidRPr="00411A62" w:rsidRDefault="00B31A04" w:rsidP="00D82D41"/>
        </w:tc>
      </w:tr>
    </w:tbl>
    <w:p w:rsidR="006A70A1" w:rsidRDefault="006A70A1"/>
    <w:p w:rsidR="006A70A1" w:rsidRDefault="006A70A1"/>
    <w:p w:rsidR="006A70A1" w:rsidRDefault="006A70A1"/>
    <w:p w:rsidR="008A3ABB" w:rsidRDefault="008A3ABB" w:rsidP="006A70A1">
      <w:pPr>
        <w:rPr>
          <w:b/>
        </w:rPr>
      </w:pPr>
    </w:p>
    <w:p w:rsidR="008A3ABB" w:rsidRDefault="008A3ABB" w:rsidP="006A70A1">
      <w:pPr>
        <w:rPr>
          <w:b/>
        </w:rPr>
      </w:pPr>
    </w:p>
    <w:p w:rsidR="008A3ABB" w:rsidRDefault="008A3ABB" w:rsidP="006A70A1">
      <w:pPr>
        <w:rPr>
          <w:b/>
        </w:rPr>
      </w:pPr>
    </w:p>
    <w:p w:rsidR="008A3ABB" w:rsidRDefault="008A3ABB" w:rsidP="006A70A1">
      <w:pPr>
        <w:rPr>
          <w:b/>
        </w:rPr>
      </w:pPr>
    </w:p>
    <w:p w:rsidR="006A70A1" w:rsidRPr="00830965" w:rsidRDefault="006A70A1" w:rsidP="006A70A1">
      <w:pPr>
        <w:rPr>
          <w:b/>
        </w:rPr>
      </w:pPr>
      <w:r w:rsidRPr="00830965">
        <w:rPr>
          <w:b/>
        </w:rPr>
        <w:t xml:space="preserve">Генеральный директор                                         </w:t>
      </w:r>
      <w:r w:rsidR="00051657" w:rsidRPr="00830965">
        <w:rPr>
          <w:b/>
        </w:rPr>
        <w:t>________________________</w:t>
      </w:r>
      <w:r w:rsidRPr="00830965">
        <w:rPr>
          <w:b/>
        </w:rPr>
        <w:t xml:space="preserve"> </w:t>
      </w:r>
      <w:proofErr w:type="spellStart"/>
      <w:r w:rsidR="008A3ABB">
        <w:rPr>
          <w:b/>
        </w:rPr>
        <w:t>Ноздрачёв</w:t>
      </w:r>
      <w:proofErr w:type="spellEnd"/>
      <w:r w:rsidR="008A3ABB">
        <w:rPr>
          <w:b/>
        </w:rPr>
        <w:t xml:space="preserve"> Ю.В.</w:t>
      </w:r>
    </w:p>
    <w:sectPr w:rsidR="006A70A1" w:rsidRPr="00830965" w:rsidSect="00CB366F">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472AA"/>
    <w:multiLevelType w:val="multilevel"/>
    <w:tmpl w:val="DAC65FDE"/>
    <w:lvl w:ilvl="0">
      <w:start w:val="1"/>
      <w:numFmt w:val="decimal"/>
      <w:lvlText w:val="%1."/>
      <w:lvlJc w:val="left"/>
      <w:pPr>
        <w:tabs>
          <w:tab w:val="num" w:pos="1140"/>
        </w:tabs>
        <w:ind w:left="1140" w:hanging="420"/>
      </w:pPr>
      <w:rPr>
        <w:rFonts w:cs="Times New Roman" w:hint="default"/>
        <w:b w:val="0"/>
        <w:i w:val="0"/>
        <w:sz w:val="24"/>
        <w:szCs w:val="24"/>
      </w:rPr>
    </w:lvl>
    <w:lvl w:ilvl="1">
      <w:start w:val="1"/>
      <w:numFmt w:val="decimal"/>
      <w:lvlText w:val="%1.%2."/>
      <w:lvlJc w:val="left"/>
      <w:pPr>
        <w:tabs>
          <w:tab w:val="num" w:pos="1140"/>
        </w:tabs>
        <w:ind w:left="1140" w:hanging="420"/>
      </w:pPr>
      <w:rPr>
        <w:rFonts w:cs="Times New Roman" w:hint="default"/>
        <w:b w:val="0"/>
        <w:i w:val="0"/>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CB366F"/>
    <w:rsid w:val="0000269D"/>
    <w:rsid w:val="0002385C"/>
    <w:rsid w:val="00051657"/>
    <w:rsid w:val="000A550D"/>
    <w:rsid w:val="000A7301"/>
    <w:rsid w:val="000B0F87"/>
    <w:rsid w:val="000B75A4"/>
    <w:rsid w:val="000C0D1A"/>
    <w:rsid w:val="000C1C1C"/>
    <w:rsid w:val="00104C83"/>
    <w:rsid w:val="001272B9"/>
    <w:rsid w:val="00143A30"/>
    <w:rsid w:val="001777A0"/>
    <w:rsid w:val="00183CB1"/>
    <w:rsid w:val="001E31A2"/>
    <w:rsid w:val="00205F9B"/>
    <w:rsid w:val="002114F3"/>
    <w:rsid w:val="0021660C"/>
    <w:rsid w:val="00234878"/>
    <w:rsid w:val="00252D45"/>
    <w:rsid w:val="00270A4B"/>
    <w:rsid w:val="0027351C"/>
    <w:rsid w:val="00285632"/>
    <w:rsid w:val="002A298C"/>
    <w:rsid w:val="002B7DFB"/>
    <w:rsid w:val="002F09B5"/>
    <w:rsid w:val="00304047"/>
    <w:rsid w:val="00341635"/>
    <w:rsid w:val="003906D7"/>
    <w:rsid w:val="003A1961"/>
    <w:rsid w:val="003B31A7"/>
    <w:rsid w:val="003E4B6E"/>
    <w:rsid w:val="00411A62"/>
    <w:rsid w:val="00451F6C"/>
    <w:rsid w:val="0047092C"/>
    <w:rsid w:val="005130FE"/>
    <w:rsid w:val="00522F86"/>
    <w:rsid w:val="00531795"/>
    <w:rsid w:val="00577F52"/>
    <w:rsid w:val="00581F17"/>
    <w:rsid w:val="005846E4"/>
    <w:rsid w:val="005921CC"/>
    <w:rsid w:val="005C7D1E"/>
    <w:rsid w:val="005D4041"/>
    <w:rsid w:val="00620783"/>
    <w:rsid w:val="00631FA6"/>
    <w:rsid w:val="00654D84"/>
    <w:rsid w:val="00696ABD"/>
    <w:rsid w:val="006A70A1"/>
    <w:rsid w:val="006C7418"/>
    <w:rsid w:val="0070046D"/>
    <w:rsid w:val="007178AF"/>
    <w:rsid w:val="0072288B"/>
    <w:rsid w:val="007538C1"/>
    <w:rsid w:val="00797E73"/>
    <w:rsid w:val="00830965"/>
    <w:rsid w:val="008A3ABB"/>
    <w:rsid w:val="008A45BC"/>
    <w:rsid w:val="008C47B1"/>
    <w:rsid w:val="008E3DE8"/>
    <w:rsid w:val="00990BEC"/>
    <w:rsid w:val="009B19F7"/>
    <w:rsid w:val="009C5027"/>
    <w:rsid w:val="009D723A"/>
    <w:rsid w:val="009E3F95"/>
    <w:rsid w:val="009F3B27"/>
    <w:rsid w:val="00A16525"/>
    <w:rsid w:val="00A21429"/>
    <w:rsid w:val="00A24939"/>
    <w:rsid w:val="00A27C7F"/>
    <w:rsid w:val="00A3407C"/>
    <w:rsid w:val="00A55FFC"/>
    <w:rsid w:val="00A721BF"/>
    <w:rsid w:val="00A85761"/>
    <w:rsid w:val="00A85BB2"/>
    <w:rsid w:val="00AA0B41"/>
    <w:rsid w:val="00AB2FF9"/>
    <w:rsid w:val="00AD6801"/>
    <w:rsid w:val="00AF7837"/>
    <w:rsid w:val="00B27B38"/>
    <w:rsid w:val="00B31A04"/>
    <w:rsid w:val="00BA4B7B"/>
    <w:rsid w:val="00BC3573"/>
    <w:rsid w:val="00C0087E"/>
    <w:rsid w:val="00C21763"/>
    <w:rsid w:val="00C659B3"/>
    <w:rsid w:val="00C74831"/>
    <w:rsid w:val="00CB366F"/>
    <w:rsid w:val="00CE103C"/>
    <w:rsid w:val="00CE28C5"/>
    <w:rsid w:val="00D21A8F"/>
    <w:rsid w:val="00D32B90"/>
    <w:rsid w:val="00D82D41"/>
    <w:rsid w:val="00D83ED7"/>
    <w:rsid w:val="00DB4DAA"/>
    <w:rsid w:val="00E07F04"/>
    <w:rsid w:val="00E52654"/>
    <w:rsid w:val="00EF525B"/>
    <w:rsid w:val="00F06A88"/>
    <w:rsid w:val="00F20136"/>
    <w:rsid w:val="00F209D1"/>
    <w:rsid w:val="00F67855"/>
    <w:rsid w:val="00F805D2"/>
    <w:rsid w:val="00FA7CA8"/>
    <w:rsid w:val="00FD257E"/>
    <w:rsid w:val="00FD6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66F"/>
    <w:pPr>
      <w:spacing w:after="0" w:line="240" w:lineRule="auto"/>
    </w:pPr>
    <w:rPr>
      <w:rFonts w:ascii="Times New Roman" w:hAnsi="Times New Roman" w:cs="Times New Roman"/>
      <w:sz w:val="24"/>
      <w:szCs w:val="24"/>
      <w:lang w:eastAsia="ru-RU"/>
    </w:rPr>
  </w:style>
  <w:style w:type="paragraph" w:styleId="3">
    <w:name w:val="heading 3"/>
    <w:basedOn w:val="a"/>
    <w:next w:val="a"/>
    <w:link w:val="30"/>
    <w:uiPriority w:val="99"/>
    <w:qFormat/>
    <w:rsid w:val="00CB366F"/>
    <w:pPr>
      <w:keepNext/>
      <w:autoSpaceDE w:val="0"/>
      <w:autoSpaceDN w:val="0"/>
      <w:spacing w:after="60"/>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B366F"/>
    <w:rPr>
      <w:rFonts w:ascii="Times New Roman" w:hAnsi="Times New Roman" w:cs="Times New Roman"/>
      <w:sz w:val="24"/>
      <w:szCs w:val="24"/>
      <w:lang w:eastAsia="ru-RU"/>
    </w:rPr>
  </w:style>
  <w:style w:type="paragraph" w:styleId="a3">
    <w:name w:val="Title"/>
    <w:basedOn w:val="a"/>
    <w:link w:val="a4"/>
    <w:uiPriority w:val="99"/>
    <w:qFormat/>
    <w:rsid w:val="00CB366F"/>
    <w:pPr>
      <w:autoSpaceDE w:val="0"/>
      <w:autoSpaceDN w:val="0"/>
      <w:spacing w:line="280" w:lineRule="exact"/>
      <w:ind w:firstLine="288"/>
      <w:jc w:val="center"/>
    </w:pPr>
    <w:rPr>
      <w:rFonts w:ascii="Arial" w:hAnsi="Arial" w:cs="Arial"/>
    </w:rPr>
  </w:style>
  <w:style w:type="character" w:customStyle="1" w:styleId="a4">
    <w:name w:val="Название Знак"/>
    <w:basedOn w:val="a0"/>
    <w:link w:val="a3"/>
    <w:uiPriority w:val="99"/>
    <w:locked/>
    <w:rsid w:val="00CB366F"/>
    <w:rPr>
      <w:rFonts w:ascii="Arial" w:hAnsi="Arial" w:cs="Arial"/>
      <w:sz w:val="24"/>
      <w:szCs w:val="24"/>
      <w:lang w:eastAsia="ru-RU"/>
    </w:rPr>
  </w:style>
  <w:style w:type="paragraph" w:customStyle="1" w:styleId="ConsNonformat">
    <w:name w:val="ConsNonformat"/>
    <w:uiPriority w:val="99"/>
    <w:rsid w:val="00CB366F"/>
    <w:pPr>
      <w:widowControl w:val="0"/>
      <w:spacing w:after="0" w:line="240" w:lineRule="auto"/>
    </w:pPr>
    <w:rPr>
      <w:rFonts w:ascii="Courier New" w:hAnsi="Courier New" w:cs="Courier New"/>
      <w:sz w:val="20"/>
      <w:szCs w:val="20"/>
    </w:rPr>
  </w:style>
  <w:style w:type="paragraph" w:styleId="a5">
    <w:name w:val="Plain Text"/>
    <w:basedOn w:val="a"/>
    <w:link w:val="a6"/>
    <w:uiPriority w:val="99"/>
    <w:rsid w:val="00CB366F"/>
    <w:rPr>
      <w:rFonts w:ascii="Courier New" w:hAnsi="Courier New" w:cs="Courier New"/>
      <w:sz w:val="20"/>
      <w:szCs w:val="20"/>
    </w:rPr>
  </w:style>
  <w:style w:type="character" w:customStyle="1" w:styleId="a6">
    <w:name w:val="Текст Знак"/>
    <w:basedOn w:val="a0"/>
    <w:link w:val="a5"/>
    <w:uiPriority w:val="99"/>
    <w:locked/>
    <w:rsid w:val="00CB366F"/>
    <w:rPr>
      <w:rFonts w:ascii="Courier New" w:hAnsi="Courier New" w:cs="Courier New"/>
      <w:sz w:val="20"/>
      <w:szCs w:val="20"/>
      <w:lang w:eastAsia="ru-RU"/>
    </w:rPr>
  </w:style>
  <w:style w:type="character" w:styleId="a7">
    <w:name w:val="Hyperlink"/>
    <w:basedOn w:val="a0"/>
    <w:uiPriority w:val="99"/>
    <w:rsid w:val="00A27C7F"/>
    <w:rPr>
      <w:rFonts w:cs="Times New Roman"/>
      <w:color w:val="0000FF"/>
      <w:u w:val="single"/>
    </w:rPr>
  </w:style>
  <w:style w:type="paragraph" w:customStyle="1" w:styleId="a8">
    <w:name w:val="Знак"/>
    <w:basedOn w:val="a"/>
    <w:uiPriority w:val="99"/>
    <w:rsid w:val="00A27C7F"/>
    <w:pPr>
      <w:spacing w:after="160" w:line="240" w:lineRule="exact"/>
    </w:pPr>
    <w:rPr>
      <w:rFonts w:ascii="Verdana" w:hAnsi="Verdana" w:cs="Verdana"/>
      <w:sz w:val="20"/>
      <w:szCs w:val="20"/>
      <w:lang w:val="en-US" w:eastAsia="en-US"/>
    </w:rPr>
  </w:style>
  <w:style w:type="character" w:styleId="a9">
    <w:name w:val="annotation reference"/>
    <w:basedOn w:val="a0"/>
    <w:uiPriority w:val="99"/>
    <w:semiHidden/>
    <w:unhideWhenUsed/>
    <w:rsid w:val="005921CC"/>
    <w:rPr>
      <w:rFonts w:cs="Times New Roman"/>
      <w:sz w:val="16"/>
      <w:szCs w:val="16"/>
    </w:rPr>
  </w:style>
  <w:style w:type="paragraph" w:styleId="aa">
    <w:name w:val="annotation text"/>
    <w:basedOn w:val="a"/>
    <w:link w:val="ab"/>
    <w:uiPriority w:val="99"/>
    <w:semiHidden/>
    <w:unhideWhenUsed/>
    <w:rsid w:val="005921CC"/>
    <w:rPr>
      <w:sz w:val="20"/>
      <w:szCs w:val="20"/>
    </w:rPr>
  </w:style>
  <w:style w:type="character" w:customStyle="1" w:styleId="ab">
    <w:name w:val="Текст примечания Знак"/>
    <w:basedOn w:val="a0"/>
    <w:link w:val="aa"/>
    <w:uiPriority w:val="99"/>
    <w:semiHidden/>
    <w:locked/>
    <w:rsid w:val="005921CC"/>
    <w:rPr>
      <w:rFonts w:ascii="Times New Roman" w:hAnsi="Times New Roman" w:cs="Times New Roman"/>
      <w:sz w:val="20"/>
      <w:szCs w:val="20"/>
      <w:lang w:eastAsia="ru-RU"/>
    </w:rPr>
  </w:style>
  <w:style w:type="paragraph" w:styleId="ac">
    <w:name w:val="annotation subject"/>
    <w:basedOn w:val="aa"/>
    <w:next w:val="aa"/>
    <w:link w:val="ad"/>
    <w:uiPriority w:val="99"/>
    <w:semiHidden/>
    <w:unhideWhenUsed/>
    <w:rsid w:val="005921CC"/>
    <w:rPr>
      <w:b/>
      <w:bCs/>
    </w:rPr>
  </w:style>
  <w:style w:type="character" w:customStyle="1" w:styleId="ad">
    <w:name w:val="Тема примечания Знак"/>
    <w:basedOn w:val="ab"/>
    <w:link w:val="ac"/>
    <w:uiPriority w:val="99"/>
    <w:semiHidden/>
    <w:locked/>
    <w:rsid w:val="005921CC"/>
    <w:rPr>
      <w:b/>
      <w:bCs/>
    </w:rPr>
  </w:style>
  <w:style w:type="paragraph" w:styleId="ae">
    <w:name w:val="Balloon Text"/>
    <w:basedOn w:val="a"/>
    <w:link w:val="af"/>
    <w:uiPriority w:val="99"/>
    <w:semiHidden/>
    <w:unhideWhenUsed/>
    <w:rsid w:val="005921CC"/>
    <w:rPr>
      <w:rFonts w:ascii="Tahoma" w:hAnsi="Tahoma" w:cs="Tahoma"/>
      <w:sz w:val="16"/>
      <w:szCs w:val="16"/>
    </w:rPr>
  </w:style>
  <w:style w:type="character" w:customStyle="1" w:styleId="af">
    <w:name w:val="Текст выноски Знак"/>
    <w:basedOn w:val="a0"/>
    <w:link w:val="ae"/>
    <w:uiPriority w:val="99"/>
    <w:semiHidden/>
    <w:locked/>
    <w:rsid w:val="005921CC"/>
    <w:rPr>
      <w:rFonts w:ascii="Tahoma" w:hAnsi="Tahoma" w:cs="Tahoma"/>
      <w:sz w:val="16"/>
      <w:szCs w:val="16"/>
      <w:lang w:eastAsia="ru-RU"/>
    </w:rPr>
  </w:style>
  <w:style w:type="paragraph" w:customStyle="1" w:styleId="ConsPlusNormal">
    <w:name w:val="ConsPlusNormal"/>
    <w:rsid w:val="005921CC"/>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2">
    <w:name w:val="Body Text 2"/>
    <w:basedOn w:val="a"/>
    <w:link w:val="20"/>
    <w:uiPriority w:val="99"/>
    <w:rsid w:val="0002385C"/>
    <w:pPr>
      <w:jc w:val="both"/>
    </w:pPr>
    <w:rPr>
      <w:sz w:val="20"/>
      <w:szCs w:val="20"/>
      <w:lang w:val="en-AU" w:eastAsia="en-US"/>
    </w:rPr>
  </w:style>
  <w:style w:type="character" w:customStyle="1" w:styleId="20">
    <w:name w:val="Основной текст 2 Знак"/>
    <w:basedOn w:val="a0"/>
    <w:link w:val="2"/>
    <w:uiPriority w:val="99"/>
    <w:locked/>
    <w:rsid w:val="0002385C"/>
    <w:rPr>
      <w:rFonts w:ascii="Times New Roman" w:hAnsi="Times New Roman" w:cs="Times New Roman"/>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309ebb53dfd9b3d78a8d67b9572c95fc">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a5be0e376e1625124f945998d29f7ac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006_не вступили в силу.Ждем публикацию</Статус_x0020_документа>
    <_EndDate xmlns="http://schemas.microsoft.com/sharepoint/v3/fields">02.04.2015</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8BBC4-ECAB-49BA-8D47-DE6279B5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F2DD5E-69D1-49F1-8A62-32FA2AAF8875}">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74651E38-9409-4386-86DB-82305A666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2280</Words>
  <Characters>12997</Characters>
  <Application>Microsoft Office Word</Application>
  <DocSecurity>0</DocSecurity>
  <Lines>108</Lines>
  <Paragraphs>30</Paragraphs>
  <ScaleCrop>false</ScaleCrop>
  <Company>*</Company>
  <LinksUpToDate>false</LinksUpToDate>
  <CharactersWithSpaces>15247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kulkova</cp:lastModifiedBy>
  <cp:revision>2</cp:revision>
  <cp:lastPrinted>2015-03-02T11:59:00Z</cp:lastPrinted>
  <dcterms:created xsi:type="dcterms:W3CDTF">2015-04-07T10:15:00Z</dcterms:created>
  <dcterms:modified xsi:type="dcterms:W3CDTF">2015-04-07T10:15:00Z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