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BC" w:rsidRPr="00B90407" w:rsidRDefault="005039BC" w:rsidP="005039BC">
      <w:pPr>
        <w:ind w:left="6096"/>
        <w:jc w:val="both"/>
        <w:rPr>
          <w:sz w:val="22"/>
          <w:szCs w:val="22"/>
        </w:rPr>
      </w:pPr>
      <w:r w:rsidRPr="00B90407">
        <w:rPr>
          <w:sz w:val="22"/>
          <w:szCs w:val="22"/>
        </w:rPr>
        <w:t>Утверждены</w:t>
      </w:r>
    </w:p>
    <w:p w:rsidR="005039BC" w:rsidRDefault="005039BC" w:rsidP="005039BC">
      <w:pPr>
        <w:ind w:left="6096"/>
        <w:jc w:val="both"/>
        <w:rPr>
          <w:sz w:val="22"/>
          <w:szCs w:val="22"/>
        </w:rPr>
      </w:pPr>
    </w:p>
    <w:p w:rsidR="005039BC" w:rsidRPr="00BD1F60" w:rsidRDefault="005039BC" w:rsidP="005039BC">
      <w:pPr>
        <w:ind w:left="6096"/>
        <w:jc w:val="both"/>
        <w:rPr>
          <w:sz w:val="22"/>
          <w:szCs w:val="22"/>
        </w:rPr>
      </w:pPr>
      <w:r>
        <w:rPr>
          <w:sz w:val="22"/>
          <w:szCs w:val="22"/>
        </w:rPr>
        <w:t>Протоколом общего собрания владельцев инвестиционных паев ЗПИФ рентный «Тверская усадьба»  от 21 июня 2017 г.</w:t>
      </w:r>
    </w:p>
    <w:p w:rsidR="005039BC" w:rsidRPr="00B90407" w:rsidRDefault="005039BC" w:rsidP="005039BC">
      <w:pPr>
        <w:ind w:left="6096"/>
        <w:jc w:val="both"/>
        <w:rPr>
          <w:bCs/>
          <w:sz w:val="22"/>
          <w:szCs w:val="22"/>
        </w:rPr>
      </w:pPr>
    </w:p>
    <w:p w:rsidR="005039BC" w:rsidRDefault="005039BC" w:rsidP="005039BC">
      <w:pPr>
        <w:pStyle w:val="a3"/>
        <w:ind w:left="6096" w:firstLine="0"/>
        <w:jc w:val="both"/>
        <w:rPr>
          <w:rFonts w:ascii="Times New Roman" w:hAnsi="Times New Roman" w:cs="Times New Roman"/>
          <w:sz w:val="22"/>
          <w:szCs w:val="22"/>
        </w:rPr>
      </w:pPr>
      <w:r w:rsidRPr="00B0234C">
        <w:rPr>
          <w:rFonts w:ascii="Times New Roman" w:hAnsi="Times New Roman" w:cs="Times New Roman"/>
          <w:sz w:val="22"/>
          <w:szCs w:val="22"/>
        </w:rPr>
        <w:t xml:space="preserve">Приказом  № </w:t>
      </w:r>
      <w:r w:rsidRPr="006D0602">
        <w:rPr>
          <w:rFonts w:ascii="Times New Roman" w:hAnsi="Times New Roman" w:cs="Times New Roman"/>
          <w:sz w:val="22"/>
          <w:szCs w:val="22"/>
        </w:rPr>
        <w:t xml:space="preserve"> </w:t>
      </w:r>
      <w:r w:rsidR="000B37D2" w:rsidRPr="000B37D2">
        <w:rPr>
          <w:rFonts w:ascii="Times New Roman" w:hAnsi="Times New Roman" w:cs="Times New Roman"/>
          <w:sz w:val="22"/>
          <w:szCs w:val="22"/>
          <w:rPrChange w:id="0" w:author="malyhina" w:date="2017-07-14T17:54:00Z">
            <w:rPr>
              <w:rFonts w:ascii="Times New Roman" w:hAnsi="Times New Roman" w:cs="Times New Roman"/>
              <w:sz w:val="22"/>
              <w:szCs w:val="22"/>
              <w:lang w:val="en-US"/>
            </w:rPr>
          </w:rPrChange>
        </w:rPr>
        <w:t xml:space="preserve">92 </w:t>
      </w:r>
      <w:r w:rsidRPr="00B0234C">
        <w:rPr>
          <w:rFonts w:ascii="Times New Roman" w:hAnsi="Times New Roman" w:cs="Times New Roman"/>
          <w:sz w:val="22"/>
          <w:szCs w:val="22"/>
        </w:rPr>
        <w:t xml:space="preserve"> от «</w:t>
      </w:r>
      <w:r>
        <w:rPr>
          <w:rFonts w:ascii="Times New Roman" w:hAnsi="Times New Roman" w:cs="Times New Roman"/>
          <w:sz w:val="22"/>
          <w:szCs w:val="22"/>
        </w:rPr>
        <w:t>28</w:t>
      </w:r>
      <w:r w:rsidRPr="00B0234C">
        <w:rPr>
          <w:rFonts w:ascii="Times New Roman" w:hAnsi="Times New Roman" w:cs="Times New Roman"/>
          <w:sz w:val="22"/>
          <w:szCs w:val="22"/>
        </w:rPr>
        <w:t xml:space="preserve">» </w:t>
      </w:r>
      <w:r>
        <w:rPr>
          <w:rFonts w:ascii="Times New Roman" w:hAnsi="Times New Roman" w:cs="Times New Roman"/>
          <w:sz w:val="22"/>
          <w:szCs w:val="22"/>
        </w:rPr>
        <w:t>июня</w:t>
      </w:r>
      <w:r w:rsidRPr="00B0234C">
        <w:rPr>
          <w:rFonts w:ascii="Times New Roman" w:hAnsi="Times New Roman" w:cs="Times New Roman"/>
          <w:sz w:val="22"/>
          <w:szCs w:val="22"/>
        </w:rPr>
        <w:t xml:space="preserve"> 2017 год</w:t>
      </w:r>
      <w:r>
        <w:rPr>
          <w:rFonts w:ascii="Times New Roman" w:hAnsi="Times New Roman" w:cs="Times New Roman"/>
          <w:sz w:val="22"/>
          <w:szCs w:val="22"/>
        </w:rPr>
        <w:t>а</w:t>
      </w:r>
    </w:p>
    <w:p w:rsidR="005039BC" w:rsidRDefault="005039BC" w:rsidP="005039BC">
      <w:pPr>
        <w:pStyle w:val="a3"/>
        <w:ind w:left="6096" w:firstLine="0"/>
        <w:jc w:val="both"/>
        <w:rPr>
          <w:rFonts w:ascii="Times New Roman" w:hAnsi="Times New Roman" w:cs="Times New Roman"/>
          <w:sz w:val="22"/>
          <w:szCs w:val="22"/>
        </w:rPr>
      </w:pPr>
    </w:p>
    <w:p w:rsidR="005039BC" w:rsidRDefault="005039BC" w:rsidP="005039BC">
      <w:pPr>
        <w:pStyle w:val="a3"/>
        <w:ind w:left="6096" w:firstLine="0"/>
        <w:jc w:val="both"/>
        <w:rPr>
          <w:rFonts w:ascii="Times New Roman" w:hAnsi="Times New Roman" w:cs="Times New Roman"/>
          <w:sz w:val="22"/>
          <w:szCs w:val="22"/>
        </w:rPr>
      </w:pPr>
      <w:r>
        <w:rPr>
          <w:rFonts w:ascii="Times New Roman" w:hAnsi="Times New Roman" w:cs="Times New Roman"/>
          <w:sz w:val="22"/>
          <w:szCs w:val="22"/>
        </w:rPr>
        <w:t>Генеральный директор ЗАО «ГФТ ПИФ»</w:t>
      </w:r>
    </w:p>
    <w:p w:rsidR="005039BC" w:rsidRDefault="005039BC" w:rsidP="005039BC">
      <w:pPr>
        <w:pStyle w:val="a3"/>
        <w:ind w:left="6096" w:firstLine="0"/>
        <w:jc w:val="both"/>
        <w:rPr>
          <w:rFonts w:ascii="Times New Roman" w:hAnsi="Times New Roman" w:cs="Times New Roman"/>
          <w:sz w:val="22"/>
          <w:szCs w:val="22"/>
        </w:rPr>
      </w:pPr>
    </w:p>
    <w:p w:rsidR="005039BC" w:rsidRDefault="005039BC" w:rsidP="005039BC">
      <w:pPr>
        <w:pStyle w:val="a3"/>
        <w:ind w:left="6096" w:firstLine="0"/>
        <w:jc w:val="both"/>
        <w:rPr>
          <w:rFonts w:ascii="Times New Roman" w:hAnsi="Times New Roman" w:cs="Times New Roman"/>
          <w:sz w:val="22"/>
          <w:szCs w:val="22"/>
        </w:rPr>
      </w:pPr>
      <w:r>
        <w:rPr>
          <w:rFonts w:ascii="Times New Roman" w:hAnsi="Times New Roman" w:cs="Times New Roman"/>
          <w:sz w:val="22"/>
          <w:szCs w:val="22"/>
        </w:rPr>
        <w:t>__________________/Анциферов М.В./</w:t>
      </w:r>
    </w:p>
    <w:p w:rsidR="005039BC" w:rsidRDefault="005039BC" w:rsidP="00CB366F">
      <w:pPr>
        <w:jc w:val="center"/>
        <w:rPr>
          <w:rFonts w:ascii="Arial" w:hAnsi="Arial" w:cs="Arial"/>
        </w:rPr>
      </w:pPr>
    </w:p>
    <w:p w:rsidR="005039BC" w:rsidRDefault="005039BC" w:rsidP="00CB366F">
      <w:pPr>
        <w:jc w:val="center"/>
        <w:rPr>
          <w:rFonts w:ascii="Arial" w:hAnsi="Arial" w:cs="Arial"/>
        </w:rPr>
      </w:pPr>
    </w:p>
    <w:p w:rsidR="005039BC" w:rsidRDefault="005039BC" w:rsidP="00CB366F">
      <w:pPr>
        <w:jc w:val="center"/>
        <w:rPr>
          <w:rFonts w:ascii="Arial" w:hAnsi="Arial" w:cs="Arial"/>
        </w:rPr>
      </w:pPr>
    </w:p>
    <w:p w:rsidR="005039BC" w:rsidRPr="00CB366F" w:rsidRDefault="005039BC" w:rsidP="00CB366F">
      <w:pPr>
        <w:jc w:val="center"/>
      </w:pPr>
    </w:p>
    <w:p w:rsidR="00CB366F" w:rsidRPr="005F34A7" w:rsidRDefault="00CB366F" w:rsidP="00CB366F">
      <w:pPr>
        <w:pStyle w:val="a3"/>
        <w:spacing w:after="60"/>
        <w:ind w:firstLine="284"/>
        <w:rPr>
          <w:rFonts w:ascii="Times New Roman" w:hAnsi="Times New Roman" w:cs="Times New Roman"/>
          <w:bCs/>
        </w:rPr>
      </w:pPr>
      <w:r w:rsidRPr="00FD257E">
        <w:rPr>
          <w:rFonts w:ascii="Times New Roman" w:hAnsi="Times New Roman" w:cs="Times New Roman"/>
          <w:bCs/>
        </w:rPr>
        <w:t>Изменени</w:t>
      </w:r>
      <w:r w:rsidR="005039BC">
        <w:rPr>
          <w:rFonts w:ascii="Times New Roman" w:hAnsi="Times New Roman" w:cs="Times New Roman"/>
          <w:bCs/>
        </w:rPr>
        <w:t>я</w:t>
      </w:r>
      <w:r w:rsidRPr="00FD257E">
        <w:rPr>
          <w:rFonts w:ascii="Times New Roman" w:hAnsi="Times New Roman" w:cs="Times New Roman"/>
          <w:bCs/>
        </w:rPr>
        <w:t xml:space="preserve"> и дополнени</w:t>
      </w:r>
      <w:r w:rsidR="005039BC">
        <w:rPr>
          <w:rFonts w:ascii="Times New Roman" w:hAnsi="Times New Roman" w:cs="Times New Roman"/>
          <w:bCs/>
        </w:rPr>
        <w:t>я №12</w:t>
      </w:r>
    </w:p>
    <w:p w:rsidR="00CB366F" w:rsidRPr="00FD257E" w:rsidRDefault="00CB366F" w:rsidP="00CB366F">
      <w:pPr>
        <w:pStyle w:val="a3"/>
        <w:spacing w:after="60"/>
        <w:ind w:firstLine="284"/>
        <w:rPr>
          <w:rFonts w:ascii="Times New Roman" w:hAnsi="Times New Roman" w:cs="Times New Roman"/>
          <w:bCs/>
        </w:rPr>
      </w:pPr>
      <w:r w:rsidRPr="00FD257E">
        <w:rPr>
          <w:rFonts w:ascii="Times New Roman" w:hAnsi="Times New Roman" w:cs="Times New Roman"/>
          <w:bCs/>
        </w:rPr>
        <w:t>в Правила доверительного управления</w:t>
      </w:r>
    </w:p>
    <w:p w:rsidR="001E31A2" w:rsidRPr="00FD257E" w:rsidRDefault="001E31A2" w:rsidP="001E31A2">
      <w:pPr>
        <w:keepNext/>
        <w:widowControl w:val="0"/>
        <w:suppressLineNumbers/>
        <w:suppressAutoHyphens/>
        <w:autoSpaceDE w:val="0"/>
        <w:autoSpaceDN w:val="0"/>
        <w:adjustRightInd w:val="0"/>
        <w:spacing w:before="120"/>
        <w:jc w:val="center"/>
        <w:rPr>
          <w:b/>
          <w:bCs/>
        </w:rPr>
      </w:pPr>
      <w:r w:rsidRPr="00FD257E">
        <w:rPr>
          <w:b/>
          <w:bCs/>
        </w:rPr>
        <w:t>Закрытым</w:t>
      </w:r>
      <w:r w:rsidRPr="00FD257E">
        <w:t xml:space="preserve"> </w:t>
      </w:r>
      <w:r w:rsidRPr="00FD257E">
        <w:rPr>
          <w:b/>
          <w:bCs/>
        </w:rPr>
        <w:t xml:space="preserve">паевым инвестиционным фондом </w:t>
      </w:r>
      <w:r w:rsidR="00964C19">
        <w:rPr>
          <w:b/>
          <w:bCs/>
        </w:rPr>
        <w:t>рентным</w:t>
      </w:r>
      <w:r w:rsidR="002F4555" w:rsidRPr="002F4555">
        <w:rPr>
          <w:b/>
          <w:bCs/>
        </w:rPr>
        <w:t xml:space="preserve"> </w:t>
      </w:r>
    </w:p>
    <w:p w:rsidR="002F4555" w:rsidRDefault="002F4555" w:rsidP="0070046D">
      <w:pPr>
        <w:pStyle w:val="a3"/>
        <w:spacing w:after="60"/>
        <w:ind w:firstLine="284"/>
        <w:rPr>
          <w:rFonts w:ascii="Times New Roman" w:hAnsi="Times New Roman" w:cs="Times New Roman"/>
          <w:bCs/>
        </w:rPr>
      </w:pPr>
      <w:r w:rsidRPr="002F4555">
        <w:rPr>
          <w:rFonts w:ascii="Times New Roman" w:hAnsi="Times New Roman" w:cs="Times New Roman"/>
          <w:b/>
          <w:bCs/>
          <w:sz w:val="32"/>
          <w:szCs w:val="32"/>
        </w:rPr>
        <w:t>«</w:t>
      </w:r>
      <w:r w:rsidR="00964C19">
        <w:rPr>
          <w:rFonts w:ascii="Times New Roman" w:hAnsi="Times New Roman" w:cs="Times New Roman"/>
          <w:b/>
          <w:bCs/>
          <w:sz w:val="32"/>
          <w:szCs w:val="32"/>
        </w:rPr>
        <w:t xml:space="preserve">Тверская </w:t>
      </w:r>
      <w:r w:rsidR="00177608">
        <w:rPr>
          <w:rFonts w:ascii="Times New Roman" w:hAnsi="Times New Roman" w:cs="Times New Roman"/>
          <w:b/>
          <w:bCs/>
          <w:sz w:val="32"/>
          <w:szCs w:val="32"/>
        </w:rPr>
        <w:t>усадьба</w:t>
      </w:r>
      <w:r w:rsidRPr="002F4555">
        <w:rPr>
          <w:rFonts w:ascii="Times New Roman" w:hAnsi="Times New Roman" w:cs="Times New Roman"/>
          <w:b/>
          <w:bCs/>
          <w:sz w:val="32"/>
          <w:szCs w:val="32"/>
        </w:rPr>
        <w:t>»</w:t>
      </w:r>
    </w:p>
    <w:p w:rsidR="00CB366F" w:rsidRPr="00752A43" w:rsidRDefault="00E50BE1" w:rsidP="0070046D">
      <w:pPr>
        <w:pStyle w:val="a3"/>
        <w:spacing w:after="60"/>
        <w:ind w:firstLine="284"/>
        <w:rPr>
          <w:rFonts w:ascii="Times New Roman" w:hAnsi="Times New Roman" w:cs="Times New Roman"/>
        </w:rPr>
      </w:pPr>
      <w:r w:rsidRPr="00E50BE1">
        <w:rPr>
          <w:rFonts w:ascii="Times New Roman" w:hAnsi="Times New Roman" w:cs="Times New Roman"/>
          <w:bCs/>
        </w:rPr>
        <w:t>(</w:t>
      </w:r>
      <w:r w:rsidR="00CB366F" w:rsidRPr="00FD257E">
        <w:rPr>
          <w:rFonts w:ascii="Times New Roman" w:hAnsi="Times New Roman" w:cs="Times New Roman"/>
          <w:bCs/>
        </w:rPr>
        <w:t xml:space="preserve">Правила доверительного управления фондом зарегистрированы </w:t>
      </w:r>
      <w:r w:rsidR="00964C19">
        <w:rPr>
          <w:rFonts w:ascii="Times New Roman" w:hAnsi="Times New Roman" w:cs="Times New Roman"/>
          <w:bCs/>
        </w:rPr>
        <w:t xml:space="preserve">Банком России </w:t>
      </w:r>
      <w:r w:rsidR="00082315" w:rsidRPr="00082315">
        <w:rPr>
          <w:rFonts w:ascii="Times New Roman" w:hAnsi="Times New Roman" w:cs="Times New Roman"/>
          <w:bCs/>
        </w:rPr>
        <w:t>2</w:t>
      </w:r>
      <w:r w:rsidR="00177608">
        <w:rPr>
          <w:rFonts w:ascii="Times New Roman" w:hAnsi="Times New Roman" w:cs="Times New Roman"/>
          <w:bCs/>
        </w:rPr>
        <w:t>3</w:t>
      </w:r>
      <w:r w:rsidR="00082315" w:rsidRPr="00082315">
        <w:rPr>
          <w:rFonts w:ascii="Times New Roman" w:hAnsi="Times New Roman" w:cs="Times New Roman"/>
          <w:bCs/>
        </w:rPr>
        <w:t xml:space="preserve"> </w:t>
      </w:r>
      <w:r w:rsidR="00177608">
        <w:rPr>
          <w:rFonts w:ascii="Times New Roman" w:hAnsi="Times New Roman" w:cs="Times New Roman"/>
          <w:bCs/>
        </w:rPr>
        <w:t>декабря</w:t>
      </w:r>
      <w:r w:rsidR="00082315">
        <w:rPr>
          <w:rFonts w:ascii="Times New Roman" w:hAnsi="Times New Roman" w:cs="Times New Roman"/>
          <w:bCs/>
        </w:rPr>
        <w:t xml:space="preserve"> 20</w:t>
      </w:r>
      <w:r w:rsidR="00177608">
        <w:rPr>
          <w:rFonts w:ascii="Times New Roman" w:hAnsi="Times New Roman" w:cs="Times New Roman"/>
          <w:bCs/>
        </w:rPr>
        <w:t>08</w:t>
      </w:r>
      <w:r w:rsidR="00CB366F" w:rsidRPr="00FD257E">
        <w:rPr>
          <w:rFonts w:ascii="Times New Roman" w:hAnsi="Times New Roman" w:cs="Times New Roman"/>
        </w:rPr>
        <w:t xml:space="preserve"> года</w:t>
      </w:r>
      <w:r w:rsidR="0070046D" w:rsidRPr="00FD257E">
        <w:rPr>
          <w:rFonts w:ascii="Times New Roman" w:hAnsi="Times New Roman" w:cs="Times New Roman"/>
        </w:rPr>
        <w:t xml:space="preserve"> </w:t>
      </w:r>
      <w:r w:rsidR="00CB366F" w:rsidRPr="00FD257E">
        <w:rPr>
          <w:rFonts w:ascii="Times New Roman" w:hAnsi="Times New Roman" w:cs="Times New Roman"/>
        </w:rPr>
        <w:t>за №</w:t>
      </w:r>
      <w:r w:rsidR="00082315">
        <w:rPr>
          <w:rFonts w:ascii="Times New Roman" w:hAnsi="Times New Roman" w:cs="Times New Roman"/>
        </w:rPr>
        <w:t xml:space="preserve"> </w:t>
      </w:r>
      <w:r w:rsidR="00177608">
        <w:rPr>
          <w:rFonts w:ascii="Times New Roman" w:hAnsi="Times New Roman" w:cs="Times New Roman"/>
        </w:rPr>
        <w:t>1333-94157452</w:t>
      </w:r>
      <w:r w:rsidR="00CB366F" w:rsidRPr="00FD257E">
        <w:rPr>
          <w:rFonts w:ascii="Times New Roman" w:hAnsi="Times New Roman" w:cs="Times New Roman"/>
        </w:rPr>
        <w:t>)</w:t>
      </w:r>
    </w:p>
    <w:p w:rsidR="00E50BE1" w:rsidRPr="00752A43" w:rsidRDefault="00E50BE1" w:rsidP="0070046D">
      <w:pPr>
        <w:pStyle w:val="a3"/>
        <w:spacing w:after="60"/>
        <w:ind w:firstLine="284"/>
        <w:rPr>
          <w:rFonts w:ascii="Times New Roman" w:hAnsi="Times New Roman" w:cs="Times New Roman"/>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5040"/>
      </w:tblGrid>
      <w:tr w:rsidR="00CB366F" w:rsidRPr="00A16525" w:rsidTr="005921CC">
        <w:tc>
          <w:tcPr>
            <w:tcW w:w="540" w:type="dxa"/>
          </w:tcPr>
          <w:p w:rsidR="00CB366F" w:rsidRPr="00A16525" w:rsidRDefault="00CB366F" w:rsidP="005921CC">
            <w:pPr>
              <w:spacing w:after="60"/>
              <w:jc w:val="center"/>
            </w:pPr>
            <w:r w:rsidRPr="00A16525">
              <w:t xml:space="preserve">№ </w:t>
            </w:r>
            <w:proofErr w:type="spellStart"/>
            <w:r w:rsidRPr="00A16525">
              <w:t>п</w:t>
            </w:r>
            <w:proofErr w:type="gramStart"/>
            <w:r w:rsidRPr="00A16525">
              <w:t>.п</w:t>
            </w:r>
            <w:proofErr w:type="spellEnd"/>
            <w:proofErr w:type="gramEnd"/>
          </w:p>
        </w:tc>
        <w:tc>
          <w:tcPr>
            <w:tcW w:w="4860" w:type="dxa"/>
          </w:tcPr>
          <w:p w:rsidR="00CB366F" w:rsidRPr="00A16525" w:rsidRDefault="00CB366F" w:rsidP="005921CC">
            <w:pPr>
              <w:pStyle w:val="3"/>
            </w:pPr>
            <w:r w:rsidRPr="00A16525">
              <w:t xml:space="preserve">Старая редакция </w:t>
            </w:r>
          </w:p>
        </w:tc>
        <w:tc>
          <w:tcPr>
            <w:tcW w:w="5040" w:type="dxa"/>
          </w:tcPr>
          <w:p w:rsidR="00CB366F" w:rsidRPr="00A16525" w:rsidRDefault="00CB366F" w:rsidP="005921CC">
            <w:pPr>
              <w:pStyle w:val="3"/>
            </w:pPr>
            <w:r w:rsidRPr="00A16525">
              <w:t>Новая редакция</w:t>
            </w:r>
          </w:p>
        </w:tc>
      </w:tr>
      <w:tr w:rsidR="00B55A61" w:rsidRPr="00A16525" w:rsidTr="00B55A61">
        <w:trPr>
          <w:trHeight w:val="47"/>
        </w:trPr>
        <w:tc>
          <w:tcPr>
            <w:tcW w:w="540" w:type="dxa"/>
          </w:tcPr>
          <w:p w:rsidR="00B55A61" w:rsidRPr="00A16525" w:rsidRDefault="00B55A61" w:rsidP="00E83EAB">
            <w:pPr>
              <w:tabs>
                <w:tab w:val="left" w:pos="1985"/>
                <w:tab w:val="left" w:pos="5103"/>
              </w:tabs>
              <w:spacing w:after="60"/>
              <w:jc w:val="both"/>
            </w:pPr>
            <w:r>
              <w:t>1</w:t>
            </w:r>
          </w:p>
        </w:tc>
        <w:tc>
          <w:tcPr>
            <w:tcW w:w="4860" w:type="dxa"/>
          </w:tcPr>
          <w:p w:rsidR="00177608" w:rsidRPr="00DC6A8F" w:rsidRDefault="00B55A61" w:rsidP="00177608">
            <w:pPr>
              <w:ind w:firstLine="720"/>
              <w:jc w:val="both"/>
              <w:rPr>
                <w:sz w:val="22"/>
                <w:szCs w:val="22"/>
              </w:rPr>
            </w:pPr>
            <w:r w:rsidRPr="00DC6A8F">
              <w:rPr>
                <w:sz w:val="22"/>
                <w:szCs w:val="22"/>
              </w:rPr>
              <w:t> </w:t>
            </w:r>
            <w:r w:rsidR="00177608" w:rsidRPr="00177608">
              <w:rPr>
                <w:b/>
                <w:sz w:val="22"/>
                <w:szCs w:val="22"/>
              </w:rPr>
              <w:t>35.</w:t>
            </w:r>
            <w:r w:rsidR="00177608" w:rsidRPr="00DC6A8F">
              <w:rPr>
                <w:sz w:val="22"/>
                <w:szCs w:val="22"/>
              </w:rPr>
              <w:t> Инвестиционный пай является именной ценной бумагой, удостоверяющей:</w:t>
            </w:r>
          </w:p>
          <w:p w:rsidR="00177608" w:rsidRPr="00DC6A8F" w:rsidRDefault="00177608" w:rsidP="00177608">
            <w:pPr>
              <w:ind w:firstLine="720"/>
              <w:jc w:val="both"/>
              <w:rPr>
                <w:sz w:val="22"/>
                <w:szCs w:val="22"/>
              </w:rPr>
            </w:pPr>
            <w:r w:rsidRPr="00DC6A8F">
              <w:rPr>
                <w:sz w:val="22"/>
                <w:szCs w:val="22"/>
              </w:rPr>
              <w:t>1) долю его владельца в праве собственности на имущество, составляющее фонд;</w:t>
            </w:r>
          </w:p>
          <w:p w:rsidR="00177608" w:rsidRPr="00DC6A8F" w:rsidRDefault="00177608" w:rsidP="00177608">
            <w:pPr>
              <w:ind w:firstLine="720"/>
              <w:jc w:val="both"/>
              <w:rPr>
                <w:sz w:val="22"/>
                <w:szCs w:val="22"/>
              </w:rPr>
            </w:pPr>
            <w:r w:rsidRPr="00DC6A8F">
              <w:rPr>
                <w:sz w:val="22"/>
                <w:szCs w:val="22"/>
              </w:rPr>
              <w:t>2) право требовать от управляющей компании надлежащего доверительного управления фондом;</w:t>
            </w:r>
          </w:p>
          <w:p w:rsidR="00177608" w:rsidRPr="00DC6A8F" w:rsidRDefault="00177608" w:rsidP="00177608">
            <w:pPr>
              <w:ind w:firstLine="720"/>
              <w:jc w:val="both"/>
              <w:rPr>
                <w:sz w:val="22"/>
                <w:szCs w:val="22"/>
              </w:rPr>
            </w:pPr>
            <w:r w:rsidRPr="00DC6A8F">
              <w:rPr>
                <w:sz w:val="22"/>
                <w:szCs w:val="22"/>
              </w:rPr>
              <w:t>3) право на участие в общем собрании владельцев инвестиционных паев;</w:t>
            </w:r>
          </w:p>
          <w:p w:rsidR="00177608" w:rsidRPr="00DC6A8F" w:rsidRDefault="00177608" w:rsidP="00177608">
            <w:pPr>
              <w:ind w:firstLine="567"/>
              <w:jc w:val="both"/>
              <w:rPr>
                <w:sz w:val="22"/>
                <w:szCs w:val="22"/>
              </w:rPr>
            </w:pPr>
            <w:r w:rsidRPr="00DC6A8F">
              <w:rPr>
                <w:sz w:val="22"/>
                <w:szCs w:val="22"/>
              </w:rPr>
              <w:t>4) право владельцев инвестиционных паев на получение дохода по инвестиционному паю;</w:t>
            </w:r>
          </w:p>
          <w:p w:rsidR="00177608" w:rsidRPr="00DC6A8F" w:rsidRDefault="00177608" w:rsidP="00177608">
            <w:pPr>
              <w:ind w:firstLine="567"/>
              <w:jc w:val="both"/>
              <w:rPr>
                <w:sz w:val="22"/>
                <w:szCs w:val="22"/>
              </w:rPr>
            </w:pPr>
            <w:r w:rsidRPr="00DC6A8F">
              <w:rPr>
                <w:sz w:val="22"/>
                <w:szCs w:val="22"/>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w:t>
            </w:r>
          </w:p>
          <w:p w:rsidR="00177608" w:rsidRPr="00DC6A8F" w:rsidRDefault="00177608" w:rsidP="00177608">
            <w:pPr>
              <w:ind w:firstLine="567"/>
              <w:jc w:val="both"/>
              <w:rPr>
                <w:sz w:val="22"/>
                <w:szCs w:val="22"/>
              </w:rPr>
            </w:pPr>
            <w:r w:rsidRPr="00DC6A8F">
              <w:rPr>
                <w:sz w:val="22"/>
                <w:szCs w:val="22"/>
              </w:rPr>
              <w:t>Выплата дохода осуществляется  не позднее 30 (Тридцати) дней начиная с 5 (Пятого) рабочего дня следующего за отчетным периодом.</w:t>
            </w:r>
          </w:p>
          <w:p w:rsidR="00177608" w:rsidRPr="00DC6A8F" w:rsidRDefault="00177608" w:rsidP="00177608">
            <w:pPr>
              <w:ind w:firstLine="567"/>
              <w:jc w:val="both"/>
              <w:rPr>
                <w:sz w:val="22"/>
                <w:szCs w:val="22"/>
              </w:rPr>
            </w:pPr>
            <w:r w:rsidRPr="00DC6A8F">
              <w:rPr>
                <w:sz w:val="22"/>
                <w:szCs w:val="22"/>
              </w:rPr>
              <w:t>Промежуточные выплаты инвестиционного дохода в течение отчетного периода не производятся. Доход по инвестиционному паю составляет 100 (</w:t>
            </w:r>
            <w:proofErr w:type="gramStart"/>
            <w:r w:rsidRPr="00DC6A8F">
              <w:rPr>
                <w:sz w:val="22"/>
                <w:szCs w:val="22"/>
                <w:lang w:val="en-US"/>
              </w:rPr>
              <w:t>C</w:t>
            </w:r>
            <w:proofErr w:type="gramEnd"/>
            <w:r w:rsidRPr="00DC6A8F">
              <w:rPr>
                <w:sz w:val="22"/>
                <w:szCs w:val="22"/>
              </w:rPr>
              <w:t xml:space="preserve">то) процентов от суммы денежных средств, находящихся на расчетном счету № 40701810600004250290, открытом в АКЦИОНЕРНОМ КОММЕРЧЕСКОМ ИННОВАЦИОННОМ БАНКЕ </w:t>
            </w:r>
            <w:r w:rsidRPr="00DC6A8F">
              <w:rPr>
                <w:sz w:val="22"/>
                <w:szCs w:val="22"/>
              </w:rPr>
              <w:lastRenderedPageBreak/>
              <w:t>«ОБРАЗОВАНИЕ» (закрытое акционерное общество), на последний рабочий день отчетного периода.</w:t>
            </w:r>
          </w:p>
          <w:p w:rsidR="00177608" w:rsidRPr="00DC6A8F" w:rsidRDefault="00177608" w:rsidP="00177608">
            <w:pPr>
              <w:ind w:firstLine="567"/>
              <w:jc w:val="both"/>
              <w:rPr>
                <w:sz w:val="22"/>
                <w:szCs w:val="22"/>
              </w:rPr>
            </w:pPr>
            <w:r w:rsidRPr="00DC6A8F">
              <w:rPr>
                <w:sz w:val="22"/>
                <w:szCs w:val="22"/>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177608" w:rsidRPr="00DC6A8F" w:rsidRDefault="00177608" w:rsidP="00177608">
            <w:pPr>
              <w:ind w:firstLine="567"/>
              <w:jc w:val="both"/>
              <w:rPr>
                <w:sz w:val="22"/>
                <w:szCs w:val="22"/>
              </w:rPr>
            </w:pPr>
            <w:r w:rsidRPr="00DC6A8F">
              <w:rPr>
                <w:sz w:val="22"/>
                <w:szCs w:val="22"/>
              </w:rPr>
              <w:t xml:space="preserve">Доход по инвестиционным паям начисляется владельцам инвестиционных паев по итогам каждого отчетного периода в 5 (Пятый) рабочий день месяца, следующего за отчетным периодом. </w:t>
            </w:r>
          </w:p>
          <w:p w:rsidR="00177608" w:rsidRPr="00DC6A8F" w:rsidRDefault="00177608" w:rsidP="00177608">
            <w:pPr>
              <w:ind w:firstLine="567"/>
              <w:jc w:val="both"/>
              <w:rPr>
                <w:sz w:val="22"/>
                <w:szCs w:val="22"/>
              </w:rPr>
            </w:pPr>
            <w:r w:rsidRPr="00DC6A8F">
              <w:rPr>
                <w:sz w:val="22"/>
                <w:szCs w:val="22"/>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w:t>
            </w:r>
          </w:p>
          <w:p w:rsidR="00177608" w:rsidRPr="00DC6A8F" w:rsidRDefault="00177608" w:rsidP="00177608">
            <w:pPr>
              <w:ind w:firstLine="567"/>
              <w:jc w:val="both"/>
              <w:rPr>
                <w:sz w:val="22"/>
                <w:szCs w:val="22"/>
              </w:rPr>
            </w:pPr>
            <w:r w:rsidRPr="00DC6A8F">
              <w:rPr>
                <w:sz w:val="22"/>
                <w:szCs w:val="22"/>
              </w:rPr>
              <w:t xml:space="preserve">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DC6A8F">
              <w:rPr>
                <w:sz w:val="22"/>
                <w:szCs w:val="22"/>
              </w:rPr>
              <w:t>с даты получения</w:t>
            </w:r>
            <w:proofErr w:type="gramEnd"/>
            <w:r w:rsidRPr="00DC6A8F">
              <w:rPr>
                <w:sz w:val="22"/>
                <w:szCs w:val="22"/>
              </w:rPr>
              <w:t xml:space="preserve"> управляющей компанией необходимых сведений о реквизитах банковского счета для перечисления дохода;</w:t>
            </w:r>
          </w:p>
          <w:p w:rsidR="00177608" w:rsidRPr="00DC6A8F" w:rsidRDefault="00177608" w:rsidP="00177608">
            <w:pPr>
              <w:ind w:firstLine="720"/>
              <w:jc w:val="both"/>
              <w:rPr>
                <w:sz w:val="22"/>
                <w:szCs w:val="22"/>
              </w:rPr>
            </w:pPr>
            <w:r w:rsidRPr="00DC6A8F">
              <w:rPr>
                <w:sz w:val="22"/>
                <w:szCs w:val="22"/>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B55A61" w:rsidRPr="006A70A1" w:rsidRDefault="00177608" w:rsidP="00177608">
            <w:pPr>
              <w:tabs>
                <w:tab w:val="left" w:pos="1985"/>
                <w:tab w:val="left" w:pos="5103"/>
              </w:tabs>
              <w:ind w:firstLine="666"/>
              <w:jc w:val="both"/>
            </w:pPr>
            <w:r w:rsidRPr="00DC6A8F">
              <w:rPr>
                <w:sz w:val="22"/>
                <w:szCs w:val="22"/>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5040" w:type="dxa"/>
          </w:tcPr>
          <w:p w:rsidR="00177608" w:rsidRPr="00DC6A8F" w:rsidRDefault="00177608" w:rsidP="00177608">
            <w:pPr>
              <w:ind w:firstLine="720"/>
              <w:jc w:val="both"/>
              <w:rPr>
                <w:sz w:val="22"/>
                <w:szCs w:val="22"/>
              </w:rPr>
            </w:pPr>
            <w:r w:rsidRPr="00177608">
              <w:rPr>
                <w:b/>
                <w:sz w:val="22"/>
                <w:szCs w:val="22"/>
              </w:rPr>
              <w:lastRenderedPageBreak/>
              <w:t>35.</w:t>
            </w:r>
            <w:r w:rsidRPr="00DC6A8F">
              <w:rPr>
                <w:sz w:val="22"/>
                <w:szCs w:val="22"/>
              </w:rPr>
              <w:t> Инвестиционный пай является именной ценной бумагой, удостоверяющей:</w:t>
            </w:r>
          </w:p>
          <w:p w:rsidR="00177608" w:rsidRPr="00DC6A8F" w:rsidRDefault="00177608" w:rsidP="00177608">
            <w:pPr>
              <w:ind w:firstLine="720"/>
              <w:jc w:val="both"/>
              <w:rPr>
                <w:sz w:val="22"/>
                <w:szCs w:val="22"/>
              </w:rPr>
            </w:pPr>
            <w:r w:rsidRPr="00DC6A8F">
              <w:rPr>
                <w:sz w:val="22"/>
                <w:szCs w:val="22"/>
              </w:rPr>
              <w:t>1) долю его владельца в праве собственности на имущество, составляющее фонд;</w:t>
            </w:r>
          </w:p>
          <w:p w:rsidR="00177608" w:rsidRPr="00DC6A8F" w:rsidRDefault="00177608" w:rsidP="00177608">
            <w:pPr>
              <w:ind w:firstLine="720"/>
              <w:jc w:val="both"/>
              <w:rPr>
                <w:sz w:val="22"/>
                <w:szCs w:val="22"/>
              </w:rPr>
            </w:pPr>
            <w:r w:rsidRPr="00DC6A8F">
              <w:rPr>
                <w:sz w:val="22"/>
                <w:szCs w:val="22"/>
              </w:rPr>
              <w:t>2) право требовать от управляющей компании надлежащего доверительного управления фондом;</w:t>
            </w:r>
          </w:p>
          <w:p w:rsidR="00177608" w:rsidRPr="00DC6A8F" w:rsidRDefault="00177608" w:rsidP="00177608">
            <w:pPr>
              <w:ind w:firstLine="720"/>
              <w:jc w:val="both"/>
              <w:rPr>
                <w:sz w:val="22"/>
                <w:szCs w:val="22"/>
              </w:rPr>
            </w:pPr>
            <w:r w:rsidRPr="00DC6A8F">
              <w:rPr>
                <w:sz w:val="22"/>
                <w:szCs w:val="22"/>
              </w:rPr>
              <w:t>3) право на участие в общем собрании владельцев инвестиционных паев;</w:t>
            </w:r>
          </w:p>
          <w:p w:rsidR="00177608" w:rsidRPr="00DC6A8F" w:rsidRDefault="00177608" w:rsidP="00177608">
            <w:pPr>
              <w:ind w:firstLine="567"/>
              <w:jc w:val="both"/>
              <w:rPr>
                <w:sz w:val="22"/>
                <w:szCs w:val="22"/>
              </w:rPr>
            </w:pPr>
            <w:r w:rsidRPr="00DC6A8F">
              <w:rPr>
                <w:sz w:val="22"/>
                <w:szCs w:val="22"/>
              </w:rPr>
              <w:t>4) право владельцев инвестиционных паев на получение дохода по инвестиционному паю;</w:t>
            </w:r>
          </w:p>
          <w:p w:rsidR="00177608" w:rsidRPr="00DC6A8F" w:rsidRDefault="00177608" w:rsidP="00177608">
            <w:pPr>
              <w:ind w:firstLine="567"/>
              <w:jc w:val="both"/>
              <w:rPr>
                <w:sz w:val="22"/>
                <w:szCs w:val="22"/>
              </w:rPr>
            </w:pPr>
            <w:r w:rsidRPr="00DC6A8F">
              <w:rPr>
                <w:sz w:val="22"/>
                <w:szCs w:val="22"/>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w:t>
            </w:r>
          </w:p>
          <w:p w:rsidR="00177608" w:rsidRPr="00DC6A8F" w:rsidRDefault="00177608" w:rsidP="00177608">
            <w:pPr>
              <w:ind w:firstLine="567"/>
              <w:jc w:val="both"/>
              <w:rPr>
                <w:sz w:val="22"/>
                <w:szCs w:val="22"/>
              </w:rPr>
            </w:pPr>
            <w:r w:rsidRPr="00DC6A8F">
              <w:rPr>
                <w:sz w:val="22"/>
                <w:szCs w:val="22"/>
              </w:rPr>
              <w:t>Выплата дохода осуществляется  не позднее 30 (Тридцати) дней начиная с 5 (Пятого) рабочего дня следующего за отчетным периодом.</w:t>
            </w:r>
          </w:p>
          <w:p w:rsidR="00177608" w:rsidRPr="00DC6A8F" w:rsidRDefault="00177608" w:rsidP="00177608">
            <w:pPr>
              <w:ind w:firstLine="567"/>
              <w:jc w:val="both"/>
              <w:rPr>
                <w:sz w:val="22"/>
                <w:szCs w:val="22"/>
              </w:rPr>
            </w:pPr>
            <w:r w:rsidRPr="00DC6A8F">
              <w:rPr>
                <w:sz w:val="22"/>
                <w:szCs w:val="22"/>
              </w:rPr>
              <w:t>Промежуточные выплаты инвестиционного дохода в течение отчетного периода не производятся. Доход по инвестиционному паю составляет 100 (</w:t>
            </w:r>
            <w:proofErr w:type="gramStart"/>
            <w:r w:rsidRPr="00DC6A8F">
              <w:rPr>
                <w:sz w:val="22"/>
                <w:szCs w:val="22"/>
                <w:lang w:val="en-US"/>
              </w:rPr>
              <w:t>C</w:t>
            </w:r>
            <w:proofErr w:type="gramEnd"/>
            <w:r w:rsidRPr="00DC6A8F">
              <w:rPr>
                <w:sz w:val="22"/>
                <w:szCs w:val="22"/>
              </w:rPr>
              <w:t xml:space="preserve">то) процентов от суммы денежных средств, находящихся на расчетном счету № </w:t>
            </w:r>
            <w:r>
              <w:rPr>
                <w:sz w:val="22"/>
                <w:szCs w:val="22"/>
              </w:rPr>
              <w:t>40701810100000000258</w:t>
            </w:r>
            <w:r w:rsidRPr="00DC6A8F">
              <w:rPr>
                <w:sz w:val="22"/>
                <w:szCs w:val="22"/>
              </w:rPr>
              <w:t xml:space="preserve">, открытом в </w:t>
            </w:r>
            <w:r>
              <w:rPr>
                <w:sz w:val="22"/>
                <w:szCs w:val="22"/>
              </w:rPr>
              <w:t>«</w:t>
            </w:r>
            <w:proofErr w:type="spellStart"/>
            <w:r>
              <w:rPr>
                <w:sz w:val="22"/>
                <w:szCs w:val="22"/>
              </w:rPr>
              <w:t>Газпромбанк</w:t>
            </w:r>
            <w:proofErr w:type="spellEnd"/>
            <w:r>
              <w:rPr>
                <w:sz w:val="22"/>
                <w:szCs w:val="22"/>
              </w:rPr>
              <w:t>»</w:t>
            </w:r>
            <w:r w:rsidRPr="00DC6A8F">
              <w:rPr>
                <w:sz w:val="22"/>
                <w:szCs w:val="22"/>
              </w:rPr>
              <w:t xml:space="preserve"> (</w:t>
            </w:r>
            <w:r>
              <w:rPr>
                <w:sz w:val="22"/>
                <w:szCs w:val="22"/>
              </w:rPr>
              <w:t>А</w:t>
            </w:r>
            <w:r w:rsidRPr="00DC6A8F">
              <w:rPr>
                <w:sz w:val="22"/>
                <w:szCs w:val="22"/>
              </w:rPr>
              <w:t>кционерное общество), на последний рабочий день отчетного периода.</w:t>
            </w:r>
          </w:p>
          <w:p w:rsidR="00177608" w:rsidRPr="00DC6A8F" w:rsidRDefault="00177608" w:rsidP="00177608">
            <w:pPr>
              <w:ind w:firstLine="567"/>
              <w:jc w:val="both"/>
              <w:rPr>
                <w:sz w:val="22"/>
                <w:szCs w:val="22"/>
              </w:rPr>
            </w:pPr>
            <w:r w:rsidRPr="00DC6A8F">
              <w:rPr>
                <w:sz w:val="22"/>
                <w:szCs w:val="22"/>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w:t>
            </w:r>
            <w:r w:rsidRPr="00DC6A8F">
              <w:rPr>
                <w:sz w:val="22"/>
                <w:szCs w:val="22"/>
              </w:rPr>
              <w:lastRenderedPageBreak/>
              <w:t>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177608" w:rsidRPr="00DC6A8F" w:rsidRDefault="00177608" w:rsidP="00177608">
            <w:pPr>
              <w:ind w:firstLine="567"/>
              <w:jc w:val="both"/>
              <w:rPr>
                <w:sz w:val="22"/>
                <w:szCs w:val="22"/>
              </w:rPr>
            </w:pPr>
            <w:r w:rsidRPr="00DC6A8F">
              <w:rPr>
                <w:sz w:val="22"/>
                <w:szCs w:val="22"/>
              </w:rPr>
              <w:t xml:space="preserve">Доход по инвестиционным паям начисляется владельцам инвестиционных паев по итогам каждого отчетного периода в 5 (Пятый) рабочий день месяца, следующего за отчетным периодом. </w:t>
            </w:r>
          </w:p>
          <w:p w:rsidR="00177608" w:rsidRPr="00DC6A8F" w:rsidRDefault="00177608" w:rsidP="00177608">
            <w:pPr>
              <w:ind w:firstLine="567"/>
              <w:jc w:val="both"/>
              <w:rPr>
                <w:sz w:val="22"/>
                <w:szCs w:val="22"/>
              </w:rPr>
            </w:pPr>
            <w:r w:rsidRPr="00DC6A8F">
              <w:rPr>
                <w:sz w:val="22"/>
                <w:szCs w:val="22"/>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w:t>
            </w:r>
          </w:p>
          <w:p w:rsidR="00177608" w:rsidRPr="00DC6A8F" w:rsidRDefault="00177608" w:rsidP="00177608">
            <w:pPr>
              <w:ind w:firstLine="567"/>
              <w:jc w:val="both"/>
              <w:rPr>
                <w:sz w:val="22"/>
                <w:szCs w:val="22"/>
              </w:rPr>
            </w:pPr>
            <w:r w:rsidRPr="00DC6A8F">
              <w:rPr>
                <w:sz w:val="22"/>
                <w:szCs w:val="22"/>
              </w:rPr>
              <w:t xml:space="preserve">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DC6A8F">
              <w:rPr>
                <w:sz w:val="22"/>
                <w:szCs w:val="22"/>
              </w:rPr>
              <w:t>с даты получения</w:t>
            </w:r>
            <w:proofErr w:type="gramEnd"/>
            <w:r w:rsidRPr="00DC6A8F">
              <w:rPr>
                <w:sz w:val="22"/>
                <w:szCs w:val="22"/>
              </w:rPr>
              <w:t xml:space="preserve"> управляющей компанией необходимых сведений о реквизитах банковского счета для перечисления дохода;</w:t>
            </w:r>
          </w:p>
          <w:p w:rsidR="00177608" w:rsidRPr="00DC6A8F" w:rsidRDefault="00177608" w:rsidP="00177608">
            <w:pPr>
              <w:ind w:firstLine="720"/>
              <w:jc w:val="both"/>
              <w:rPr>
                <w:sz w:val="22"/>
                <w:szCs w:val="22"/>
              </w:rPr>
            </w:pPr>
            <w:r w:rsidRPr="00DC6A8F">
              <w:rPr>
                <w:sz w:val="22"/>
                <w:szCs w:val="22"/>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B55A61" w:rsidRPr="00BF0AB1" w:rsidRDefault="00177608" w:rsidP="00A310A8">
            <w:pPr>
              <w:tabs>
                <w:tab w:val="left" w:pos="1985"/>
                <w:tab w:val="left" w:pos="5103"/>
              </w:tabs>
              <w:ind w:firstLine="768"/>
              <w:jc w:val="both"/>
              <w:rPr>
                <w:sz w:val="22"/>
                <w:szCs w:val="22"/>
              </w:rPr>
            </w:pPr>
            <w:r w:rsidRPr="00DC6A8F">
              <w:rPr>
                <w:sz w:val="22"/>
                <w:szCs w:val="22"/>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bl>
    <w:p w:rsidR="002F09B5" w:rsidRDefault="002F09B5" w:rsidP="00E83EAB">
      <w:pPr>
        <w:tabs>
          <w:tab w:val="left" w:pos="1985"/>
          <w:tab w:val="left" w:pos="5103"/>
        </w:tabs>
        <w:jc w:val="both"/>
      </w:pPr>
    </w:p>
    <w:p w:rsidR="006A70A1" w:rsidRDefault="006A70A1"/>
    <w:p w:rsidR="006A70A1" w:rsidRDefault="006A70A1"/>
    <w:p w:rsidR="006A70A1" w:rsidRDefault="006A70A1" w:rsidP="006A70A1">
      <w:r w:rsidRPr="0002385C">
        <w:t xml:space="preserve">Генеральный директор                     </w:t>
      </w:r>
      <w:r w:rsidR="002F4555">
        <w:t xml:space="preserve">       </w:t>
      </w:r>
      <w:r w:rsidRPr="0002385C">
        <w:t xml:space="preserve">                                                                 </w:t>
      </w:r>
      <w:r w:rsidR="00964C19">
        <w:t>Анциферов М.В.</w:t>
      </w:r>
    </w:p>
    <w:p w:rsidR="006A70A1" w:rsidRDefault="002F4555">
      <w:r>
        <w:t>ЗАО «</w:t>
      </w:r>
      <w:r w:rsidR="00964C19">
        <w:t>ГФТ ПИФ</w:t>
      </w:r>
      <w:r>
        <w:t>»</w:t>
      </w:r>
    </w:p>
    <w:sectPr w:rsidR="006A70A1" w:rsidSect="00B55A61">
      <w:pgSz w:w="11906" w:h="16838"/>
      <w:pgMar w:top="709"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72AA"/>
    <w:multiLevelType w:val="multilevel"/>
    <w:tmpl w:val="DAC65FDE"/>
    <w:lvl w:ilvl="0">
      <w:start w:val="1"/>
      <w:numFmt w:val="decimal"/>
      <w:lvlText w:val="%1."/>
      <w:lvlJc w:val="left"/>
      <w:pPr>
        <w:tabs>
          <w:tab w:val="num" w:pos="1140"/>
        </w:tabs>
        <w:ind w:left="1140" w:hanging="420"/>
      </w:pPr>
      <w:rPr>
        <w:rFonts w:cs="Times New Roman" w:hint="default"/>
        <w:b w:val="0"/>
        <w:i w:val="0"/>
        <w:sz w:val="24"/>
        <w:szCs w:val="24"/>
      </w:rPr>
    </w:lvl>
    <w:lvl w:ilvl="1">
      <w:start w:val="1"/>
      <w:numFmt w:val="decimal"/>
      <w:lvlText w:val="%1.%2."/>
      <w:lvlJc w:val="left"/>
      <w:pPr>
        <w:tabs>
          <w:tab w:val="num" w:pos="1140"/>
        </w:tabs>
        <w:ind w:left="1140" w:hanging="420"/>
      </w:pPr>
      <w:rPr>
        <w:rFonts w:cs="Times New Roman" w:hint="default"/>
        <w:b w:val="0"/>
        <w:i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20"/>
  <w:displayHorizontalDrawingGridEvery w:val="2"/>
  <w:characterSpacingControl w:val="doNotCompress"/>
  <w:compat/>
  <w:rsids>
    <w:rsidRoot w:val="00CB366F"/>
    <w:rsid w:val="0002385C"/>
    <w:rsid w:val="00035F1F"/>
    <w:rsid w:val="00082315"/>
    <w:rsid w:val="000A550D"/>
    <w:rsid w:val="000B1F4B"/>
    <w:rsid w:val="000B37D2"/>
    <w:rsid w:val="000B75A4"/>
    <w:rsid w:val="000C1C1C"/>
    <w:rsid w:val="0014193E"/>
    <w:rsid w:val="001440ED"/>
    <w:rsid w:val="001550E7"/>
    <w:rsid w:val="00177608"/>
    <w:rsid w:val="001777A0"/>
    <w:rsid w:val="001B11A4"/>
    <w:rsid w:val="001E0268"/>
    <w:rsid w:val="001E31A2"/>
    <w:rsid w:val="00234878"/>
    <w:rsid w:val="00252D45"/>
    <w:rsid w:val="00296B3D"/>
    <w:rsid w:val="002B7DFB"/>
    <w:rsid w:val="002C1F6A"/>
    <w:rsid w:val="002D25B5"/>
    <w:rsid w:val="002F09B5"/>
    <w:rsid w:val="002F4555"/>
    <w:rsid w:val="003A04FD"/>
    <w:rsid w:val="003A1961"/>
    <w:rsid w:val="003B31A7"/>
    <w:rsid w:val="003E4B6E"/>
    <w:rsid w:val="003E7BA0"/>
    <w:rsid w:val="00434799"/>
    <w:rsid w:val="004665FC"/>
    <w:rsid w:val="0047092C"/>
    <w:rsid w:val="005039BC"/>
    <w:rsid w:val="00581F17"/>
    <w:rsid w:val="005846E4"/>
    <w:rsid w:val="005921CC"/>
    <w:rsid w:val="005A662E"/>
    <w:rsid w:val="005F34A7"/>
    <w:rsid w:val="00654D84"/>
    <w:rsid w:val="0069647E"/>
    <w:rsid w:val="006A70A1"/>
    <w:rsid w:val="006C7418"/>
    <w:rsid w:val="006D0549"/>
    <w:rsid w:val="006D0602"/>
    <w:rsid w:val="0070046D"/>
    <w:rsid w:val="007178AF"/>
    <w:rsid w:val="0072288B"/>
    <w:rsid w:val="00752A43"/>
    <w:rsid w:val="007E0457"/>
    <w:rsid w:val="00830965"/>
    <w:rsid w:val="008F1A19"/>
    <w:rsid w:val="00964C19"/>
    <w:rsid w:val="009B19F7"/>
    <w:rsid w:val="009C5027"/>
    <w:rsid w:val="009D723A"/>
    <w:rsid w:val="009E781F"/>
    <w:rsid w:val="00A16525"/>
    <w:rsid w:val="00A24939"/>
    <w:rsid w:val="00A27C7F"/>
    <w:rsid w:val="00A310A8"/>
    <w:rsid w:val="00A3407C"/>
    <w:rsid w:val="00A55FFC"/>
    <w:rsid w:val="00A7105A"/>
    <w:rsid w:val="00A75087"/>
    <w:rsid w:val="00A8599C"/>
    <w:rsid w:val="00A85BB2"/>
    <w:rsid w:val="00AF1DD3"/>
    <w:rsid w:val="00B0234C"/>
    <w:rsid w:val="00B55A61"/>
    <w:rsid w:val="00B736E2"/>
    <w:rsid w:val="00B90407"/>
    <w:rsid w:val="00B92704"/>
    <w:rsid w:val="00BC3573"/>
    <w:rsid w:val="00BD1F60"/>
    <w:rsid w:val="00BF0AB1"/>
    <w:rsid w:val="00C21763"/>
    <w:rsid w:val="00C50C24"/>
    <w:rsid w:val="00C879C0"/>
    <w:rsid w:val="00C92F34"/>
    <w:rsid w:val="00CB366F"/>
    <w:rsid w:val="00D72F6A"/>
    <w:rsid w:val="00DC6A8F"/>
    <w:rsid w:val="00E50BE1"/>
    <w:rsid w:val="00E83EAB"/>
    <w:rsid w:val="00F06A88"/>
    <w:rsid w:val="00F20136"/>
    <w:rsid w:val="00F209D1"/>
    <w:rsid w:val="00F276E5"/>
    <w:rsid w:val="00F33CF9"/>
    <w:rsid w:val="00F67855"/>
    <w:rsid w:val="00F805D2"/>
    <w:rsid w:val="00FC6487"/>
    <w:rsid w:val="00FD257E"/>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F"/>
    <w:rPr>
      <w:rFonts w:ascii="Times New Roman" w:hAnsi="Times New Roman" w:cs="Times New Roman"/>
      <w:sz w:val="24"/>
      <w:szCs w:val="24"/>
    </w:rPr>
  </w:style>
  <w:style w:type="paragraph" w:styleId="3">
    <w:name w:val="heading 3"/>
    <w:basedOn w:val="a"/>
    <w:next w:val="a"/>
    <w:link w:val="30"/>
    <w:uiPriority w:val="99"/>
    <w:qFormat/>
    <w:rsid w:val="00CB366F"/>
    <w:pPr>
      <w:keepNext/>
      <w:autoSpaceDE w:val="0"/>
      <w:autoSpaceDN w:val="0"/>
      <w:spacing w:after="60"/>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B366F"/>
    <w:rPr>
      <w:rFonts w:ascii="Times New Roman" w:hAnsi="Times New Roman" w:cs="Times New Roman"/>
      <w:sz w:val="24"/>
      <w:lang w:eastAsia="ru-RU"/>
    </w:rPr>
  </w:style>
  <w:style w:type="paragraph" w:styleId="a3">
    <w:name w:val="Title"/>
    <w:basedOn w:val="a"/>
    <w:link w:val="a4"/>
    <w:uiPriority w:val="99"/>
    <w:qFormat/>
    <w:rsid w:val="00CB366F"/>
    <w:pPr>
      <w:autoSpaceDE w:val="0"/>
      <w:autoSpaceDN w:val="0"/>
      <w:spacing w:line="280" w:lineRule="exact"/>
      <w:ind w:firstLine="288"/>
      <w:jc w:val="center"/>
    </w:pPr>
    <w:rPr>
      <w:rFonts w:ascii="Arial" w:hAnsi="Arial" w:cs="Arial"/>
    </w:rPr>
  </w:style>
  <w:style w:type="character" w:customStyle="1" w:styleId="a4">
    <w:name w:val="Название Знак"/>
    <w:basedOn w:val="a0"/>
    <w:link w:val="a3"/>
    <w:uiPriority w:val="99"/>
    <w:locked/>
    <w:rsid w:val="00CB366F"/>
    <w:rPr>
      <w:rFonts w:ascii="Arial" w:hAnsi="Arial" w:cs="Times New Roman"/>
      <w:sz w:val="24"/>
      <w:lang w:eastAsia="ru-RU"/>
    </w:rPr>
  </w:style>
  <w:style w:type="paragraph" w:customStyle="1" w:styleId="ConsNonformat">
    <w:name w:val="ConsNonformat"/>
    <w:uiPriority w:val="99"/>
    <w:rsid w:val="00CB366F"/>
    <w:pPr>
      <w:widowControl w:val="0"/>
    </w:pPr>
    <w:rPr>
      <w:rFonts w:ascii="Courier New" w:hAnsi="Courier New" w:cs="Courier New"/>
      <w:lang w:eastAsia="en-US"/>
    </w:rPr>
  </w:style>
  <w:style w:type="paragraph" w:styleId="a5">
    <w:name w:val="Plain Text"/>
    <w:basedOn w:val="a"/>
    <w:link w:val="a6"/>
    <w:uiPriority w:val="99"/>
    <w:rsid w:val="00CB366F"/>
    <w:rPr>
      <w:rFonts w:ascii="Courier New" w:hAnsi="Courier New" w:cs="Courier New"/>
      <w:sz w:val="20"/>
      <w:szCs w:val="20"/>
    </w:rPr>
  </w:style>
  <w:style w:type="character" w:customStyle="1" w:styleId="a6">
    <w:name w:val="Текст Знак"/>
    <w:basedOn w:val="a0"/>
    <w:link w:val="a5"/>
    <w:uiPriority w:val="99"/>
    <w:locked/>
    <w:rsid w:val="00CB366F"/>
    <w:rPr>
      <w:rFonts w:ascii="Courier New" w:hAnsi="Courier New" w:cs="Times New Roman"/>
      <w:sz w:val="20"/>
      <w:lang w:eastAsia="ru-RU"/>
    </w:rPr>
  </w:style>
  <w:style w:type="character" w:styleId="a7">
    <w:name w:val="Hyperlink"/>
    <w:basedOn w:val="a0"/>
    <w:uiPriority w:val="99"/>
    <w:rsid w:val="00A27C7F"/>
    <w:rPr>
      <w:rFonts w:cs="Times New Roman"/>
      <w:color w:val="0000FF"/>
      <w:u w:val="single"/>
    </w:rPr>
  </w:style>
  <w:style w:type="paragraph" w:customStyle="1" w:styleId="a8">
    <w:name w:val="Знак"/>
    <w:basedOn w:val="a"/>
    <w:uiPriority w:val="99"/>
    <w:rsid w:val="00A27C7F"/>
    <w:pPr>
      <w:spacing w:after="160" w:line="240" w:lineRule="exact"/>
    </w:pPr>
    <w:rPr>
      <w:rFonts w:ascii="Verdana" w:hAnsi="Verdana" w:cs="Verdana"/>
      <w:sz w:val="20"/>
      <w:szCs w:val="20"/>
      <w:lang w:val="en-US" w:eastAsia="en-US"/>
    </w:rPr>
  </w:style>
  <w:style w:type="character" w:styleId="a9">
    <w:name w:val="annotation reference"/>
    <w:basedOn w:val="a0"/>
    <w:uiPriority w:val="99"/>
    <w:semiHidden/>
    <w:unhideWhenUsed/>
    <w:rsid w:val="005921CC"/>
    <w:rPr>
      <w:rFonts w:cs="Times New Roman"/>
      <w:sz w:val="16"/>
    </w:rPr>
  </w:style>
  <w:style w:type="paragraph" w:styleId="aa">
    <w:name w:val="annotation text"/>
    <w:basedOn w:val="a"/>
    <w:link w:val="ab"/>
    <w:uiPriority w:val="99"/>
    <w:semiHidden/>
    <w:unhideWhenUsed/>
    <w:rsid w:val="005921CC"/>
    <w:rPr>
      <w:sz w:val="20"/>
      <w:szCs w:val="20"/>
    </w:rPr>
  </w:style>
  <w:style w:type="character" w:customStyle="1" w:styleId="ab">
    <w:name w:val="Текст примечания Знак"/>
    <w:basedOn w:val="a0"/>
    <w:link w:val="aa"/>
    <w:uiPriority w:val="99"/>
    <w:semiHidden/>
    <w:locked/>
    <w:rsid w:val="005921CC"/>
    <w:rPr>
      <w:rFonts w:ascii="Times New Roman" w:hAnsi="Times New Roman" w:cs="Times New Roman"/>
      <w:sz w:val="20"/>
      <w:lang w:eastAsia="ru-RU"/>
    </w:rPr>
  </w:style>
  <w:style w:type="paragraph" w:styleId="ac">
    <w:name w:val="annotation subject"/>
    <w:basedOn w:val="aa"/>
    <w:next w:val="aa"/>
    <w:link w:val="ad"/>
    <w:uiPriority w:val="99"/>
    <w:semiHidden/>
    <w:unhideWhenUsed/>
    <w:rsid w:val="005921CC"/>
    <w:rPr>
      <w:b/>
      <w:bCs/>
    </w:rPr>
  </w:style>
  <w:style w:type="character" w:customStyle="1" w:styleId="ad">
    <w:name w:val="Тема примечания Знак"/>
    <w:basedOn w:val="ab"/>
    <w:link w:val="ac"/>
    <w:uiPriority w:val="99"/>
    <w:semiHidden/>
    <w:locked/>
    <w:rsid w:val="005921CC"/>
    <w:rPr>
      <w:b/>
    </w:rPr>
  </w:style>
  <w:style w:type="paragraph" w:styleId="ae">
    <w:name w:val="Balloon Text"/>
    <w:basedOn w:val="a"/>
    <w:link w:val="af"/>
    <w:uiPriority w:val="99"/>
    <w:semiHidden/>
    <w:unhideWhenUsed/>
    <w:rsid w:val="005921CC"/>
    <w:rPr>
      <w:rFonts w:ascii="Tahoma" w:hAnsi="Tahoma" w:cs="Tahoma"/>
      <w:sz w:val="16"/>
      <w:szCs w:val="16"/>
    </w:rPr>
  </w:style>
  <w:style w:type="character" w:customStyle="1" w:styleId="af">
    <w:name w:val="Текст выноски Знак"/>
    <w:basedOn w:val="a0"/>
    <w:link w:val="ae"/>
    <w:uiPriority w:val="99"/>
    <w:semiHidden/>
    <w:locked/>
    <w:rsid w:val="005921CC"/>
    <w:rPr>
      <w:rFonts w:ascii="Tahoma" w:hAnsi="Tahoma" w:cs="Times New Roman"/>
      <w:sz w:val="16"/>
      <w:lang w:eastAsia="ru-RU"/>
    </w:rPr>
  </w:style>
  <w:style w:type="paragraph" w:customStyle="1" w:styleId="ConsPlusNormal">
    <w:name w:val="ConsPlusNormal"/>
    <w:rsid w:val="005921CC"/>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02385C"/>
    <w:pPr>
      <w:jc w:val="both"/>
    </w:pPr>
    <w:rPr>
      <w:sz w:val="20"/>
      <w:szCs w:val="20"/>
      <w:lang w:val="en-AU" w:eastAsia="en-US"/>
    </w:rPr>
  </w:style>
  <w:style w:type="character" w:customStyle="1" w:styleId="20">
    <w:name w:val="Основной текст 2 Знак"/>
    <w:basedOn w:val="a0"/>
    <w:link w:val="2"/>
    <w:uiPriority w:val="99"/>
    <w:locked/>
    <w:rsid w:val="0002385C"/>
    <w:rPr>
      <w:rFonts w:ascii="Times New Roman" w:hAnsi="Times New Roman" w:cs="Times New Roman"/>
      <w:sz w:val="20"/>
      <w:lang w:val="en-AU"/>
    </w:rPr>
  </w:style>
  <w:style w:type="paragraph" w:styleId="af0">
    <w:name w:val="Revision"/>
    <w:hidden/>
    <w:uiPriority w:val="99"/>
    <w:semiHidden/>
    <w:rsid w:val="00E83EA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012_вступают в силу с 22.08.2017</Статус_x0020_документа>
    <_EndDate xmlns="http://schemas.microsoft.com/sharepoint/v3/fields">13.07.2017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93932B-876C-45C5-B869-596C7CCD324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FA64397-818B-4E85-9FFF-EC65C7CA26A0}">
  <ds:schemaRefs>
    <ds:schemaRef ds:uri="http://schemas.microsoft.com/sharepoint/v3/contenttype/forms"/>
  </ds:schemaRefs>
</ds:datastoreItem>
</file>

<file path=customXml/itemProps3.xml><?xml version="1.0" encoding="utf-8"?>
<ds:datastoreItem xmlns:ds="http://schemas.openxmlformats.org/officeDocument/2006/customXml" ds:itemID="{AEAD0837-6520-430A-A4ED-EAB2E650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Company>*</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voronovskaya.v</cp:lastModifiedBy>
  <cp:revision>2</cp:revision>
  <cp:lastPrinted>2017-06-27T12:57:00Z</cp:lastPrinted>
  <dcterms:created xsi:type="dcterms:W3CDTF">2017-08-03T11:38:00Z</dcterms:created>
  <dcterms:modified xsi:type="dcterms:W3CDTF">2017-08-03T11:38:00Z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