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486913" w:rsidRPr="00486913" w:rsidRDefault="00486913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9256E" w:rsidRPr="001B63E4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486913">
        <w:rPr>
          <w:rFonts w:ascii="Arial" w:hAnsi="Arial" w:cs="Arial"/>
          <w:b/>
          <w:bCs/>
          <w:sz w:val="36"/>
          <w:szCs w:val="36"/>
        </w:rPr>
        <w:t xml:space="preserve">ИЗМЕНЕНИЯ И ДОПОЛНЕНИЯ № </w:t>
      </w:r>
      <w:r w:rsidR="00A15A2C">
        <w:rPr>
          <w:rFonts w:ascii="Arial" w:hAnsi="Arial" w:cs="Arial"/>
          <w:b/>
          <w:bCs/>
          <w:sz w:val="36"/>
          <w:szCs w:val="36"/>
        </w:rPr>
        <w:t>4</w:t>
      </w:r>
    </w:p>
    <w:p w:rsidR="0079256E" w:rsidRPr="00486913" w:rsidRDefault="0079256E" w:rsidP="0079256E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486913">
        <w:rPr>
          <w:rFonts w:ascii="Arial" w:hAnsi="Arial" w:cs="Arial"/>
          <w:b/>
          <w:bCs/>
          <w:sz w:val="36"/>
          <w:szCs w:val="36"/>
        </w:rPr>
        <w:t xml:space="preserve">в Правила </w:t>
      </w:r>
      <w:r w:rsidR="00234100">
        <w:rPr>
          <w:rFonts w:ascii="Arial" w:hAnsi="Arial" w:cs="Arial"/>
          <w:b/>
          <w:bCs/>
          <w:sz w:val="36"/>
          <w:szCs w:val="36"/>
        </w:rPr>
        <w:t>определения стоимости чистых активов</w:t>
      </w:r>
    </w:p>
    <w:p w:rsidR="00A15A2C" w:rsidRPr="00486913" w:rsidRDefault="0079256E" w:rsidP="00A15A2C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486913">
        <w:rPr>
          <w:rFonts w:ascii="Arial" w:hAnsi="Arial" w:cs="Arial"/>
          <w:b/>
          <w:bCs/>
          <w:sz w:val="36"/>
          <w:szCs w:val="36"/>
        </w:rPr>
        <w:t xml:space="preserve">Закрытым паевым инвестиционным фондом </w:t>
      </w:r>
      <w:r w:rsidR="00882EFC">
        <w:rPr>
          <w:rFonts w:ascii="Arial" w:hAnsi="Arial" w:cs="Arial"/>
          <w:b/>
          <w:bCs/>
          <w:sz w:val="36"/>
          <w:szCs w:val="36"/>
        </w:rPr>
        <w:t xml:space="preserve">акций </w:t>
      </w:r>
      <w:r w:rsidR="00A15A2C" w:rsidRPr="009230FB">
        <w:rPr>
          <w:rFonts w:ascii="Arial" w:hAnsi="Arial" w:cs="Arial"/>
          <w:b/>
          <w:bCs/>
          <w:sz w:val="36"/>
          <w:szCs w:val="36"/>
        </w:rPr>
        <w:t>«</w:t>
      </w:r>
      <w:r w:rsidR="00A15A2C" w:rsidRPr="00E079F3">
        <w:rPr>
          <w:rFonts w:ascii="Arial" w:hAnsi="Arial" w:cs="Arial"/>
          <w:b/>
          <w:bCs/>
          <w:sz w:val="36"/>
          <w:szCs w:val="36"/>
        </w:rPr>
        <w:t>Фондовый капитал</w:t>
      </w:r>
      <w:r w:rsidR="00A15A2C" w:rsidRPr="009230FB">
        <w:rPr>
          <w:rFonts w:ascii="Arial" w:hAnsi="Arial" w:cs="Arial"/>
          <w:b/>
          <w:bCs/>
          <w:sz w:val="36"/>
          <w:szCs w:val="36"/>
        </w:rPr>
        <w:t>»</w:t>
      </w:r>
    </w:p>
    <w:p w:rsidR="0079256E" w:rsidRPr="00486913" w:rsidRDefault="0079256E" w:rsidP="00882EFC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sz w:val="32"/>
          <w:szCs w:val="32"/>
        </w:rPr>
      </w:pPr>
    </w:p>
    <w:p w:rsidR="0079256E" w:rsidRPr="00486913" w:rsidRDefault="0079256E" w:rsidP="0079256E">
      <w:pPr>
        <w:jc w:val="center"/>
        <w:rPr>
          <w:rFonts w:ascii="Arial" w:hAnsi="Arial" w:cs="Arial"/>
          <w:sz w:val="32"/>
          <w:szCs w:val="32"/>
        </w:rPr>
      </w:pPr>
    </w:p>
    <w:p w:rsidR="007D2D47" w:rsidRDefault="007D2D47" w:rsidP="007D2D47">
      <w:pPr>
        <w:pStyle w:val="ConsNonformat"/>
        <w:widowControl/>
        <w:tabs>
          <w:tab w:val="left" w:pos="284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7D2D47" w:rsidRDefault="007D2D47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Default="00A15A2C" w:rsidP="007D2D47">
      <w:pPr>
        <w:rPr>
          <w:rFonts w:ascii="Arial" w:hAnsi="Arial" w:cs="Arial"/>
        </w:rPr>
      </w:pPr>
    </w:p>
    <w:p w:rsidR="00A15A2C" w:rsidRPr="00486913" w:rsidRDefault="00A15A2C" w:rsidP="007D2D47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Default="0079256E" w:rsidP="0079256E">
      <w:pPr>
        <w:rPr>
          <w:rFonts w:ascii="Arial" w:hAnsi="Arial" w:cs="Arial"/>
        </w:rPr>
      </w:pPr>
    </w:p>
    <w:p w:rsidR="00234100" w:rsidRDefault="00234100" w:rsidP="0079256E">
      <w:pPr>
        <w:rPr>
          <w:rFonts w:ascii="Arial" w:hAnsi="Arial" w:cs="Arial"/>
        </w:rPr>
      </w:pPr>
    </w:p>
    <w:p w:rsidR="00234100" w:rsidRDefault="00234100" w:rsidP="0079256E">
      <w:pPr>
        <w:rPr>
          <w:rFonts w:ascii="Arial" w:hAnsi="Arial" w:cs="Arial"/>
        </w:rPr>
      </w:pPr>
    </w:p>
    <w:p w:rsidR="00234100" w:rsidRPr="00486913" w:rsidRDefault="00234100" w:rsidP="0079256E">
      <w:pPr>
        <w:rPr>
          <w:rFonts w:ascii="Arial" w:hAnsi="Arial" w:cs="Arial"/>
        </w:rPr>
      </w:pPr>
    </w:p>
    <w:p w:rsidR="0079256E" w:rsidRPr="00486913" w:rsidRDefault="0079256E" w:rsidP="0079256E">
      <w:pPr>
        <w:rPr>
          <w:rFonts w:ascii="Arial" w:hAnsi="Arial" w:cs="Arial"/>
        </w:rPr>
      </w:pPr>
    </w:p>
    <w:p w:rsidR="0079256E" w:rsidRPr="00A34819" w:rsidRDefault="0079256E" w:rsidP="0079256E">
      <w:pPr>
        <w:jc w:val="both"/>
        <w:rPr>
          <w:b/>
          <w:bCs/>
        </w:rPr>
      </w:pPr>
      <w:r w:rsidRPr="00A34819">
        <w:rPr>
          <w:b/>
          <w:bCs/>
        </w:rPr>
        <w:lastRenderedPageBreak/>
        <w:t xml:space="preserve">Внести в Правила </w:t>
      </w:r>
      <w:r w:rsidR="00234100">
        <w:rPr>
          <w:b/>
          <w:bCs/>
        </w:rPr>
        <w:t>определения стоимости чистых активов</w:t>
      </w:r>
      <w:r w:rsidRPr="00A34819">
        <w:rPr>
          <w:b/>
          <w:bCs/>
        </w:rPr>
        <w:t xml:space="preserve"> Закрытым паевым инвестиционным фондом </w:t>
      </w:r>
      <w:r w:rsidR="00882EFC" w:rsidRPr="00A34819">
        <w:rPr>
          <w:b/>
          <w:bCs/>
        </w:rPr>
        <w:t xml:space="preserve">акций </w:t>
      </w:r>
      <w:r w:rsidR="00A15A2C" w:rsidRPr="009230FB">
        <w:rPr>
          <w:b/>
          <w:bCs/>
        </w:rPr>
        <w:t>«</w:t>
      </w:r>
      <w:r w:rsidR="00A15A2C" w:rsidRPr="00EF4B7E">
        <w:rPr>
          <w:b/>
          <w:bCs/>
          <w:color w:val="000000"/>
        </w:rPr>
        <w:t>Фондовый капитал</w:t>
      </w:r>
      <w:r w:rsidR="00A15A2C" w:rsidRPr="009230FB">
        <w:rPr>
          <w:b/>
          <w:bCs/>
        </w:rPr>
        <w:t>»</w:t>
      </w:r>
      <w:r w:rsidR="00A15A2C">
        <w:rPr>
          <w:b/>
          <w:bCs/>
        </w:rPr>
        <w:t xml:space="preserve"> </w:t>
      </w:r>
      <w:r w:rsidRPr="00A34819">
        <w:rPr>
          <w:b/>
          <w:bCs/>
        </w:rPr>
        <w:t>следующ</w:t>
      </w:r>
      <w:r w:rsidR="006735B5" w:rsidRPr="00A34819">
        <w:rPr>
          <w:b/>
          <w:bCs/>
        </w:rPr>
        <w:t>и</w:t>
      </w:r>
      <w:r w:rsidRPr="00A34819">
        <w:rPr>
          <w:b/>
          <w:bCs/>
        </w:rPr>
        <w:t>е изменения:</w:t>
      </w:r>
    </w:p>
    <w:p w:rsidR="005D32D0" w:rsidRPr="0075698E" w:rsidRDefault="005D32D0"/>
    <w:tbl>
      <w:tblPr>
        <w:tblW w:w="1063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2"/>
        <w:gridCol w:w="5220"/>
      </w:tblGrid>
      <w:tr w:rsidR="00415CED" w:rsidRPr="0075698E" w:rsidTr="00A83A1E">
        <w:trPr>
          <w:trHeight w:val="485"/>
        </w:trPr>
        <w:tc>
          <w:tcPr>
            <w:tcW w:w="5412" w:type="dxa"/>
            <w:vAlign w:val="center"/>
          </w:tcPr>
          <w:p w:rsidR="00415CED" w:rsidRPr="0075698E" w:rsidRDefault="00415CED" w:rsidP="007B0663">
            <w:pPr>
              <w:pStyle w:val="a5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698E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220" w:type="dxa"/>
            <w:vAlign w:val="center"/>
          </w:tcPr>
          <w:p w:rsidR="00415CED" w:rsidRPr="0075698E" w:rsidRDefault="00415CED" w:rsidP="007B0663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5698E">
              <w:rPr>
                <w:sz w:val="24"/>
                <w:szCs w:val="24"/>
              </w:rPr>
              <w:t>Новая редакция</w:t>
            </w:r>
          </w:p>
        </w:tc>
      </w:tr>
      <w:tr w:rsidR="0030760E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E" w:rsidRPr="00D12BA1" w:rsidRDefault="0030760E" w:rsidP="00EA3680">
            <w:pPr>
              <w:pStyle w:val="ac"/>
              <w:spacing w:before="120" w:after="120"/>
              <w:ind w:left="0"/>
              <w:jc w:val="both"/>
            </w:pPr>
            <w:r>
              <w:t xml:space="preserve">1.3. </w:t>
            </w:r>
            <w:r w:rsidRPr="00D12BA1">
              <w:t xml:space="preserve">Правила применяются с </w:t>
            </w:r>
            <w:r w:rsidR="004947B8">
              <w:t>28</w:t>
            </w:r>
            <w:r w:rsidRPr="00D12BA1">
              <w:t xml:space="preserve"> </w:t>
            </w:r>
            <w:r w:rsidR="004947B8">
              <w:t>ноября</w:t>
            </w:r>
            <w:r w:rsidRPr="00D12BA1">
              <w:t xml:space="preserve"> 2016 года.</w:t>
            </w:r>
          </w:p>
          <w:p w:rsidR="0030760E" w:rsidRPr="0075698E" w:rsidRDefault="0030760E" w:rsidP="0030760E">
            <w:pPr>
              <w:pStyle w:val="ac"/>
              <w:spacing w:before="120" w:after="120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E" w:rsidRPr="00D12BA1" w:rsidRDefault="0030760E" w:rsidP="0030760E">
            <w:pPr>
              <w:pStyle w:val="ac"/>
              <w:spacing w:before="120" w:after="120"/>
              <w:ind w:left="0" w:hanging="6"/>
              <w:jc w:val="both"/>
            </w:pPr>
            <w:r>
              <w:t xml:space="preserve">1.3. </w:t>
            </w:r>
            <w:r w:rsidRPr="00D12BA1">
              <w:t xml:space="preserve">Правила применяются с </w:t>
            </w:r>
            <w:r w:rsidR="004947B8">
              <w:t>2</w:t>
            </w:r>
            <w:r w:rsidR="001139FD">
              <w:t>6</w:t>
            </w:r>
            <w:r w:rsidRPr="00D12BA1">
              <w:t xml:space="preserve"> </w:t>
            </w:r>
            <w:r w:rsidR="004947B8">
              <w:t>декабря</w:t>
            </w:r>
            <w:r w:rsidRPr="00D12BA1">
              <w:t xml:space="preserve"> 2016 года.</w:t>
            </w:r>
          </w:p>
          <w:p w:rsidR="0030760E" w:rsidRPr="0075698E" w:rsidRDefault="0030760E" w:rsidP="0030760E">
            <w:pPr>
              <w:pStyle w:val="ac"/>
              <w:spacing w:before="120" w:after="120"/>
              <w:ind w:left="0" w:hanging="6"/>
            </w:pPr>
          </w:p>
        </w:tc>
      </w:tr>
      <w:tr w:rsidR="00E83E0D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8" w:rsidRPr="00D12BA1" w:rsidRDefault="004947B8" w:rsidP="004947B8">
            <w:pPr>
              <w:pStyle w:val="ac"/>
              <w:numPr>
                <w:ilvl w:val="1"/>
                <w:numId w:val="22"/>
              </w:numPr>
              <w:spacing w:before="120" w:after="120"/>
              <w:jc w:val="both"/>
            </w:pPr>
            <w:r>
              <w:t xml:space="preserve"> </w:t>
            </w:r>
            <w:r w:rsidRPr="00D12BA1">
              <w:t>Изменения и дополнения в Правила могут вноситься в случае: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внесения изменений в нормативные акты, регулирующие порядок определения стоимости чистых активов;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внесения изменений в Международные стандарты финансовой отчетности, введенные в действие на территории Российской Федерации;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изменения инвестиционной декларации Фонда;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необходимости изменения источников наблюдаемых данных;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необходимости применения более достоверных методов оценки.</w:t>
            </w:r>
          </w:p>
          <w:p w:rsidR="00E83E0D" w:rsidRDefault="00E83E0D" w:rsidP="00E83E0D">
            <w:pPr>
              <w:pStyle w:val="ac"/>
              <w:spacing w:before="120" w:after="120"/>
              <w:ind w:left="0"/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8" w:rsidRPr="00D12BA1" w:rsidRDefault="004947B8" w:rsidP="004947B8">
            <w:pPr>
              <w:pStyle w:val="ac"/>
              <w:numPr>
                <w:ilvl w:val="1"/>
                <w:numId w:val="23"/>
              </w:numPr>
              <w:spacing w:before="120" w:after="120"/>
              <w:jc w:val="both"/>
            </w:pPr>
            <w:r>
              <w:t xml:space="preserve"> </w:t>
            </w:r>
            <w:r w:rsidRPr="00D12BA1">
              <w:t>Изменения и дополнения в Правила могут вноситься в случае: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внесения изменений в нормативные акты, регулирующие порядок определения стоимости чистых активов;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внесения изменений в Международные стандарты финансовой отчетности, введенные в действие на территории Российской Федерации;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изменения инвестиционной декларации Фонда;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необходимости изменения источников наблюдаемых данных;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>необходимости применения более достоверных методов оценки</w:t>
            </w:r>
            <w:r w:rsidRPr="004947B8">
              <w:t>;</w:t>
            </w:r>
          </w:p>
          <w:p w:rsidR="00E83E0D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>
              <w:t>иное.</w:t>
            </w:r>
          </w:p>
        </w:tc>
      </w:tr>
      <w:tr w:rsidR="004947B8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8" w:rsidRPr="00D12BA1" w:rsidRDefault="004947B8" w:rsidP="004947B8">
            <w:pPr>
              <w:pStyle w:val="ac"/>
              <w:numPr>
                <w:ilvl w:val="2"/>
                <w:numId w:val="24"/>
              </w:numPr>
              <w:spacing w:before="120" w:after="120"/>
              <w:jc w:val="both"/>
            </w:pPr>
            <w:bookmarkStart w:id="0" w:name="_GoBack"/>
            <w:bookmarkEnd w:id="0"/>
            <w:r w:rsidRPr="00D12BA1">
              <w:t>Стоимость дебиторской задолженности, возникшей в результате совершения сделок с имуществом фонда, принимается равной</w:t>
            </w:r>
          </w:p>
          <w:p w:rsidR="004947B8" w:rsidRPr="00D12BA1" w:rsidRDefault="004947B8" w:rsidP="004947B8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 xml:space="preserve">сумме непогашенных требований, если срок погашения таких требований, в соответствии с условиями договора, не превышает одного года </w:t>
            </w:r>
            <w:proofErr w:type="gramStart"/>
            <w:r w:rsidRPr="00D12BA1">
              <w:t>с даты заключения</w:t>
            </w:r>
            <w:proofErr w:type="gramEnd"/>
            <w:r w:rsidRPr="00D12BA1">
              <w:t xml:space="preserve"> такого договора;</w:t>
            </w:r>
          </w:p>
          <w:p w:rsidR="004947B8" w:rsidRDefault="004947B8" w:rsidP="004947B8">
            <w:pPr>
              <w:spacing w:before="120" w:after="120"/>
              <w:ind w:left="626"/>
              <w:jc w:val="both"/>
            </w:pPr>
            <w:r>
              <w:t xml:space="preserve">- </w:t>
            </w:r>
            <w:r w:rsidRPr="00D12BA1">
              <w:t xml:space="preserve">приведенной стоимости рассчитанной по формуле, установленной п. 3.2.3, если срок погашения таких требований в соответствии с условиями договора более одного года </w:t>
            </w:r>
            <w:proofErr w:type="gramStart"/>
            <w:r w:rsidRPr="00D12BA1">
              <w:t>с даты заключения</w:t>
            </w:r>
            <w:proofErr w:type="gramEnd"/>
            <w:r w:rsidRPr="00D12BA1">
              <w:t xml:space="preserve"> такого договора.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8" w:rsidRPr="00D12BA1" w:rsidRDefault="004947B8" w:rsidP="004947B8">
            <w:pPr>
              <w:pStyle w:val="ac"/>
              <w:numPr>
                <w:ilvl w:val="2"/>
                <w:numId w:val="25"/>
              </w:numPr>
              <w:spacing w:before="120" w:after="120"/>
              <w:jc w:val="both"/>
            </w:pPr>
            <w:r w:rsidRPr="00D12BA1">
              <w:t>Стоимость дебиторской задолженности, возникшей в результате совершения сделок с имуществом фонда, принимается равной</w:t>
            </w:r>
          </w:p>
          <w:p w:rsidR="004947B8" w:rsidRPr="00FF7E08" w:rsidRDefault="004947B8" w:rsidP="004947B8">
            <w:pPr>
              <w:pStyle w:val="ac"/>
              <w:spacing w:after="120"/>
              <w:ind w:left="720"/>
              <w:jc w:val="both"/>
            </w:pPr>
            <w:r>
              <w:t xml:space="preserve">- </w:t>
            </w:r>
            <w:r w:rsidRPr="00FF7E08">
              <w:t xml:space="preserve">сумме непогашенных требований, если срок погашения таких требований, в соответствии с условиями договора, не превышает одного года </w:t>
            </w:r>
            <w:proofErr w:type="gramStart"/>
            <w:r w:rsidRPr="00FF7E08">
              <w:t>с даты заключения</w:t>
            </w:r>
            <w:proofErr w:type="gramEnd"/>
            <w:r w:rsidRPr="00FF7E08">
              <w:t xml:space="preserve"> </w:t>
            </w:r>
            <w:r>
              <w:t>такого договора. В случае заключения соглашения о пролонгации</w:t>
            </w:r>
            <w:r w:rsidRPr="00FF7E08">
              <w:t xml:space="preserve"> договора</w:t>
            </w:r>
            <w:r>
              <w:t xml:space="preserve">, новый срок погашения считается </w:t>
            </w:r>
            <w:proofErr w:type="gramStart"/>
            <w:r>
              <w:t>с даты заключения</w:t>
            </w:r>
            <w:proofErr w:type="gramEnd"/>
            <w:r>
              <w:t xml:space="preserve"> соглашения о пролонгации</w:t>
            </w:r>
            <w:r w:rsidRPr="0033242B">
              <w:t>;</w:t>
            </w:r>
          </w:p>
          <w:p w:rsidR="004947B8" w:rsidRDefault="004947B8" w:rsidP="004947B8">
            <w:pPr>
              <w:spacing w:before="120" w:after="120"/>
              <w:ind w:left="742"/>
              <w:jc w:val="both"/>
            </w:pPr>
            <w:r>
              <w:t xml:space="preserve">- </w:t>
            </w:r>
            <w:r w:rsidRPr="00FF7E08">
              <w:t xml:space="preserve">приведенной стоимости рассчитанной по формуле, установленной п. 3.2.3, если срок погашения таких требований в соответствии с условиями договора более одного года </w:t>
            </w:r>
            <w:proofErr w:type="gramStart"/>
            <w:r w:rsidRPr="00FF7E08">
              <w:t>с даты заключения</w:t>
            </w:r>
            <w:proofErr w:type="gramEnd"/>
            <w:r w:rsidRPr="00FF7E08">
              <w:t xml:space="preserve"> такого</w:t>
            </w:r>
            <w:r>
              <w:t xml:space="preserve"> </w:t>
            </w:r>
            <w:r w:rsidRPr="00FF7E08">
              <w:t>договора.</w:t>
            </w:r>
            <w:r w:rsidRPr="0033242B">
              <w:t xml:space="preserve"> </w:t>
            </w:r>
            <w:r>
              <w:t>В случае заключения соглашения о пролонгации</w:t>
            </w:r>
            <w:r w:rsidRPr="00FF7E08">
              <w:t xml:space="preserve"> договора</w:t>
            </w:r>
            <w:r>
              <w:t xml:space="preserve">, новый срок погашения считается </w:t>
            </w:r>
            <w:proofErr w:type="gramStart"/>
            <w:r>
              <w:t xml:space="preserve">с даты </w:t>
            </w:r>
            <w:r>
              <w:lastRenderedPageBreak/>
              <w:t>заключения</w:t>
            </w:r>
            <w:proofErr w:type="gramEnd"/>
            <w:r>
              <w:t xml:space="preserve"> соглашения о пролонгации.</w:t>
            </w:r>
          </w:p>
        </w:tc>
      </w:tr>
      <w:tr w:rsidR="00C37821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D12BA1" w:rsidRDefault="00C37821" w:rsidP="00C37821">
            <w:pPr>
              <w:pStyle w:val="ac"/>
              <w:spacing w:before="120" w:after="120"/>
              <w:ind w:left="0"/>
              <w:jc w:val="both"/>
            </w:pPr>
            <w:r w:rsidRPr="00C37821">
              <w:lastRenderedPageBreak/>
              <w:t>3</w:t>
            </w:r>
            <w:r>
              <w:t xml:space="preserve">.10.4. </w:t>
            </w:r>
            <w:r w:rsidRPr="00D12BA1">
              <w:t>В случае если размер вознаграждение определяется исходя из среднегодовой стоимости чистых активов, применяется следующий порядок расчетов: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position w:val="-28"/>
              </w:rPr>
              <w:object w:dxaOrig="2340" w:dyaOrig="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50.1pt" o:ole="">
                  <v:imagedata r:id="rId8" o:title=""/>
                </v:shape>
                <o:OLEObject Type="Embed" ProgID="Equation.3" ShapeID="_x0000_i1025" DrawAspect="Content" ObjectID="_1544434042" r:id="rId9"/>
              </w:object>
            </w:r>
          </w:p>
          <w:p w:rsidR="00C37821" w:rsidRPr="00C37821" w:rsidRDefault="00C37821" w:rsidP="00C37821">
            <w:pPr>
              <w:ind w:left="567"/>
              <w:rPr>
                <w:highlight w:val="lightGray"/>
              </w:rPr>
            </w:pPr>
          </w:p>
          <w:p w:rsidR="00C37821" w:rsidRPr="00D12BA1" w:rsidRDefault="00C37821" w:rsidP="00C37821">
            <w:pPr>
              <w:tabs>
                <w:tab w:val="left" w:pos="1485"/>
              </w:tabs>
              <w:ind w:left="567"/>
              <w:rPr>
                <w:spacing w:val="-10"/>
              </w:rPr>
            </w:pPr>
            <w:r w:rsidRPr="00D12BA1">
              <w:rPr>
                <w:spacing w:val="-10"/>
              </w:rPr>
              <w:t>где:</w:t>
            </w:r>
            <w:r>
              <w:rPr>
                <w:spacing w:val="-10"/>
              </w:rPr>
              <w:tab/>
            </w:r>
          </w:p>
          <w:p w:rsidR="00C37821" w:rsidRPr="00D12BA1" w:rsidRDefault="00C37821" w:rsidP="00C37821">
            <w:pPr>
              <w:ind w:left="567"/>
            </w:pPr>
            <w:r w:rsidRPr="00D12BA1">
              <w:rPr>
                <w:i/>
                <w:lang w:val="en-US"/>
              </w:rPr>
              <w:t>k</w:t>
            </w:r>
            <w:r w:rsidRPr="00D12BA1">
              <w:t xml:space="preserve"> – порядковый номер каждого начисления резерва в отчетном году, принимающий значения от 1 до </w:t>
            </w:r>
            <w:proofErr w:type="spellStart"/>
            <w:r w:rsidRPr="00D12BA1">
              <w:rPr>
                <w:lang w:val="en-US"/>
              </w:rPr>
              <w:t>i</w:t>
            </w:r>
            <w:proofErr w:type="spellEnd"/>
            <w:r w:rsidRPr="00D12BA1">
              <w:t xml:space="preserve">. </w:t>
            </w:r>
            <w:r w:rsidRPr="00D12BA1">
              <w:rPr>
                <w:lang w:val="en-US"/>
              </w:rPr>
              <w:t>k</w:t>
            </w:r>
            <w:r w:rsidRPr="00D12BA1">
              <w:t>=</w:t>
            </w:r>
            <w:proofErr w:type="spellStart"/>
            <w:r w:rsidRPr="00D12BA1">
              <w:rPr>
                <w:lang w:val="en-US"/>
              </w:rPr>
              <w:t>i</w:t>
            </w:r>
            <w:proofErr w:type="spellEnd"/>
            <w:r w:rsidRPr="00D12BA1">
              <w:t xml:space="preserve"> – порядковый номер последнего (текущего) начисления резерва;</w:t>
            </w:r>
          </w:p>
          <w:p w:rsidR="00C37821" w:rsidRPr="00D12BA1" w:rsidRDefault="00C37821" w:rsidP="00C37821">
            <w:pPr>
              <w:pStyle w:val="ConsPlusNormal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2BA1">
              <w:rPr>
                <w:rFonts w:ascii="Times New Roman" w:hAnsi="Times New Roman" w:cs="Times New Roman"/>
                <w:spacing w:val="-10"/>
                <w:position w:val="-12"/>
                <w:sz w:val="24"/>
                <w:szCs w:val="24"/>
              </w:rPr>
              <w:object w:dxaOrig="279" w:dyaOrig="360">
                <v:shape id="_x0000_i1026" type="#_x0000_t75" style="width:14.4pt;height:21.9pt" o:ole="">
                  <v:imagedata r:id="rId10" o:title=""/>
                </v:shape>
                <o:OLEObject Type="Embed" ProgID="Equation.3" ShapeID="_x0000_i1026" DrawAspect="Content" ObjectID="_1544434043" r:id="rId11"/>
              </w:object>
            </w:r>
            <w:r w:rsidRPr="00D12B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2B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произведенные в текущем календарном году начисления резерва;</w:t>
            </w:r>
          </w:p>
          <w:p w:rsidR="00C37821" w:rsidRPr="00D12BA1" w:rsidRDefault="00C37821" w:rsidP="00C37821">
            <w:pPr>
              <w:ind w:firstLine="567"/>
              <w:rPr>
                <w:spacing w:val="-10"/>
              </w:rPr>
            </w:pPr>
            <w:r w:rsidRPr="00D12BA1">
              <w:rPr>
                <w:spacing w:val="-10"/>
                <w:position w:val="-12"/>
              </w:rPr>
              <w:object w:dxaOrig="260" w:dyaOrig="360">
                <v:shape id="_x0000_i1027" type="#_x0000_t75" style="width:14.4pt;height:21.9pt" o:ole="">
                  <v:imagedata r:id="rId12" o:title=""/>
                </v:shape>
                <o:OLEObject Type="Embed" ProgID="Equation.3" ShapeID="_x0000_i1027" DrawAspect="Content" ObjectID="_1544434044" r:id="rId13"/>
              </w:object>
            </w:r>
            <w:r w:rsidRPr="00D12BA1">
              <w:t xml:space="preserve"> – </w:t>
            </w:r>
            <w:r w:rsidRPr="00D12BA1">
              <w:rPr>
                <w:spacing w:val="-10"/>
              </w:rPr>
              <w:t>сумма очередного (текущего) начисления резерва в текущем календарном году;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position w:val="-4"/>
              </w:rPr>
              <w:object w:dxaOrig="260" w:dyaOrig="260">
                <v:shape id="_x0000_i1028" type="#_x0000_t75" style="width:14.4pt;height:14.4pt" o:ole="">
                  <v:imagedata r:id="rId14" o:title=""/>
                </v:shape>
                <o:OLEObject Type="Embed" ProgID="Equation.3" ShapeID="_x0000_i1028" DrawAspect="Content" ObjectID="_1544434045" r:id="rId15"/>
              </w:object>
            </w:r>
            <w:r w:rsidRPr="00D12BA1">
              <w:t xml:space="preserve"> – </w:t>
            </w:r>
            <w:r w:rsidRPr="00D12BA1">
              <w:rPr>
                <w:spacing w:val="-10"/>
              </w:rPr>
              <w:t>количество рабочих дней в текущем календарном</w:t>
            </w:r>
            <w:r w:rsidRPr="00403B48">
              <w:rPr>
                <w:spacing w:val="-10"/>
              </w:rPr>
              <w:t xml:space="preserve"> </w:t>
            </w:r>
            <w:r>
              <w:rPr>
                <w:spacing w:val="-10"/>
              </w:rPr>
              <w:t>году</w:t>
            </w:r>
            <w:r w:rsidRPr="00D12BA1">
              <w:rPr>
                <w:spacing w:val="-10"/>
              </w:rPr>
              <w:t>;</w:t>
            </w:r>
          </w:p>
          <w:p w:rsidR="00C37821" w:rsidRPr="00D12BA1" w:rsidRDefault="00C37821" w:rsidP="00C37821">
            <w:pPr>
              <w:ind w:left="567"/>
            </w:pPr>
            <w:r w:rsidRPr="00D12BA1">
              <w:rPr>
                <w:i/>
                <w:lang w:val="en-US"/>
              </w:rPr>
              <w:t>t</w:t>
            </w:r>
            <w:r w:rsidRPr="00D12BA1">
              <w:t xml:space="preserve"> – порядковый номер рабочего дня</w:t>
            </w:r>
            <w:r w:rsidRPr="00D12BA1">
              <w:rPr>
                <w:spacing w:val="-10"/>
              </w:rPr>
              <w:t xml:space="preserve">, принимающий значения от 1 до </w:t>
            </w:r>
            <w:r w:rsidRPr="00D12BA1">
              <w:rPr>
                <w:spacing w:val="-10"/>
                <w:lang w:val="en-US"/>
              </w:rPr>
              <w:t>d</w:t>
            </w:r>
            <w:r w:rsidRPr="00D12BA1">
              <w:rPr>
                <w:spacing w:val="-10"/>
              </w:rPr>
              <w:t xml:space="preserve">. </w:t>
            </w:r>
            <w:r w:rsidRPr="00D12BA1">
              <w:rPr>
                <w:spacing w:val="-10"/>
                <w:lang w:val="en-US"/>
              </w:rPr>
              <w:t>t</w:t>
            </w:r>
            <w:r w:rsidRPr="00D12BA1">
              <w:rPr>
                <w:spacing w:val="-10"/>
              </w:rPr>
              <w:t>=</w:t>
            </w:r>
            <w:r w:rsidRPr="00D12BA1">
              <w:rPr>
                <w:spacing w:val="-10"/>
                <w:lang w:val="en-US"/>
              </w:rPr>
              <w:t>d</w:t>
            </w:r>
            <w:r w:rsidRPr="00D12BA1">
              <w:rPr>
                <w:spacing w:val="-10"/>
              </w:rPr>
              <w:t xml:space="preserve"> – порядковый номер рабочего дня начисления резерва </w:t>
            </w:r>
            <w:r w:rsidRPr="00D12BA1">
              <w:rPr>
                <w:spacing w:val="-10"/>
                <w:position w:val="-12"/>
              </w:rPr>
              <w:object w:dxaOrig="260" w:dyaOrig="360">
                <v:shape id="_x0000_i1029" type="#_x0000_t75" style="width:14.4pt;height:21.9pt" o:ole="">
                  <v:imagedata r:id="rId12" o:title=""/>
                </v:shape>
                <o:OLEObject Type="Embed" ProgID="Equation.3" ShapeID="_x0000_i1029" DrawAspect="Content" ObjectID="_1544434046" r:id="rId16"/>
              </w:object>
            </w:r>
            <w:r w:rsidRPr="00D12BA1">
              <w:t>;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position w:val="-12"/>
              </w:rPr>
              <w:object w:dxaOrig="580" w:dyaOrig="360">
                <v:shape id="_x0000_i1030" type="#_x0000_t75" style="width:28.8pt;height:21.9pt" o:ole="">
                  <v:imagedata r:id="rId17" o:title=""/>
                </v:shape>
                <o:OLEObject Type="Embed" ProgID="Equation.3" ShapeID="_x0000_i1030" DrawAspect="Content" ObjectID="_1544434047" r:id="rId18"/>
              </w:object>
            </w:r>
            <w:r>
              <w:rPr>
                <w:spacing w:val="-10"/>
              </w:rPr>
              <w:t xml:space="preserve"> </w:t>
            </w:r>
            <w:r w:rsidRPr="00D12BA1">
              <w:t xml:space="preserve">– </w:t>
            </w:r>
            <w:r w:rsidRPr="00D12BA1">
              <w:rPr>
                <w:spacing w:val="-10"/>
              </w:rPr>
              <w:t xml:space="preserve">стоимость чистых активов по состоянию на конец каждого рабочего дня </w:t>
            </w:r>
            <w:r w:rsidRPr="00D12BA1">
              <w:rPr>
                <w:spacing w:val="-10"/>
                <w:lang w:val="en-US"/>
              </w:rPr>
              <w:t>t</w:t>
            </w:r>
            <w:r w:rsidRPr="00D12BA1">
              <w:rPr>
                <w:spacing w:val="-10"/>
              </w:rPr>
              <w:t xml:space="preserve">. Если на рабочий день </w:t>
            </w:r>
            <w:r w:rsidRPr="00D12BA1">
              <w:rPr>
                <w:spacing w:val="-10"/>
                <w:lang w:val="en-US"/>
              </w:rPr>
              <w:t>t</w:t>
            </w:r>
            <w:r w:rsidRPr="00D12BA1">
              <w:rPr>
                <w:spacing w:val="-10"/>
              </w:rPr>
              <w:t xml:space="preserve"> СЧА не определено, оно принимается </w:t>
            </w:r>
            <w:proofErr w:type="gramStart"/>
            <w:r w:rsidRPr="00D12BA1">
              <w:rPr>
                <w:spacing w:val="-10"/>
              </w:rPr>
              <w:t>равным</w:t>
            </w:r>
            <w:proofErr w:type="gramEnd"/>
            <w:r w:rsidRPr="00D12BA1">
              <w:rPr>
                <w:spacing w:val="-10"/>
              </w:rPr>
              <w:t xml:space="preserve"> СЧА за предшествующий дню </w:t>
            </w:r>
            <w:r w:rsidRPr="00D12BA1">
              <w:rPr>
                <w:spacing w:val="-10"/>
                <w:lang w:val="en-US"/>
              </w:rPr>
              <w:t>t</w:t>
            </w:r>
            <w:r w:rsidRPr="00D12BA1">
              <w:rPr>
                <w:spacing w:val="-10"/>
              </w:rPr>
              <w:t xml:space="preserve"> рабочий день текущего календарного года. Значение определяется с точностью до 2 знаков после запятой;</w:t>
            </w:r>
          </w:p>
          <w:p w:rsidR="00C37821" w:rsidRDefault="00C37821" w:rsidP="00C37821">
            <w:pPr>
              <w:ind w:firstLine="600"/>
              <w:rPr>
                <w:spacing w:val="-10"/>
              </w:rPr>
            </w:pPr>
            <w:r w:rsidRPr="00D12BA1">
              <w:rPr>
                <w:position w:val="-12"/>
              </w:rPr>
              <w:object w:dxaOrig="200" w:dyaOrig="360">
                <v:shape id="_x0000_i1031" type="#_x0000_t75" style="width:7.5pt;height:21.9pt" o:ole="">
                  <v:imagedata r:id="rId19" o:title=""/>
                </v:shape>
                <o:OLEObject Type="Embed" ProgID="Equation.3" ShapeID="_x0000_i1031" DrawAspect="Content" ObjectID="_1544434048" r:id="rId20"/>
              </w:object>
            </w:r>
            <w:r w:rsidRPr="00D12BA1">
              <w:rPr>
                <w:i/>
                <w:spacing w:val="-10"/>
              </w:rPr>
              <w:t xml:space="preserve"> </w:t>
            </w:r>
            <w:r w:rsidRPr="00D12BA1">
              <w:t xml:space="preserve">– </w:t>
            </w:r>
            <w:r w:rsidRPr="00D12BA1">
              <w:rPr>
                <w:spacing w:val="-10"/>
              </w:rPr>
              <w:t>процентная ставка, соответствующая:</w:t>
            </w:r>
          </w:p>
          <w:p w:rsidR="00C37821" w:rsidRDefault="00C37821" w:rsidP="00C37821">
            <w:pPr>
              <w:pStyle w:val="ac"/>
              <w:numPr>
                <w:ilvl w:val="2"/>
                <w:numId w:val="15"/>
              </w:numPr>
              <w:spacing w:after="120"/>
              <w:ind w:left="851" w:hanging="295"/>
              <w:contextualSpacing/>
              <w:jc w:val="both"/>
            </w:pPr>
            <w:r>
              <w:t xml:space="preserve">для резерва на выплату вознаграждения управляющей компании – размеру вознаграждения управляющей </w:t>
            </w:r>
            <w:proofErr w:type="gramStart"/>
            <w:r>
              <w:t>компании</w:t>
            </w:r>
            <w:proofErr w:type="gramEnd"/>
            <w:r>
              <w:t xml:space="preserve"> установленному Правилами Фонда</w:t>
            </w:r>
            <w:r w:rsidRPr="009C2D44">
              <w:t>;</w:t>
            </w:r>
          </w:p>
          <w:p w:rsidR="00C37821" w:rsidRPr="00C37821" w:rsidRDefault="00C37821" w:rsidP="00C37821">
            <w:pPr>
              <w:spacing w:before="120" w:after="120"/>
              <w:jc w:val="both"/>
            </w:pPr>
            <w:r>
              <w:t>для резерва вознаграждений прочих лиц – совокупному размеру вознаграждений специализированному депозитарию, аудиторской организации, оценщику фонда и лицу, осуществляющему ведение реестра владельцев инвестиционных паев Фонда, установленному Правилами Фонда.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2" w:rsidRPr="00D12BA1" w:rsidRDefault="00C37821" w:rsidP="006B3F12">
            <w:pPr>
              <w:pStyle w:val="ac"/>
              <w:spacing w:before="120" w:after="120"/>
              <w:ind w:left="0"/>
              <w:jc w:val="both"/>
            </w:pPr>
            <w:r w:rsidRPr="00C37821">
              <w:t>3</w:t>
            </w:r>
            <w:r>
              <w:t xml:space="preserve">.10.4. </w:t>
            </w:r>
            <w:r w:rsidR="006B3F12" w:rsidRPr="00D12BA1">
              <w:t>В случае если размер вознаграждение определяется исходя из среднегодовой стоимости чистых активов, применяется следующий порядок расчетов:</w:t>
            </w:r>
          </w:p>
          <w:p w:rsidR="006B3F12" w:rsidRPr="006B3F12" w:rsidRDefault="006B3F12" w:rsidP="006B3F12">
            <w:pPr>
              <w:ind w:left="567"/>
              <w:rPr>
                <w:highlight w:val="lightGray"/>
              </w:rPr>
            </w:pPr>
          </w:p>
          <w:p w:rsidR="006B3F12" w:rsidRDefault="006B3F12" w:rsidP="006B3F12">
            <w:pPr>
              <w:ind w:firstLine="709"/>
              <w:jc w:val="center"/>
            </w:pPr>
            <m:oMath>
              <m:r>
                <m:rPr>
                  <m:sty m:val="bi"/>
                </m:rPr>
                <w:rPr>
                  <w:rFonts w:ascii="Cambria Math" w:eastAsia="Calibri" w:hAnsi="Cambria Math"/>
                  <w:sz w:val="32"/>
                  <w:lang w:val="en-US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b/>
                      <w:i/>
                      <w:sz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/>
                          <w:b/>
                          <w:i/>
                          <w:sz w:val="32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  <w:sz w:val="32"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z w:val="32"/>
                            </w:rPr>
                            <m:t>t=1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z w:val="32"/>
                            </w:rPr>
                            <m:t>d-1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sz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  <w:sz w:val="32"/>
                                </w:rPr>
                                <m:t>СЧА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/>
                                  <w:sz w:val="32"/>
                                  <w:lang w:val="en-US"/>
                                </w:rPr>
                                <m:t>t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bi"/>
                        </m:rPr>
                        <w:rPr>
                          <w:rFonts w:ascii="Cambria Math" w:eastAsia="Calibri" w:hAnsi="Cambria Math"/>
                          <w:sz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b/>
                              <w:i/>
                              <w:sz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/>
                              <w:sz w:val="32"/>
                            </w:rPr>
                            <m:t>СЧА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/>
                              <w:sz w:val="32"/>
                            </w:rPr>
                            <m:t>d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32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32"/>
                      <w:lang w:val="en-US"/>
                    </w:rPr>
                    <m:t>r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32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D*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b/>
                          <w:i/>
                          <w:sz w:val="32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</w:rPr>
                        <m:t>k=1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</w:rPr>
                        <m:t>i-1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3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D+</m:t>
                  </m:r>
                  <m:r>
                    <w:rPr>
                      <w:rFonts w:ascii="Cambria Math" w:hAnsi="Cambria Math"/>
                      <w:sz w:val="32"/>
                    </w:rPr>
                    <m:t>r</m:t>
                  </m:r>
                </m:den>
              </m:f>
            </m:oMath>
            <w:r>
              <w:rPr>
                <w:lang w:eastAsia="en-US"/>
              </w:rPr>
              <w:t>,</w:t>
            </w:r>
          </w:p>
          <w:p w:rsidR="006B3F12" w:rsidRDefault="006B3F12" w:rsidP="006B3F12">
            <w:pPr>
              <w:ind w:firstLine="709"/>
              <w:jc w:val="center"/>
            </w:pPr>
          </w:p>
          <w:p w:rsidR="00BD55CB" w:rsidRDefault="00D76DAD" w:rsidP="00BD55CB">
            <w:pPr>
              <w:ind w:firstLine="709"/>
              <w:jc w:val="center"/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lang w:eastAsia="en-US"/>
                    </w:rPr>
                    <m:t>ук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ук</m:t>
                  </m:r>
                </m:sub>
              </m:sSub>
            </m:oMath>
            <w:r w:rsidR="00BD55CB">
              <w:rPr>
                <w:lang w:eastAsia="en-US"/>
              </w:rPr>
              <w:t xml:space="preserve"> </w:t>
            </w:r>
            <w:r w:rsidR="00BD55CB">
              <w:t xml:space="preserve">, </w:t>
            </w:r>
          </w:p>
          <w:p w:rsidR="00BD55CB" w:rsidRPr="00843780" w:rsidRDefault="00D76DAD" w:rsidP="00BD55CB">
            <w:pPr>
              <w:ind w:firstLine="709"/>
              <w:jc w:val="center"/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 w:val="28"/>
                      <w:lang w:eastAsia="en-US"/>
                    </w:rPr>
                    <m:t>сд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lang w:val="en-US" w:eastAsia="en-US"/>
                    </w:rPr>
                    <m:t>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сд</m:t>
                  </m:r>
                </m:sub>
              </m:sSub>
            </m:oMath>
            <w:r w:rsidR="00BD55CB">
              <w:rPr>
                <w:rFonts w:eastAsiaTheme="minorEastAsia"/>
                <w:b/>
                <w:sz w:val="28"/>
              </w:rPr>
              <w:t>.</w:t>
            </w:r>
          </w:p>
          <w:p w:rsidR="00BD55CB" w:rsidRDefault="006B3F12" w:rsidP="006B3F12">
            <w:pPr>
              <w:ind w:left="-284" w:firstLine="851"/>
              <w:jc w:val="both"/>
            </w:pPr>
            <w:r w:rsidRPr="00843780">
              <w:t xml:space="preserve"> </w:t>
            </w:r>
          </w:p>
          <w:p w:rsidR="006B3F12" w:rsidRPr="00843780" w:rsidRDefault="006B3F12" w:rsidP="006B3F12">
            <w:pPr>
              <w:ind w:left="-284" w:firstLine="851"/>
              <w:jc w:val="both"/>
            </w:pPr>
            <w:r w:rsidRPr="00843780">
              <w:t>где:</w:t>
            </w:r>
          </w:p>
          <w:p w:rsidR="006B3F12" w:rsidRPr="00843780" w:rsidRDefault="006B3F12" w:rsidP="006B3F12">
            <w:pPr>
              <w:jc w:val="both"/>
            </w:pPr>
            <w:r w:rsidRPr="00843780">
              <w:t xml:space="preserve">R – величина Резерва на день </w:t>
            </w:r>
            <w:proofErr w:type="spellStart"/>
            <w:r w:rsidRPr="00843780">
              <w:t>d</w:t>
            </w:r>
            <w:proofErr w:type="spellEnd"/>
            <w:r w:rsidRPr="00843780">
              <w:t>;</w:t>
            </w:r>
          </w:p>
          <w:p w:rsidR="006B3F12" w:rsidRPr="00843780" w:rsidRDefault="00D76DAD" w:rsidP="006B3F12">
            <w:pPr>
              <w:ind w:left="1134" w:hanging="567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СЧА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b>
              </m:sSub>
            </m:oMath>
            <w:r w:rsidR="006B3F12" w:rsidRPr="00843780">
              <w:t xml:space="preserve"> – стоимость чистых активов паевого инвестиционного фонда (далее – СЧА) по состоянию на конец каждого рабочего дня t, за исключением дня d. Если на рабочий день t  СЧА не определена, она принимается </w:t>
            </w:r>
            <w:proofErr w:type="gramStart"/>
            <w:r w:rsidR="006B3F12" w:rsidRPr="00843780">
              <w:t>равной</w:t>
            </w:r>
            <w:proofErr w:type="gramEnd"/>
            <w:r w:rsidR="006B3F12" w:rsidRPr="00843780">
              <w:t xml:space="preserve"> СЧА за предшествующий дню </w:t>
            </w:r>
            <w:proofErr w:type="spellStart"/>
            <w:r w:rsidR="006B3F12" w:rsidRPr="00843780">
              <w:t>t</w:t>
            </w:r>
            <w:proofErr w:type="spellEnd"/>
            <w:r w:rsidR="006B3F12" w:rsidRPr="00843780">
              <w:t xml:space="preserve"> рабочий день;</w:t>
            </w:r>
          </w:p>
          <w:p w:rsidR="006B3F12" w:rsidRPr="00843780" w:rsidRDefault="006B3F12" w:rsidP="006B3F12">
            <w:pPr>
              <w:ind w:left="1134" w:hanging="567"/>
              <w:jc w:val="both"/>
            </w:pPr>
            <w:proofErr w:type="spellStart"/>
            <w:r w:rsidRPr="00843780">
              <w:t>t</w:t>
            </w:r>
            <w:proofErr w:type="spellEnd"/>
            <w:r w:rsidRPr="00843780">
              <w:t xml:space="preserve"> – порядковый номер рабочего дня, принимающий значения от 1 до </w:t>
            </w:r>
            <w:proofErr w:type="spellStart"/>
            <w:r w:rsidRPr="00843780">
              <w:t>d</w:t>
            </w:r>
            <w:proofErr w:type="spellEnd"/>
            <w:r w:rsidRPr="00843780">
              <w:t xml:space="preserve">. </w:t>
            </w:r>
            <w:proofErr w:type="spellStart"/>
            <w:r w:rsidRPr="00843780">
              <w:t>t=d</w:t>
            </w:r>
            <w:proofErr w:type="spellEnd"/>
            <w:r w:rsidRPr="00843780">
              <w:t xml:space="preserve"> – порядковый номер рабочего дня начисления резерва;</w:t>
            </w:r>
          </w:p>
          <w:p w:rsidR="006B3F12" w:rsidRPr="00843780" w:rsidRDefault="00D76DAD" w:rsidP="006B3F12">
            <w:pPr>
              <w:ind w:left="1134" w:hanging="567"/>
              <w:jc w:val="both"/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СЧА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lang w:eastAsia="en-US"/>
                    </w:rPr>
                    <m:t>d</m:t>
                  </m:r>
                </m:sub>
              </m:sSub>
            </m:oMath>
            <w:r w:rsidR="006B3F12" w:rsidRPr="00843780">
              <w:rPr>
                <w:lang w:eastAsia="en-US"/>
              </w:rPr>
              <w:t xml:space="preserve"> – </w:t>
            </w:r>
            <w:r w:rsidR="006B3F12" w:rsidRPr="00843780">
              <w:t xml:space="preserve">расчетная (промежуточная) величина СЧА на день </w:t>
            </w:r>
            <w:proofErr w:type="spellStart"/>
            <w:r w:rsidR="006B3F12" w:rsidRPr="00843780">
              <w:t>d</w:t>
            </w:r>
            <w:proofErr w:type="spellEnd"/>
            <w:r w:rsidR="006B3F12" w:rsidRPr="00843780">
              <w:t xml:space="preserve">, в которой начисляется Резерв, определяемая как величина активов на дату </w:t>
            </w:r>
            <w:proofErr w:type="spellStart"/>
            <w:r w:rsidR="006B3F12" w:rsidRPr="00843780">
              <w:t>d</w:t>
            </w:r>
            <w:proofErr w:type="spellEnd"/>
            <w:r w:rsidR="006B3F12" w:rsidRPr="00843780">
              <w:t xml:space="preserve"> (включая дебиторскую задолженность) за минусом величины обязательств на дату </w:t>
            </w:r>
            <w:proofErr w:type="spellStart"/>
            <w:r w:rsidR="006B3F12" w:rsidRPr="00843780">
              <w:t>d</w:t>
            </w:r>
            <w:proofErr w:type="spellEnd"/>
            <w:r w:rsidR="006B3F12" w:rsidRPr="00843780">
              <w:t xml:space="preserve"> (без учета резерва, подлежащего начислению в день </w:t>
            </w:r>
            <w:proofErr w:type="spellStart"/>
            <w:r w:rsidR="006B3F12" w:rsidRPr="00843780">
              <w:t>d</w:t>
            </w:r>
            <w:proofErr w:type="spellEnd"/>
            <w:r w:rsidR="006B3F12" w:rsidRPr="00843780">
              <w:t xml:space="preserve">, и вознаграждений, подлежащих начислению за счет резерва в день </w:t>
            </w:r>
            <w:proofErr w:type="spellStart"/>
            <w:r w:rsidR="006B3F12" w:rsidRPr="00843780">
              <w:t>d</w:t>
            </w:r>
            <w:proofErr w:type="spellEnd"/>
            <w:r w:rsidR="006B3F12" w:rsidRPr="00843780">
              <w:t>);</w:t>
            </w:r>
          </w:p>
          <w:p w:rsidR="006B3F12" w:rsidRPr="00843780" w:rsidRDefault="006B3F12" w:rsidP="006B3F12">
            <w:pPr>
              <w:ind w:left="1134" w:hanging="567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D</m:t>
              </m:r>
            </m:oMath>
            <w:r w:rsidRPr="00843780">
              <w:t xml:space="preserve"> - количество рабочих дней в текущем календарном году;</w:t>
            </w:r>
          </w:p>
          <w:p w:rsidR="006B3F12" w:rsidRPr="00843780" w:rsidRDefault="006B3F12" w:rsidP="006B3F12">
            <w:pPr>
              <w:ind w:left="1134" w:hanging="567"/>
              <w:jc w:val="both"/>
            </w:pPr>
            <w:proofErr w:type="spellStart"/>
            <w:r w:rsidRPr="00843780">
              <w:t>r</w:t>
            </w:r>
            <w:proofErr w:type="spellEnd"/>
            <w:r w:rsidRPr="00843780">
              <w:t xml:space="preserve"> – совокупная ставка вознаграждения Управляющей компании и специализированного депозитария, аудиторской организации, оценщику паевого инвестиционного фонда, лицу, осуществляющему ведение реестра владельцев инвестиционных паев паевого инвестиционного фонда, определенные Правилами </w:t>
            </w:r>
            <w:r w:rsidRPr="00843780">
              <w:lastRenderedPageBreak/>
              <w:t>доверительного управления паевого инвестиционного фонда;</w:t>
            </w:r>
          </w:p>
          <w:p w:rsidR="006B3F12" w:rsidRPr="00843780" w:rsidRDefault="00D76DAD" w:rsidP="006B3F12">
            <w:pPr>
              <w:ind w:left="1134" w:hanging="567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ук</m:t>
                  </m:r>
                </m:sub>
              </m:sSub>
            </m:oMath>
            <w:r w:rsidR="006B3F12" w:rsidRPr="00843780">
              <w:t xml:space="preserve"> -  ставка вознаграждения Управляющей компании, определенная Правилами доверительного управления паевого инвестиционного фонда;</w:t>
            </w:r>
          </w:p>
          <w:p w:rsidR="006B3F12" w:rsidRPr="00843780" w:rsidRDefault="00D76DAD" w:rsidP="006B3F12">
            <w:pPr>
              <w:ind w:left="1134" w:hanging="567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сд</m:t>
                  </m:r>
                </m:sub>
              </m:sSub>
            </m:oMath>
            <w:r w:rsidR="006B3F12" w:rsidRPr="00843780">
              <w:t xml:space="preserve"> -  ставка вознаграждения специализированного депозитария, аудиторской организации, оценщику паевого инвестиционного фонда, лицу, осуществляющему ведение реестра владельцев инвестиционных паев паевого инвестиционного фонда, определенная Правилами доверительного управления паевого инвестиционного фонда;</w:t>
            </w:r>
          </w:p>
          <w:p w:rsidR="006B3F12" w:rsidRPr="00843780" w:rsidRDefault="00D76DAD" w:rsidP="006B3F12">
            <w:pPr>
              <w:ind w:left="1134" w:hanging="567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b>
              </m:sSub>
            </m:oMath>
            <w:r w:rsidR="006B3F12" w:rsidRPr="00843780">
              <w:t xml:space="preserve"> -  сумма каждого произведенного в текущем календарном году начисления Резерва до дня d;</w:t>
            </w:r>
          </w:p>
          <w:p w:rsidR="00C37821" w:rsidRPr="00D12BA1" w:rsidRDefault="006B3F12" w:rsidP="00BD55CB">
            <w:pPr>
              <w:ind w:left="993" w:hanging="426"/>
            </w:pPr>
            <w:proofErr w:type="spellStart"/>
            <w:r w:rsidRPr="00843780">
              <w:t>k</w:t>
            </w:r>
            <w:proofErr w:type="spellEnd"/>
            <w:r w:rsidRPr="00843780">
              <w:t xml:space="preserve"> - порядковый номер каждого начисления Резерва в отчетном году, принимающий значения от 1 до </w:t>
            </w:r>
            <w:proofErr w:type="spellStart"/>
            <w:r w:rsidRPr="00843780">
              <w:t>i</w:t>
            </w:r>
            <w:proofErr w:type="spellEnd"/>
            <w:r w:rsidRPr="00843780">
              <w:t xml:space="preserve">. </w:t>
            </w:r>
            <w:proofErr w:type="spellStart"/>
            <w:r w:rsidRPr="00843780">
              <w:t>k=i</w:t>
            </w:r>
            <w:proofErr w:type="spellEnd"/>
            <w:r w:rsidRPr="00843780">
              <w:t xml:space="preserve"> – порядковый номер последнего (текущего) начисления Резерва.</w:t>
            </w:r>
          </w:p>
        </w:tc>
      </w:tr>
      <w:tr w:rsidR="00C37821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D12BA1" w:rsidRDefault="00C37821" w:rsidP="0018680C">
            <w:pPr>
              <w:pStyle w:val="ac"/>
              <w:numPr>
                <w:ilvl w:val="2"/>
                <w:numId w:val="29"/>
              </w:numPr>
              <w:spacing w:before="120" w:after="120"/>
              <w:jc w:val="both"/>
            </w:pPr>
            <w:r w:rsidRPr="00D12BA1">
              <w:lastRenderedPageBreak/>
              <w:t>В случае изменения процентной ставки вознаграждения в течение календарного года, расчетная величина резерва определяется в следующем порядке:</w:t>
            </w:r>
          </w:p>
          <w:p w:rsidR="00C37821" w:rsidRPr="00D12BA1" w:rsidRDefault="00C37821" w:rsidP="00C37821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proofErr w:type="gramStart"/>
            <w:r w:rsidRPr="00D12BA1">
              <w:t>с даты начала</w:t>
            </w:r>
            <w:proofErr w:type="gramEnd"/>
            <w:r w:rsidRPr="00D12BA1">
              <w:t xml:space="preserve"> действия новой ставки вознаграждения величина резерва, начисленного к указанному моменту, не участвует в расчетах по определению расчетной величины вознаграждения;</w:t>
            </w:r>
          </w:p>
          <w:p w:rsidR="00C37821" w:rsidRPr="00D12BA1" w:rsidRDefault="00C37821" w:rsidP="00C37821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proofErr w:type="gramStart"/>
            <w:r w:rsidRPr="00D12BA1">
              <w:t>с даты начала</w:t>
            </w:r>
            <w:proofErr w:type="gramEnd"/>
            <w:r w:rsidRPr="00D12BA1">
              <w:t xml:space="preserve"> действия новой ставки вознаграждения величина резерва, подлежащего начислению с указанного момента, определяется по формуле:</w:t>
            </w:r>
          </w:p>
          <w:p w:rsidR="00C37821" w:rsidRPr="00D12BA1" w:rsidRDefault="00C37821" w:rsidP="00C37821">
            <w:pPr>
              <w:ind w:firstLine="600"/>
              <w:rPr>
                <w:spacing w:val="-10"/>
              </w:rPr>
            </w:pPr>
            <w:r w:rsidRPr="00D12BA1">
              <w:rPr>
                <w:spacing w:val="-10"/>
                <w:position w:val="-28"/>
              </w:rPr>
              <w:object w:dxaOrig="2400" w:dyaOrig="1020">
                <v:shape id="_x0000_i1032" type="#_x0000_t75" style="width:117.1pt;height:50.1pt" o:ole="">
                  <v:imagedata r:id="rId21" o:title=""/>
                </v:shape>
                <o:OLEObject Type="Embed" ProgID="Equation.3" ShapeID="_x0000_i1032" DrawAspect="Content" ObjectID="_1544434049" r:id="rId22"/>
              </w:object>
            </w:r>
          </w:p>
          <w:p w:rsidR="00C37821" w:rsidRPr="00C37821" w:rsidRDefault="00C37821" w:rsidP="00C37821">
            <w:pPr>
              <w:ind w:left="567"/>
              <w:rPr>
                <w:highlight w:val="lightGray"/>
              </w:rPr>
            </w:pP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</w:rPr>
              <w:t>где: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lang w:val="en-US"/>
              </w:rPr>
              <w:t>n</w:t>
            </w:r>
            <w:r w:rsidRPr="00D12BA1">
              <w:rPr>
                <w:spacing w:val="-10"/>
              </w:rPr>
              <w:t xml:space="preserve"> – порядковый номер каждого начисления резерва, </w:t>
            </w:r>
            <w:r w:rsidRPr="00D12BA1">
              <w:rPr>
                <w:b/>
                <w:spacing w:val="-10"/>
                <w:u w:val="single"/>
              </w:rPr>
              <w:t>начиная с момента введения в использование новой ставки вознаграждения</w:t>
            </w:r>
            <w:r w:rsidRPr="00D12BA1">
              <w:rPr>
                <w:spacing w:val="-10"/>
              </w:rPr>
              <w:t xml:space="preserve">, принимающий значения от 1 до </w:t>
            </w:r>
            <w:proofErr w:type="spellStart"/>
            <w:r w:rsidRPr="00D12BA1">
              <w:rPr>
                <w:spacing w:val="-10"/>
              </w:rPr>
              <w:t>i</w:t>
            </w:r>
            <w:proofErr w:type="spellEnd"/>
            <w:r w:rsidRPr="00D12BA1">
              <w:rPr>
                <w:spacing w:val="-10"/>
              </w:rPr>
              <w:t xml:space="preserve">. </w:t>
            </w:r>
            <w:r w:rsidRPr="00D12BA1">
              <w:rPr>
                <w:spacing w:val="-10"/>
                <w:lang w:val="en-US"/>
              </w:rPr>
              <w:t>n</w:t>
            </w:r>
            <w:proofErr w:type="spellStart"/>
            <w:r w:rsidRPr="00D12BA1">
              <w:rPr>
                <w:spacing w:val="-10"/>
              </w:rPr>
              <w:t>=i</w:t>
            </w:r>
            <w:proofErr w:type="spellEnd"/>
            <w:r w:rsidRPr="00D12BA1">
              <w:rPr>
                <w:spacing w:val="-10"/>
              </w:rPr>
              <w:t xml:space="preserve"> – порядковый номер последнего (текущего) начисления резерва;</w:t>
            </w:r>
          </w:p>
          <w:p w:rsidR="00C37821" w:rsidRPr="00D12BA1" w:rsidRDefault="00C37821" w:rsidP="00C37821">
            <w:pPr>
              <w:pStyle w:val="ConsPlusNormal"/>
              <w:ind w:left="567"/>
              <w:jc w:val="both"/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D12BA1">
              <w:rPr>
                <w:rFonts w:ascii="Times New Roman" w:hAnsi="Times New Roman" w:cs="Times New Roman"/>
                <w:spacing w:val="-10"/>
                <w:position w:val="-10"/>
                <w:sz w:val="24"/>
                <w:szCs w:val="24"/>
              </w:rPr>
              <w:object w:dxaOrig="279" w:dyaOrig="340">
                <v:shape id="_x0000_i1033" type="#_x0000_t75" style="width:14.4pt;height:14.4pt" o:ole="">
                  <v:imagedata r:id="rId23" o:title=""/>
                </v:shape>
                <o:OLEObject Type="Embed" ProgID="Equation.3" ShapeID="_x0000_i1033" DrawAspect="Content" ObjectID="_1544434050" r:id="rId24"/>
              </w:object>
            </w:r>
            <w:r w:rsidRPr="00D12B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2BA1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 xml:space="preserve">сумма каждого произведенного начисления резерва, </w:t>
            </w:r>
            <w:r w:rsidRPr="00D12B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начиная с момента введения в использование новой ставки вознаграждения</w:t>
            </w:r>
            <w:r w:rsidRPr="00D12BA1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eastAsia="en-US"/>
              </w:rPr>
              <w:t>;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position w:val="-12"/>
              </w:rPr>
              <w:object w:dxaOrig="260" w:dyaOrig="360">
                <v:shape id="_x0000_i1034" type="#_x0000_t75" style="width:14.4pt;height:21.9pt" o:ole="">
                  <v:imagedata r:id="rId12" o:title=""/>
                </v:shape>
                <o:OLEObject Type="Embed" ProgID="Equation.3" ShapeID="_x0000_i1034" DrawAspect="Content" ObjectID="_1544434051" r:id="rId25"/>
              </w:object>
            </w:r>
            <w:r w:rsidRPr="00D12BA1">
              <w:t xml:space="preserve"> – </w:t>
            </w:r>
            <w:r w:rsidRPr="00D12BA1">
              <w:rPr>
                <w:spacing w:val="-10"/>
              </w:rPr>
              <w:t>сумма очередного (текущего) начисления резерва в периоде действия новой ставки вознаграждения;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spacing w:val="-10"/>
                <w:position w:val="-4"/>
              </w:rPr>
              <w:object w:dxaOrig="260" w:dyaOrig="260">
                <v:shape id="_x0000_i1035" type="#_x0000_t75" style="width:14.4pt;height:14.4pt" o:ole="">
                  <v:imagedata r:id="rId14" o:title=""/>
                </v:shape>
                <o:OLEObject Type="Embed" ProgID="Equation.3" ShapeID="_x0000_i1035" DrawAspect="Content" ObjectID="_1544434052" r:id="rId26"/>
              </w:object>
            </w:r>
            <w:r w:rsidRPr="00D12BA1">
              <w:rPr>
                <w:spacing w:val="-10"/>
              </w:rPr>
              <w:t xml:space="preserve"> </w:t>
            </w:r>
            <w:r w:rsidRPr="00D12BA1">
              <w:t xml:space="preserve">– </w:t>
            </w:r>
            <w:r w:rsidRPr="00D12BA1">
              <w:rPr>
                <w:spacing w:val="-10"/>
              </w:rPr>
              <w:t>количество рабочих дней в текущем календарном году;</w:t>
            </w:r>
          </w:p>
          <w:p w:rsidR="00C37821" w:rsidRPr="00D12BA1" w:rsidRDefault="00C37821" w:rsidP="00C37821">
            <w:pPr>
              <w:ind w:left="567"/>
            </w:pPr>
            <w:r w:rsidRPr="00D12BA1">
              <w:rPr>
                <w:i/>
                <w:lang w:val="en-US"/>
              </w:rPr>
              <w:t>q</w:t>
            </w:r>
            <w:r w:rsidRPr="00D12BA1">
              <w:t xml:space="preserve"> – порядковый номер рабочего дня, </w:t>
            </w:r>
            <w:r w:rsidRPr="00D12BA1">
              <w:rPr>
                <w:b/>
                <w:u w:val="single"/>
              </w:rPr>
              <w:t>начиная с момента введения в использование новой ставки вознаграждения</w:t>
            </w:r>
            <w:r w:rsidRPr="00D12BA1">
              <w:rPr>
                <w:spacing w:val="-10"/>
              </w:rPr>
              <w:t xml:space="preserve">, принимающий значения от 1 до </w:t>
            </w:r>
            <w:r w:rsidRPr="00D12BA1">
              <w:rPr>
                <w:spacing w:val="-10"/>
                <w:lang w:val="en-US"/>
              </w:rPr>
              <w:t>d</w:t>
            </w:r>
            <w:r w:rsidRPr="00D12BA1">
              <w:rPr>
                <w:spacing w:val="-10"/>
              </w:rPr>
              <w:t xml:space="preserve">. </w:t>
            </w:r>
            <w:r w:rsidRPr="00D12BA1">
              <w:rPr>
                <w:spacing w:val="-10"/>
                <w:lang w:val="en-US"/>
              </w:rPr>
              <w:t>q</w:t>
            </w:r>
            <w:r w:rsidRPr="00D12BA1">
              <w:rPr>
                <w:spacing w:val="-10"/>
              </w:rPr>
              <w:t>=</w:t>
            </w:r>
            <w:r w:rsidRPr="00D12BA1">
              <w:rPr>
                <w:spacing w:val="-10"/>
                <w:lang w:val="en-US"/>
              </w:rPr>
              <w:t>d</w:t>
            </w:r>
            <w:r w:rsidRPr="00D12BA1">
              <w:rPr>
                <w:spacing w:val="-10"/>
              </w:rPr>
              <w:t xml:space="preserve"> – порядковый номер рабочего дня начисления резерва </w:t>
            </w:r>
            <w:r w:rsidRPr="00D12BA1">
              <w:rPr>
                <w:spacing w:val="-10"/>
                <w:position w:val="-12"/>
              </w:rPr>
              <w:object w:dxaOrig="260" w:dyaOrig="360">
                <v:shape id="_x0000_i1036" type="#_x0000_t75" style="width:14.4pt;height:21.9pt" o:ole="">
                  <v:imagedata r:id="rId12" o:title=""/>
                </v:shape>
                <o:OLEObject Type="Embed" ProgID="Equation.3" ShapeID="_x0000_i1036" DrawAspect="Content" ObjectID="_1544434053" r:id="rId27"/>
              </w:object>
            </w:r>
            <w:r w:rsidRPr="00D12BA1">
              <w:t>;</w:t>
            </w:r>
          </w:p>
          <w:p w:rsidR="00C37821" w:rsidRPr="00D12BA1" w:rsidRDefault="00C37821" w:rsidP="00C37821">
            <w:pPr>
              <w:ind w:left="567"/>
              <w:rPr>
                <w:spacing w:val="-10"/>
              </w:rPr>
            </w:pPr>
            <w:r w:rsidRPr="00D12BA1">
              <w:rPr>
                <w:position w:val="-14"/>
              </w:rPr>
              <w:object w:dxaOrig="600" w:dyaOrig="380">
                <v:shape id="_x0000_i1037" type="#_x0000_t75" style="width:28.8pt;height:21.9pt" o:ole="">
                  <v:imagedata r:id="rId28" o:title=""/>
                </v:shape>
                <o:OLEObject Type="Embed" ProgID="Equation.3" ShapeID="_x0000_i1037" DrawAspect="Content" ObjectID="_1544434054" r:id="rId29"/>
              </w:object>
            </w:r>
            <w:r>
              <w:t xml:space="preserve"> </w:t>
            </w:r>
            <w:r w:rsidRPr="00D12BA1">
              <w:t xml:space="preserve">– </w:t>
            </w:r>
            <w:r w:rsidRPr="00D12BA1">
              <w:rPr>
                <w:spacing w:val="-10"/>
              </w:rPr>
              <w:t xml:space="preserve">стоимость чистых активов по состоянию на конец каждого рабочего дня </w:t>
            </w:r>
            <w:r w:rsidRPr="00D12BA1">
              <w:rPr>
                <w:spacing w:val="-10"/>
                <w:lang w:val="en-US"/>
              </w:rPr>
              <w:t>q</w:t>
            </w:r>
            <w:r w:rsidRPr="00D12BA1">
              <w:rPr>
                <w:spacing w:val="-10"/>
              </w:rPr>
              <w:t xml:space="preserve">. Если на рабочий день </w:t>
            </w:r>
            <w:r w:rsidRPr="00D12BA1">
              <w:rPr>
                <w:spacing w:val="-10"/>
                <w:lang w:val="en-US"/>
              </w:rPr>
              <w:t>q</w:t>
            </w:r>
            <w:r w:rsidRPr="00D12BA1">
              <w:rPr>
                <w:spacing w:val="-10"/>
              </w:rPr>
              <w:t xml:space="preserve"> СЧА не определено, оно принимается </w:t>
            </w:r>
            <w:proofErr w:type="gramStart"/>
            <w:r w:rsidRPr="00D12BA1">
              <w:rPr>
                <w:spacing w:val="-10"/>
              </w:rPr>
              <w:t>равным</w:t>
            </w:r>
            <w:proofErr w:type="gramEnd"/>
            <w:r w:rsidRPr="00D12BA1">
              <w:rPr>
                <w:spacing w:val="-10"/>
              </w:rPr>
              <w:t xml:space="preserve"> СЧА за предшествующий дню </w:t>
            </w:r>
            <w:r w:rsidRPr="00D12BA1">
              <w:rPr>
                <w:spacing w:val="-10"/>
                <w:lang w:val="en-US"/>
              </w:rPr>
              <w:t>q</w:t>
            </w:r>
            <w:r w:rsidRPr="00D12BA1">
              <w:rPr>
                <w:spacing w:val="-10"/>
              </w:rPr>
              <w:t xml:space="preserve"> рабочий день текущего календарного года. Значение определяется с точностью до 2 знаков после запятой;</w:t>
            </w:r>
          </w:p>
          <w:p w:rsidR="00C37821" w:rsidRPr="00C37821" w:rsidRDefault="00C37821" w:rsidP="00C37821">
            <w:pPr>
              <w:pStyle w:val="ac"/>
              <w:spacing w:before="120" w:after="120"/>
              <w:ind w:left="0"/>
              <w:jc w:val="both"/>
            </w:pPr>
            <w:r w:rsidRPr="00D12BA1">
              <w:rPr>
                <w:position w:val="-14"/>
              </w:rPr>
              <w:object w:dxaOrig="220" w:dyaOrig="380">
                <v:shape id="_x0000_i1038" type="#_x0000_t75" style="width:14.4pt;height:21.9pt" o:ole="">
                  <v:imagedata r:id="rId30" o:title=""/>
                </v:shape>
                <o:OLEObject Type="Embed" ProgID="Equation.3" ShapeID="_x0000_i1038" DrawAspect="Content" ObjectID="_1544434055" r:id="rId31"/>
              </w:object>
            </w:r>
            <w:r w:rsidRPr="00D12BA1">
              <w:rPr>
                <w:i/>
                <w:spacing w:val="-10"/>
              </w:rPr>
              <w:t xml:space="preserve"> </w:t>
            </w:r>
            <w:r w:rsidRPr="00D12BA1">
              <w:t xml:space="preserve">– </w:t>
            </w:r>
            <w:r w:rsidRPr="00D12BA1">
              <w:rPr>
                <w:spacing w:val="-10"/>
              </w:rPr>
              <w:t>процентная ставка.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21" w:rsidRPr="00C37821" w:rsidRDefault="0018680C" w:rsidP="006B3F12">
            <w:pPr>
              <w:spacing w:before="120" w:after="120"/>
              <w:jc w:val="both"/>
            </w:pPr>
            <w:r>
              <w:lastRenderedPageBreak/>
              <w:t>3.10.</w:t>
            </w:r>
            <w:r w:rsidR="006B3F12">
              <w:t>6. В случае, если в течени</w:t>
            </w:r>
            <w:proofErr w:type="gramStart"/>
            <w:r w:rsidR="006B3F12">
              <w:t>и</w:t>
            </w:r>
            <w:proofErr w:type="gramEnd"/>
            <w:r w:rsidR="006B3F12">
              <w:t xml:space="preserve"> отчетного года в Правила доверительного управления паевого инвестиционного фонда вносились изменения в части размера ставки вознаграждения </w:t>
            </w:r>
            <w:r w:rsidR="006B3F12" w:rsidRPr="00F12057">
              <w:t>Управляющей компании и</w:t>
            </w:r>
            <w:r w:rsidR="006B3F12">
              <w:t>/или</w:t>
            </w:r>
            <w:r w:rsidR="006B3F12" w:rsidRPr="00F12057">
              <w:t xml:space="preserve"> </w:t>
            </w:r>
            <w:r w:rsidR="006B3F12" w:rsidRPr="0065799A">
              <w:t>специализированно</w:t>
            </w:r>
            <w:r w:rsidR="006B3F12">
              <w:t>го</w:t>
            </w:r>
            <w:r w:rsidR="006B3F12" w:rsidRPr="0065799A">
              <w:t xml:space="preserve"> депозитари</w:t>
            </w:r>
            <w:r w:rsidR="006B3F12">
              <w:t>я</w:t>
            </w:r>
            <w:r w:rsidR="006B3F12" w:rsidRPr="0065799A">
              <w:t>, аудиторской организации, оценщику паевого инвестиционного фонда, лицу, осуществляющему ведение реестра владельцев инвестиционных паев паевого инвестиционного фонда</w:t>
            </w:r>
            <w:r w:rsidR="006B3F12">
              <w:t xml:space="preserve">, </w:t>
            </w:r>
            <w:r w:rsidR="008E4236" w:rsidRPr="00BB1318">
              <w:t>применяется  формула п. 3.10.4 последовательно к каждому периоду</w:t>
            </w:r>
            <w:r w:rsidR="006B3F12">
              <w:t xml:space="preserve">, в котором действовала соответствующая ставка и размер Резерва на день </w:t>
            </w:r>
            <w:proofErr w:type="spellStart"/>
            <w:r w:rsidR="006B3F12" w:rsidRPr="006B3F12">
              <w:t>d</w:t>
            </w:r>
            <w:proofErr w:type="spellEnd"/>
            <w:r w:rsidR="006B3F12">
              <w:t xml:space="preserve"> определяется как сумма значений этих периодов.</w:t>
            </w:r>
          </w:p>
        </w:tc>
      </w:tr>
      <w:tr w:rsidR="004947B8" w:rsidRPr="0075698E" w:rsidTr="00A83A1E"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6" w:rsidRPr="00D12BA1" w:rsidRDefault="003657E6" w:rsidP="003657E6">
            <w:pPr>
              <w:pStyle w:val="ac"/>
              <w:numPr>
                <w:ilvl w:val="2"/>
                <w:numId w:val="26"/>
              </w:numPr>
              <w:spacing w:before="120" w:after="120"/>
              <w:jc w:val="both"/>
            </w:pPr>
            <w:r w:rsidRPr="00D12BA1">
              <w:lastRenderedPageBreak/>
              <w:t xml:space="preserve">Обязательства, в составе кредиторской задолженности, принимаются </w:t>
            </w:r>
            <w:proofErr w:type="gramStart"/>
            <w:r w:rsidRPr="00D12BA1">
              <w:t>равными</w:t>
            </w:r>
            <w:proofErr w:type="gramEnd"/>
            <w:r w:rsidRPr="00D12BA1">
              <w:t>:</w:t>
            </w:r>
          </w:p>
          <w:p w:rsidR="003657E6" w:rsidRPr="00D12BA1" w:rsidRDefault="003657E6" w:rsidP="003657E6">
            <w:pPr>
              <w:pStyle w:val="ac"/>
              <w:numPr>
                <w:ilvl w:val="2"/>
                <w:numId w:val="16"/>
              </w:numPr>
              <w:spacing w:after="120"/>
              <w:ind w:left="851" w:hanging="295"/>
              <w:jc w:val="both"/>
            </w:pPr>
            <w:r w:rsidRPr="00D12BA1">
              <w:t xml:space="preserve">сумме непогашенных обязательств, если срок погашения таких обязательств в соответствии с условиями договора не превышает одного года </w:t>
            </w:r>
            <w:proofErr w:type="gramStart"/>
            <w:r w:rsidRPr="00D12BA1">
              <w:t>с даты заключения</w:t>
            </w:r>
            <w:proofErr w:type="gramEnd"/>
            <w:r w:rsidRPr="00D12BA1">
              <w:t xml:space="preserve"> такого договора;</w:t>
            </w:r>
          </w:p>
          <w:p w:rsidR="004947B8" w:rsidRPr="00D12BA1" w:rsidRDefault="003657E6" w:rsidP="003657E6">
            <w:pPr>
              <w:spacing w:before="120" w:after="120"/>
              <w:ind w:left="626"/>
              <w:jc w:val="both"/>
            </w:pPr>
            <w:r>
              <w:t xml:space="preserve">- </w:t>
            </w:r>
            <w:r w:rsidRPr="00D12BA1">
              <w:t xml:space="preserve">приведенной стоимости рассчитанной по формуле, установленной п. 3.2.3, если срок погашения таких обязательств в соответствии с условиями договора более одного года </w:t>
            </w:r>
            <w:proofErr w:type="gramStart"/>
            <w:r w:rsidRPr="00D12BA1">
              <w:t>с даты заключения</w:t>
            </w:r>
            <w:proofErr w:type="gramEnd"/>
            <w:r w:rsidRPr="00D12BA1">
              <w:t xml:space="preserve"> такого договора.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E6" w:rsidRPr="00D12BA1" w:rsidRDefault="003657E6" w:rsidP="003657E6">
            <w:pPr>
              <w:pStyle w:val="ac"/>
              <w:numPr>
                <w:ilvl w:val="2"/>
                <w:numId w:val="27"/>
              </w:numPr>
              <w:spacing w:before="120" w:after="120"/>
              <w:jc w:val="both"/>
            </w:pPr>
            <w:r w:rsidRPr="00D12BA1">
              <w:t xml:space="preserve">Обязательства, в составе кредиторской задолженности, принимаются </w:t>
            </w:r>
            <w:proofErr w:type="gramStart"/>
            <w:r w:rsidRPr="00D12BA1">
              <w:t>равными</w:t>
            </w:r>
            <w:proofErr w:type="gramEnd"/>
            <w:r w:rsidRPr="00D12BA1">
              <w:t>:</w:t>
            </w:r>
          </w:p>
          <w:p w:rsidR="003657E6" w:rsidRPr="00FF7E08" w:rsidRDefault="003657E6" w:rsidP="003657E6">
            <w:pPr>
              <w:pStyle w:val="ac"/>
              <w:spacing w:after="120"/>
              <w:ind w:left="720"/>
              <w:jc w:val="both"/>
            </w:pPr>
            <w:r>
              <w:t xml:space="preserve">- </w:t>
            </w:r>
            <w:r w:rsidRPr="00FF7E08">
              <w:t xml:space="preserve">сумме непогашенных обязательств, если срок погашения таких обязательств в соответствии с условиями договора не превышает одного года </w:t>
            </w:r>
            <w:proofErr w:type="gramStart"/>
            <w:r w:rsidRPr="00FF7E08">
              <w:t>с даты заключения</w:t>
            </w:r>
            <w:proofErr w:type="gramEnd"/>
            <w:r w:rsidRPr="00FF7E08">
              <w:t xml:space="preserve"> такого договора</w:t>
            </w:r>
            <w:r w:rsidRPr="0033242B">
              <w:t xml:space="preserve">. </w:t>
            </w:r>
            <w:r>
              <w:t>В случае заключения соглашения о пролонгации</w:t>
            </w:r>
            <w:r w:rsidRPr="00FF7E08">
              <w:t xml:space="preserve"> договора</w:t>
            </w:r>
            <w:r>
              <w:t xml:space="preserve">, новый срок погашения считается </w:t>
            </w:r>
            <w:proofErr w:type="gramStart"/>
            <w:r>
              <w:t>с даты заключения</w:t>
            </w:r>
            <w:proofErr w:type="gramEnd"/>
            <w:r>
              <w:t xml:space="preserve"> соглашения о пролонгации</w:t>
            </w:r>
            <w:r w:rsidRPr="00FF7E08">
              <w:t>;</w:t>
            </w:r>
          </w:p>
          <w:p w:rsidR="001139FD" w:rsidRPr="00D12BA1" w:rsidRDefault="003657E6" w:rsidP="001139FD">
            <w:pPr>
              <w:pStyle w:val="ac"/>
              <w:spacing w:after="120"/>
              <w:ind w:left="720"/>
              <w:jc w:val="both"/>
            </w:pPr>
            <w:r>
              <w:t xml:space="preserve">- </w:t>
            </w:r>
            <w:r w:rsidRPr="00FF7E08">
              <w:t xml:space="preserve">приведенной стоимости рассчитанной по формуле, установленной п. 3.2.3, если срок погашения таких обязательств в соответствии с условиями договора более одного года </w:t>
            </w:r>
            <w:proofErr w:type="gramStart"/>
            <w:r w:rsidRPr="00FF7E08">
              <w:t>с даты заключения</w:t>
            </w:r>
            <w:proofErr w:type="gramEnd"/>
            <w:r>
              <w:t xml:space="preserve"> </w:t>
            </w:r>
            <w:r w:rsidRPr="00FF7E08">
              <w:t>такого договора.</w:t>
            </w:r>
            <w:r w:rsidRPr="0033242B">
              <w:t xml:space="preserve"> </w:t>
            </w:r>
            <w:r>
              <w:t>В случае заключения соглашения о пролонгации</w:t>
            </w:r>
            <w:r w:rsidRPr="00FF7E08">
              <w:t xml:space="preserve"> договора</w:t>
            </w:r>
            <w:r>
              <w:t xml:space="preserve">, новый срок погашения считается </w:t>
            </w:r>
            <w:proofErr w:type="gramStart"/>
            <w:r>
              <w:t>с даты заключения</w:t>
            </w:r>
            <w:proofErr w:type="gramEnd"/>
            <w:r>
              <w:t xml:space="preserve"> соглашения о пролонгации.</w:t>
            </w:r>
          </w:p>
        </w:tc>
      </w:tr>
    </w:tbl>
    <w:p w:rsidR="00071872" w:rsidRDefault="00071872" w:rsidP="004B5031">
      <w:pPr>
        <w:keepNext/>
        <w:widowControl w:val="0"/>
        <w:suppressLineNumbers/>
        <w:suppressAutoHyphens/>
        <w:autoSpaceDE w:val="0"/>
        <w:autoSpaceDN w:val="0"/>
        <w:adjustRightInd w:val="0"/>
        <w:rPr>
          <w:b/>
          <w:bCs/>
          <w:spacing w:val="24"/>
        </w:rPr>
      </w:pPr>
    </w:p>
    <w:p w:rsidR="003657E6" w:rsidRDefault="003657E6" w:rsidP="004B5031">
      <w:pPr>
        <w:keepNext/>
        <w:widowControl w:val="0"/>
        <w:suppressLineNumbers/>
        <w:suppressAutoHyphens/>
        <w:autoSpaceDE w:val="0"/>
        <w:autoSpaceDN w:val="0"/>
        <w:adjustRightInd w:val="0"/>
      </w:pPr>
    </w:p>
    <w:p w:rsidR="003657E6" w:rsidRDefault="003657E6" w:rsidP="004B5031">
      <w:pPr>
        <w:keepNext/>
        <w:widowControl w:val="0"/>
        <w:suppressLineNumbers/>
        <w:suppressAutoHyphens/>
        <w:autoSpaceDE w:val="0"/>
        <w:autoSpaceDN w:val="0"/>
        <w:adjustRightInd w:val="0"/>
      </w:pPr>
    </w:p>
    <w:p w:rsidR="004B5031" w:rsidRPr="00A3175B" w:rsidRDefault="00C71137" w:rsidP="004B5031">
      <w:pPr>
        <w:keepNext/>
        <w:widowControl w:val="0"/>
        <w:suppressLineNumbers/>
        <w:suppressAutoHyphens/>
        <w:autoSpaceDE w:val="0"/>
        <w:autoSpaceDN w:val="0"/>
        <w:adjustRightInd w:val="0"/>
      </w:pPr>
      <w:r w:rsidRPr="00A3175B">
        <w:t>«</w:t>
      </w:r>
      <w:r w:rsidR="004947B8">
        <w:t>1</w:t>
      </w:r>
      <w:r w:rsidR="001139FD">
        <w:t>6</w:t>
      </w:r>
      <w:r w:rsidRPr="00A3175B">
        <w:t xml:space="preserve">» </w:t>
      </w:r>
      <w:r w:rsidR="004947B8">
        <w:t>декабря</w:t>
      </w:r>
      <w:r w:rsidRPr="00A3175B">
        <w:t xml:space="preserve"> 201</w:t>
      </w:r>
      <w:r w:rsidR="00A3175B" w:rsidRPr="00A3175B">
        <w:t>6</w:t>
      </w:r>
      <w:r w:rsidRPr="00A3175B">
        <w:t xml:space="preserve"> года</w:t>
      </w:r>
    </w:p>
    <w:p w:rsidR="00E51130" w:rsidRPr="00A3175B" w:rsidRDefault="00E51130" w:rsidP="00E51130">
      <w:pPr>
        <w:spacing w:line="240" w:lineRule="atLeast"/>
      </w:pPr>
      <w:r w:rsidRPr="00A3175B">
        <w:t>Генеральный директор</w:t>
      </w:r>
    </w:p>
    <w:p w:rsidR="0079256E" w:rsidRPr="00486913" w:rsidRDefault="00A46C30" w:rsidP="00E51130">
      <w:pPr>
        <w:spacing w:line="240" w:lineRule="atLeast"/>
        <w:rPr>
          <w:rFonts w:ascii="Arial" w:hAnsi="Arial" w:cs="Arial"/>
          <w:i/>
          <w:iCs/>
        </w:rPr>
      </w:pPr>
      <w:r w:rsidRPr="0063067D">
        <w:rPr>
          <w:color w:val="000000"/>
        </w:rPr>
        <w:t>АО УК «</w:t>
      </w:r>
      <w:r w:rsidR="0030760E">
        <w:rPr>
          <w:color w:val="000000"/>
        </w:rPr>
        <w:t>Глобус Капитал</w:t>
      </w:r>
      <w:r w:rsidRPr="0063067D">
        <w:rPr>
          <w:color w:val="000000"/>
        </w:rPr>
        <w:t xml:space="preserve">»         </w:t>
      </w:r>
      <w:r w:rsidRPr="0063067D">
        <w:rPr>
          <w:color w:val="000000"/>
        </w:rPr>
        <w:tab/>
      </w:r>
      <w:r w:rsidRPr="0063067D">
        <w:rPr>
          <w:color w:val="000000"/>
        </w:rPr>
        <w:tab/>
      </w:r>
      <w:r w:rsidRPr="0063067D">
        <w:rPr>
          <w:color w:val="000000"/>
        </w:rPr>
        <w:tab/>
      </w:r>
      <w:r w:rsidRPr="0063067D">
        <w:rPr>
          <w:color w:val="000000"/>
        </w:rPr>
        <w:tab/>
      </w:r>
      <w:r w:rsidRPr="0063067D">
        <w:rPr>
          <w:color w:val="000000"/>
        </w:rPr>
        <w:tab/>
      </w:r>
      <w:r w:rsidRPr="0063067D">
        <w:rPr>
          <w:color w:val="000000"/>
        </w:rPr>
        <w:tab/>
      </w:r>
      <w:r w:rsidR="0030760E">
        <w:rPr>
          <w:color w:val="000000"/>
        </w:rPr>
        <w:t>Сафронов И.В</w:t>
      </w:r>
      <w:r w:rsidRPr="0063067D">
        <w:rPr>
          <w:color w:val="000000"/>
        </w:rPr>
        <w:t>.</w:t>
      </w:r>
      <w:r w:rsidR="00E51130" w:rsidRPr="00A3175B">
        <w:t xml:space="preserve"> </w:t>
      </w:r>
      <w:r w:rsidR="00E51130" w:rsidRPr="00A3175B">
        <w:tab/>
      </w:r>
      <w:r w:rsidR="00E51130" w:rsidRPr="00A3175B">
        <w:tab/>
      </w:r>
      <w:r w:rsidR="00E51130" w:rsidRPr="00A3175B">
        <w:tab/>
      </w:r>
      <w:r w:rsidR="00072AD8" w:rsidRPr="00A3175B">
        <w:tab/>
      </w:r>
      <w:r w:rsidR="00072AD8" w:rsidRPr="00A3175B">
        <w:tab/>
      </w:r>
      <w:r w:rsidR="00072AD8">
        <w:rPr>
          <w:i/>
          <w:iCs/>
        </w:rPr>
        <w:tab/>
      </w:r>
      <w:r w:rsidR="00072AD8">
        <w:rPr>
          <w:i/>
          <w:iCs/>
        </w:rPr>
        <w:tab/>
      </w:r>
      <w:r w:rsidR="00072AD8">
        <w:rPr>
          <w:i/>
          <w:iCs/>
        </w:rPr>
        <w:tab/>
      </w:r>
      <w:r w:rsidR="00072AD8">
        <w:rPr>
          <w:i/>
          <w:iCs/>
        </w:rPr>
        <w:tab/>
        <w:t>м</w:t>
      </w:r>
      <w:r w:rsidR="00E51130" w:rsidRPr="00E506CB">
        <w:rPr>
          <w:i/>
          <w:iCs/>
        </w:rPr>
        <w:t>.п.</w:t>
      </w:r>
    </w:p>
    <w:sectPr w:rsidR="0079256E" w:rsidRPr="00486913" w:rsidSect="00486913">
      <w:footerReference w:type="default" r:id="rId32"/>
      <w:headerReference w:type="first" r:id="rId33"/>
      <w:footerReference w:type="first" r:id="rId34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18" w:rsidRDefault="00D57A18">
      <w:r>
        <w:separator/>
      </w:r>
    </w:p>
  </w:endnote>
  <w:endnote w:type="continuationSeparator" w:id="0">
    <w:p w:rsidR="00D57A18" w:rsidRDefault="00D5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80" w:rsidRDefault="00D76DAD" w:rsidP="00CA2438">
    <w:pPr>
      <w:pStyle w:val="a9"/>
      <w:jc w:val="right"/>
    </w:pPr>
    <w:r>
      <w:rPr>
        <w:rStyle w:val="ab"/>
      </w:rPr>
      <w:fldChar w:fldCharType="begin"/>
    </w:r>
    <w:r w:rsidR="00EA3680">
      <w:rPr>
        <w:rStyle w:val="ab"/>
      </w:rPr>
      <w:instrText xml:space="preserve"> PAGE </w:instrText>
    </w:r>
    <w:r>
      <w:rPr>
        <w:rStyle w:val="ab"/>
      </w:rPr>
      <w:fldChar w:fldCharType="separate"/>
    </w:r>
    <w:r w:rsidR="0076055C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80" w:rsidRPr="00486913" w:rsidRDefault="00EA3680" w:rsidP="00486913">
    <w:pPr>
      <w:keepNext/>
      <w:widowControl w:val="0"/>
      <w:suppressLineNumbers/>
      <w:suppressAutoHyphens/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486913">
      <w:rPr>
        <w:rFonts w:ascii="Arial" w:hAnsi="Arial" w:cs="Arial"/>
        <w:b/>
        <w:sz w:val="20"/>
        <w:szCs w:val="20"/>
      </w:rPr>
      <w:t>город Москва, 20</w:t>
    </w:r>
    <w:r>
      <w:rPr>
        <w:rFonts w:ascii="Arial" w:hAnsi="Arial" w:cs="Arial"/>
        <w:b/>
        <w:sz w:val="20"/>
        <w:szCs w:val="20"/>
      </w:rPr>
      <w:t>16</w:t>
    </w:r>
    <w:r w:rsidRPr="00486913">
      <w:rPr>
        <w:rFonts w:ascii="Arial" w:hAnsi="Arial" w:cs="Arial"/>
        <w:b/>
        <w:sz w:val="20"/>
        <w:szCs w:val="20"/>
      </w:rP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18" w:rsidRDefault="00D57A18">
      <w:r>
        <w:separator/>
      </w:r>
    </w:p>
  </w:footnote>
  <w:footnote w:type="continuationSeparator" w:id="0">
    <w:p w:rsidR="00D57A18" w:rsidRDefault="00D5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253"/>
      <w:gridCol w:w="992"/>
      <w:gridCol w:w="3910"/>
      <w:gridCol w:w="992"/>
    </w:tblGrid>
    <w:tr w:rsidR="00EA3680" w:rsidRPr="00615B86" w:rsidTr="0017448E">
      <w:trPr>
        <w:gridAfter w:val="1"/>
        <w:wAfter w:w="992" w:type="dxa"/>
      </w:trPr>
      <w:tc>
        <w:tcPr>
          <w:tcW w:w="4253" w:type="dxa"/>
        </w:tcPr>
        <w:p w:rsidR="00EA3680" w:rsidRPr="00D97881" w:rsidRDefault="00EA3680" w:rsidP="0017448E">
          <w:pPr>
            <w:rPr>
              <w:b/>
            </w:rPr>
          </w:pPr>
          <w:r w:rsidRPr="00D97881">
            <w:rPr>
              <w:b/>
            </w:rPr>
            <w:t>СОГЛАСОВАНЫ: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49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>Генеральный директор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83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 xml:space="preserve">Акционерное общество 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34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 xml:space="preserve">«Национальная </w:t>
          </w:r>
          <w:proofErr w:type="spellStart"/>
          <w:r w:rsidRPr="0017448E">
            <w:rPr>
              <w:rFonts w:ascii="Arial" w:hAnsi="Arial" w:cs="Arial"/>
              <w:sz w:val="18"/>
              <w:szCs w:val="18"/>
            </w:rPr>
            <w:t>кастодиальная</w:t>
          </w:r>
          <w:proofErr w:type="spellEnd"/>
          <w:r w:rsidRPr="0017448E">
            <w:rPr>
              <w:rFonts w:ascii="Arial" w:hAnsi="Arial" w:cs="Arial"/>
              <w:sz w:val="18"/>
              <w:szCs w:val="18"/>
            </w:rPr>
            <w:t xml:space="preserve"> компания»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49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>Дата согласования: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83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«1</w:t>
          </w:r>
          <w:r w:rsidRPr="00176CD0">
            <w:rPr>
              <w:rFonts w:ascii="Arial" w:hAnsi="Arial" w:cs="Arial"/>
              <w:sz w:val="18"/>
              <w:szCs w:val="18"/>
            </w:rPr>
            <w:t>6</w:t>
          </w:r>
          <w:r w:rsidRPr="0017448E">
            <w:rPr>
              <w:rFonts w:ascii="Arial" w:hAnsi="Arial" w:cs="Arial"/>
              <w:sz w:val="18"/>
              <w:szCs w:val="18"/>
            </w:rPr>
            <w:t xml:space="preserve">» </w:t>
          </w:r>
          <w:r>
            <w:rPr>
              <w:rFonts w:ascii="Arial" w:hAnsi="Arial" w:cs="Arial"/>
              <w:sz w:val="18"/>
              <w:szCs w:val="18"/>
            </w:rPr>
            <w:t>декабря</w:t>
          </w:r>
          <w:r w:rsidRPr="0017448E">
            <w:rPr>
              <w:rFonts w:ascii="Arial" w:hAnsi="Arial" w:cs="Arial"/>
              <w:sz w:val="18"/>
              <w:szCs w:val="18"/>
            </w:rPr>
            <w:t xml:space="preserve"> 2016 года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83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 xml:space="preserve">Генеральный директор: </w:t>
          </w: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/>
            <w:rPr>
              <w:rFonts w:ascii="Arial" w:hAnsi="Arial" w:cs="Arial"/>
              <w:sz w:val="18"/>
              <w:szCs w:val="18"/>
            </w:rPr>
          </w:pP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/>
            <w:rPr>
              <w:rFonts w:ascii="Arial" w:hAnsi="Arial" w:cs="Arial"/>
              <w:sz w:val="18"/>
              <w:szCs w:val="18"/>
            </w:rPr>
          </w:pP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/>
            <w:rPr>
              <w:rFonts w:ascii="Arial" w:hAnsi="Arial" w:cs="Arial"/>
              <w:sz w:val="18"/>
              <w:szCs w:val="18"/>
            </w:rPr>
          </w:pPr>
        </w:p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hanging="1283"/>
            <w:rPr>
              <w:rFonts w:ascii="Arial" w:hAnsi="Arial" w:cs="Arial"/>
              <w:sz w:val="18"/>
              <w:szCs w:val="18"/>
            </w:rPr>
          </w:pPr>
          <w:r w:rsidRPr="0017448E">
            <w:rPr>
              <w:rFonts w:ascii="Arial" w:hAnsi="Arial" w:cs="Arial"/>
              <w:sz w:val="18"/>
              <w:szCs w:val="18"/>
            </w:rPr>
            <w:t xml:space="preserve">м.п.   ________   Фомичев И.Н.  </w:t>
          </w:r>
        </w:p>
        <w:p w:rsidR="00EA3680" w:rsidRPr="00615B86" w:rsidRDefault="00EA3680" w:rsidP="008241B2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</w:tc>
      <w:tc>
        <w:tcPr>
          <w:tcW w:w="4902" w:type="dxa"/>
          <w:gridSpan w:val="2"/>
        </w:tcPr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432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               </w:t>
          </w:r>
          <w:r w:rsidRPr="00234100">
            <w:rPr>
              <w:rFonts w:ascii="Arial" w:hAnsi="Arial" w:cs="Arial"/>
              <w:b/>
              <w:bCs/>
            </w:rPr>
            <w:t>ВНЕСЕНЫ</w:t>
          </w:r>
          <w:r>
            <w:rPr>
              <w:rFonts w:ascii="Arial" w:hAnsi="Arial" w:cs="Arial"/>
              <w:b/>
              <w:bCs/>
            </w:rPr>
            <w:t>:</w:t>
          </w:r>
        </w:p>
        <w:p w:rsidR="00EA3680" w:rsidRPr="00234100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1283" w:firstLine="176"/>
            <w:rPr>
              <w:rFonts w:ascii="Arial" w:hAnsi="Arial" w:cs="Arial"/>
              <w:sz w:val="18"/>
              <w:szCs w:val="18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Решением </w:t>
          </w:r>
          <w:r w:rsidRPr="00234100">
            <w:rPr>
              <w:b/>
              <w:bCs/>
            </w:rPr>
            <w:t xml:space="preserve"> </w:t>
          </w:r>
          <w:r w:rsidRPr="00234100">
            <w:rPr>
              <w:rFonts w:ascii="Arial" w:hAnsi="Arial" w:cs="Arial"/>
              <w:sz w:val="18"/>
              <w:szCs w:val="18"/>
            </w:rPr>
            <w:t>Генерального директора</w:t>
          </w:r>
        </w:p>
        <w:p w:rsidR="00EA3680" w:rsidRPr="00234100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firstLine="176"/>
            <w:rPr>
              <w:rFonts w:ascii="Arial" w:hAnsi="Arial" w:cs="Arial"/>
              <w:sz w:val="18"/>
              <w:szCs w:val="18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                          </w:t>
          </w:r>
          <w:r w:rsidRPr="00A46C30">
            <w:rPr>
              <w:rFonts w:ascii="Arial" w:hAnsi="Arial" w:cs="Arial"/>
              <w:sz w:val="18"/>
              <w:szCs w:val="18"/>
            </w:rPr>
            <w:t>АО УК «</w:t>
          </w:r>
          <w:r>
            <w:rPr>
              <w:rFonts w:ascii="Arial" w:hAnsi="Arial" w:cs="Arial"/>
              <w:sz w:val="18"/>
              <w:szCs w:val="18"/>
            </w:rPr>
            <w:t>Глобус Капитал</w:t>
          </w:r>
          <w:r w:rsidRPr="00A46C30">
            <w:rPr>
              <w:rFonts w:ascii="Arial" w:hAnsi="Arial" w:cs="Arial"/>
              <w:sz w:val="18"/>
              <w:szCs w:val="18"/>
            </w:rPr>
            <w:t>»</w:t>
          </w:r>
          <w:r w:rsidRPr="00234100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EA3680" w:rsidRPr="00234100" w:rsidRDefault="00EA3680" w:rsidP="0017448E">
          <w:pPr>
            <w:ind w:firstLine="176"/>
            <w:rPr>
              <w:rFonts w:ascii="Arial" w:hAnsi="Arial" w:cs="Arial"/>
              <w:sz w:val="18"/>
              <w:szCs w:val="18"/>
            </w:rPr>
          </w:pPr>
        </w:p>
        <w:p w:rsidR="00EA3680" w:rsidRPr="00234100" w:rsidRDefault="00EA3680" w:rsidP="0017448E">
          <w:pPr>
            <w:ind w:firstLine="176"/>
            <w:rPr>
              <w:rFonts w:ascii="Arial" w:hAnsi="Arial" w:cs="Arial"/>
              <w:sz w:val="18"/>
              <w:szCs w:val="18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                          Генеральный директор:</w:t>
          </w:r>
        </w:p>
        <w:p w:rsidR="00EA3680" w:rsidRPr="00234100" w:rsidRDefault="00EA3680" w:rsidP="0017448E">
          <w:pPr>
            <w:ind w:firstLine="176"/>
            <w:rPr>
              <w:rFonts w:ascii="Arial" w:hAnsi="Arial" w:cs="Arial"/>
              <w:sz w:val="18"/>
              <w:szCs w:val="18"/>
            </w:rPr>
          </w:pPr>
        </w:p>
        <w:p w:rsidR="00EA3680" w:rsidRPr="00234100" w:rsidRDefault="00EA3680" w:rsidP="0017448E">
          <w:pPr>
            <w:ind w:firstLine="176"/>
            <w:rPr>
              <w:rFonts w:ascii="Arial" w:hAnsi="Arial" w:cs="Arial"/>
              <w:sz w:val="18"/>
              <w:szCs w:val="18"/>
            </w:rPr>
          </w:pPr>
        </w:p>
        <w:p w:rsidR="00EA3680" w:rsidRPr="00234100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firstLine="176"/>
            <w:rPr>
              <w:rFonts w:ascii="Arial" w:hAnsi="Arial" w:cs="Arial"/>
              <w:sz w:val="18"/>
              <w:szCs w:val="18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                           м.п.    ________     </w:t>
          </w:r>
          <w:r>
            <w:rPr>
              <w:rFonts w:ascii="Arial" w:hAnsi="Arial" w:cs="Arial"/>
              <w:sz w:val="18"/>
              <w:szCs w:val="18"/>
            </w:rPr>
            <w:t>Сафронов И.В</w:t>
          </w:r>
          <w:r w:rsidRPr="00A46C30">
            <w:rPr>
              <w:rFonts w:ascii="Arial" w:hAnsi="Arial" w:cs="Arial"/>
              <w:sz w:val="18"/>
              <w:szCs w:val="18"/>
            </w:rPr>
            <w:t>.</w:t>
          </w:r>
        </w:p>
        <w:p w:rsidR="00EA3680" w:rsidRPr="001139FD" w:rsidRDefault="00EA3680" w:rsidP="001139FD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firstLine="176"/>
            <w:rPr>
              <w:rFonts w:ascii="Arial" w:hAnsi="Arial" w:cs="Arial"/>
              <w:sz w:val="18"/>
              <w:szCs w:val="18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                           </w:t>
          </w:r>
          <w:proofErr w:type="gramStart"/>
          <w:r w:rsidRPr="001226D1">
            <w:rPr>
              <w:rFonts w:ascii="Arial" w:hAnsi="Arial" w:cs="Arial"/>
              <w:sz w:val="18"/>
              <w:szCs w:val="18"/>
            </w:rPr>
            <w:t>(Приказ № ГК-</w:t>
          </w:r>
          <w:r w:rsidR="00A15A2C">
            <w:rPr>
              <w:rFonts w:ascii="Arial" w:hAnsi="Arial" w:cs="Arial"/>
              <w:sz w:val="18"/>
              <w:szCs w:val="18"/>
            </w:rPr>
            <w:t>ФК</w:t>
          </w:r>
          <w:r w:rsidRPr="001226D1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01</w:t>
          </w:r>
          <w:proofErr w:type="gramEnd"/>
        </w:p>
        <w:p w:rsidR="00EA3680" w:rsidRPr="0017448E" w:rsidRDefault="00EA3680" w:rsidP="001139FD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left="432"/>
            <w:rPr>
              <w:rFonts w:ascii="Arial" w:hAnsi="Arial" w:cs="Arial"/>
            </w:rPr>
          </w:pPr>
          <w:r w:rsidRPr="00234100">
            <w:rPr>
              <w:rFonts w:ascii="Arial" w:hAnsi="Arial" w:cs="Arial"/>
              <w:sz w:val="18"/>
              <w:szCs w:val="18"/>
            </w:rPr>
            <w:t xml:space="preserve">                         </w:t>
          </w:r>
          <w:r>
            <w:rPr>
              <w:rFonts w:ascii="Arial" w:hAnsi="Arial" w:cs="Arial"/>
              <w:sz w:val="18"/>
              <w:szCs w:val="18"/>
            </w:rPr>
            <w:t>от</w:t>
          </w:r>
          <w:r w:rsidRPr="00234100">
            <w:rPr>
              <w:rFonts w:ascii="Arial" w:hAnsi="Arial" w:cs="Arial"/>
              <w:sz w:val="18"/>
              <w:szCs w:val="18"/>
            </w:rPr>
            <w:t xml:space="preserve">  «</w:t>
          </w:r>
          <w:r>
            <w:rPr>
              <w:rFonts w:ascii="Arial" w:hAnsi="Arial" w:cs="Arial"/>
              <w:sz w:val="18"/>
              <w:szCs w:val="18"/>
            </w:rPr>
            <w:t>16</w:t>
          </w:r>
          <w:r w:rsidRPr="00234100">
            <w:rPr>
              <w:rFonts w:ascii="Arial" w:hAnsi="Arial" w:cs="Arial"/>
              <w:sz w:val="18"/>
              <w:szCs w:val="18"/>
            </w:rPr>
            <w:t xml:space="preserve">» </w:t>
          </w:r>
          <w:r>
            <w:rPr>
              <w:rFonts w:ascii="Arial" w:hAnsi="Arial" w:cs="Arial"/>
              <w:sz w:val="18"/>
              <w:szCs w:val="18"/>
            </w:rPr>
            <w:t>декабря</w:t>
          </w:r>
          <w:r w:rsidRPr="00234100">
            <w:rPr>
              <w:rFonts w:ascii="Arial" w:hAnsi="Arial" w:cs="Arial"/>
              <w:sz w:val="18"/>
              <w:szCs w:val="18"/>
            </w:rPr>
            <w:t xml:space="preserve"> 2016 года)</w:t>
          </w:r>
        </w:p>
      </w:tc>
    </w:tr>
    <w:tr w:rsidR="00EA3680" w:rsidRPr="00EA50BB" w:rsidTr="0017448E">
      <w:tc>
        <w:tcPr>
          <w:tcW w:w="5245" w:type="dxa"/>
          <w:gridSpan w:val="2"/>
        </w:tcPr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02" w:type="dxa"/>
          <w:gridSpan w:val="2"/>
        </w:tcPr>
        <w:p w:rsidR="00EA3680" w:rsidRPr="0017448E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firstLine="176"/>
            <w:rPr>
              <w:rFonts w:ascii="Arial" w:hAnsi="Arial" w:cs="Arial"/>
              <w:sz w:val="18"/>
              <w:szCs w:val="18"/>
            </w:rPr>
          </w:pPr>
        </w:p>
        <w:p w:rsidR="00EA3680" w:rsidRPr="00234100" w:rsidRDefault="00EA3680" w:rsidP="0017448E">
          <w:pPr>
            <w:keepNext/>
            <w:widowControl w:val="0"/>
            <w:suppressLineNumbers/>
            <w:suppressAutoHyphens/>
            <w:autoSpaceDE w:val="0"/>
            <w:autoSpaceDN w:val="0"/>
            <w:adjustRightInd w:val="0"/>
            <w:ind w:firstLine="176"/>
            <w:rPr>
              <w:rFonts w:ascii="Arial" w:hAnsi="Arial" w:cs="Arial"/>
              <w:sz w:val="18"/>
              <w:szCs w:val="18"/>
            </w:rPr>
          </w:pPr>
        </w:p>
      </w:tc>
    </w:tr>
  </w:tbl>
  <w:p w:rsidR="00EA3680" w:rsidRDefault="00EA36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C40"/>
    <w:multiLevelType w:val="multilevel"/>
    <w:tmpl w:val="8412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F2D14"/>
    <w:multiLevelType w:val="hybridMultilevel"/>
    <w:tmpl w:val="5268EC42"/>
    <w:lvl w:ilvl="0" w:tplc="535EC22A">
      <w:start w:val="17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04694D70"/>
    <w:multiLevelType w:val="multilevel"/>
    <w:tmpl w:val="316447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FF336C"/>
    <w:multiLevelType w:val="hybridMultilevel"/>
    <w:tmpl w:val="D94238A4"/>
    <w:lvl w:ilvl="0" w:tplc="10DC1A06">
      <w:start w:val="17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9D05076"/>
    <w:multiLevelType w:val="hybridMultilevel"/>
    <w:tmpl w:val="3B4E70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E828E3BE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F9939C5"/>
    <w:multiLevelType w:val="multilevel"/>
    <w:tmpl w:val="DB421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421E83"/>
    <w:multiLevelType w:val="multilevel"/>
    <w:tmpl w:val="69E012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F8216B"/>
    <w:multiLevelType w:val="hybridMultilevel"/>
    <w:tmpl w:val="AF76BEB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407C02"/>
    <w:multiLevelType w:val="hybridMultilevel"/>
    <w:tmpl w:val="9F96B688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232A24"/>
    <w:multiLevelType w:val="multilevel"/>
    <w:tmpl w:val="A91895F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C20CCB"/>
    <w:multiLevelType w:val="multilevel"/>
    <w:tmpl w:val="D5EEB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310547"/>
    <w:multiLevelType w:val="multilevel"/>
    <w:tmpl w:val="555C0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3414CE"/>
    <w:multiLevelType w:val="hybridMultilevel"/>
    <w:tmpl w:val="181C6B5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AB31AE"/>
    <w:multiLevelType w:val="multilevel"/>
    <w:tmpl w:val="4D6A6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7A4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44A736D"/>
    <w:multiLevelType w:val="hybridMultilevel"/>
    <w:tmpl w:val="FF2AB4D2"/>
    <w:lvl w:ilvl="0" w:tplc="5E845696">
      <w:start w:val="1"/>
      <w:numFmt w:val="decimal"/>
      <w:lvlText w:val="%1)"/>
      <w:lvlJc w:val="left"/>
      <w:pPr>
        <w:tabs>
          <w:tab w:val="num" w:pos="2661"/>
        </w:tabs>
        <w:ind w:left="2661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575F1BA9"/>
    <w:multiLevelType w:val="multilevel"/>
    <w:tmpl w:val="8CA2A6F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746ECE"/>
    <w:multiLevelType w:val="hybridMultilevel"/>
    <w:tmpl w:val="3B36FA8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9B022F"/>
    <w:multiLevelType w:val="multilevel"/>
    <w:tmpl w:val="FF9211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D1C5137"/>
    <w:multiLevelType w:val="multilevel"/>
    <w:tmpl w:val="D2A22FBC"/>
    <w:lvl w:ilvl="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20">
    <w:nsid w:val="644159FA"/>
    <w:multiLevelType w:val="multilevel"/>
    <w:tmpl w:val="12C42A0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4404D"/>
    <w:multiLevelType w:val="multilevel"/>
    <w:tmpl w:val="D2A22FBC"/>
    <w:lvl w:ilvl="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22">
    <w:nsid w:val="6B322191"/>
    <w:multiLevelType w:val="hybridMultilevel"/>
    <w:tmpl w:val="AE5A331C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F97358"/>
    <w:multiLevelType w:val="multilevel"/>
    <w:tmpl w:val="D2A22FBC"/>
    <w:lvl w:ilvl="0">
      <w:start w:val="3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24">
    <w:nsid w:val="78703EDB"/>
    <w:multiLevelType w:val="multilevel"/>
    <w:tmpl w:val="189C64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9E649A1"/>
    <w:multiLevelType w:val="multilevel"/>
    <w:tmpl w:val="C87482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B372E6D"/>
    <w:multiLevelType w:val="hybridMultilevel"/>
    <w:tmpl w:val="2A1CBDDE"/>
    <w:lvl w:ilvl="0" w:tplc="4F6A1E34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D81007A"/>
    <w:multiLevelType w:val="multilevel"/>
    <w:tmpl w:val="D0DE7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22"/>
  </w:num>
  <w:num w:numId="6">
    <w:abstractNumId w:val="8"/>
  </w:num>
  <w:num w:numId="7">
    <w:abstractNumId w:val="23"/>
  </w:num>
  <w:num w:numId="8">
    <w:abstractNumId w:val="7"/>
  </w:num>
  <w:num w:numId="9">
    <w:abstractNumId w:val="17"/>
  </w:num>
  <w:num w:numId="10">
    <w:abstractNumId w:val="12"/>
  </w:num>
  <w:num w:numId="11">
    <w:abstractNumId w:val="26"/>
  </w:num>
  <w:num w:numId="12">
    <w:abstractNumId w:val="19"/>
  </w:num>
  <w:num w:numId="13">
    <w:abstractNumId w:val="21"/>
  </w:num>
  <w:num w:numId="14">
    <w:abstractNumId w:val="14"/>
  </w:num>
  <w:num w:numId="15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7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0"/>
  </w:num>
  <w:num w:numId="23">
    <w:abstractNumId w:val="11"/>
  </w:num>
  <w:num w:numId="24">
    <w:abstractNumId w:val="25"/>
  </w:num>
  <w:num w:numId="25">
    <w:abstractNumId w:val="2"/>
  </w:num>
  <w:num w:numId="26">
    <w:abstractNumId w:val="20"/>
  </w:num>
  <w:num w:numId="27">
    <w:abstractNumId w:val="16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9256E"/>
    <w:rsid w:val="000122D9"/>
    <w:rsid w:val="000314DD"/>
    <w:rsid w:val="0003625D"/>
    <w:rsid w:val="000439E0"/>
    <w:rsid w:val="000615AC"/>
    <w:rsid w:val="00067144"/>
    <w:rsid w:val="00071872"/>
    <w:rsid w:val="00072AD8"/>
    <w:rsid w:val="00096975"/>
    <w:rsid w:val="000B0E72"/>
    <w:rsid w:val="000B1387"/>
    <w:rsid w:val="000B680D"/>
    <w:rsid w:val="000F47C9"/>
    <w:rsid w:val="00106535"/>
    <w:rsid w:val="001139FD"/>
    <w:rsid w:val="001226D1"/>
    <w:rsid w:val="0012503C"/>
    <w:rsid w:val="001574DA"/>
    <w:rsid w:val="001631EC"/>
    <w:rsid w:val="0017448E"/>
    <w:rsid w:val="0017464C"/>
    <w:rsid w:val="00175F3F"/>
    <w:rsid w:val="00176CD0"/>
    <w:rsid w:val="00181C10"/>
    <w:rsid w:val="0018680C"/>
    <w:rsid w:val="001A7A4F"/>
    <w:rsid w:val="001B63E4"/>
    <w:rsid w:val="001C1FBD"/>
    <w:rsid w:val="001E2BFD"/>
    <w:rsid w:val="002052AB"/>
    <w:rsid w:val="002055DD"/>
    <w:rsid w:val="00212BA9"/>
    <w:rsid w:val="00221BFE"/>
    <w:rsid w:val="00222CDB"/>
    <w:rsid w:val="00234100"/>
    <w:rsid w:val="00282596"/>
    <w:rsid w:val="00293E82"/>
    <w:rsid w:val="002A5E50"/>
    <w:rsid w:val="002C2249"/>
    <w:rsid w:val="002C7C94"/>
    <w:rsid w:val="0030760E"/>
    <w:rsid w:val="00326979"/>
    <w:rsid w:val="003347F9"/>
    <w:rsid w:val="003357DA"/>
    <w:rsid w:val="003657E6"/>
    <w:rsid w:val="0036653F"/>
    <w:rsid w:val="00392893"/>
    <w:rsid w:val="003A23F2"/>
    <w:rsid w:val="003E5766"/>
    <w:rsid w:val="0040395F"/>
    <w:rsid w:val="00403B48"/>
    <w:rsid w:val="00415CED"/>
    <w:rsid w:val="00421257"/>
    <w:rsid w:val="00426403"/>
    <w:rsid w:val="00445885"/>
    <w:rsid w:val="004755A1"/>
    <w:rsid w:val="00486913"/>
    <w:rsid w:val="00492530"/>
    <w:rsid w:val="004947B8"/>
    <w:rsid w:val="004A2DBB"/>
    <w:rsid w:val="004A6D9A"/>
    <w:rsid w:val="004B5031"/>
    <w:rsid w:val="004B696A"/>
    <w:rsid w:val="004C5630"/>
    <w:rsid w:val="004D12E8"/>
    <w:rsid w:val="00507A86"/>
    <w:rsid w:val="0051289D"/>
    <w:rsid w:val="00512B09"/>
    <w:rsid w:val="005738D4"/>
    <w:rsid w:val="00583602"/>
    <w:rsid w:val="005A406D"/>
    <w:rsid w:val="005B5A8B"/>
    <w:rsid w:val="005D310E"/>
    <w:rsid w:val="005D32D0"/>
    <w:rsid w:val="00615B86"/>
    <w:rsid w:val="006269DB"/>
    <w:rsid w:val="00652128"/>
    <w:rsid w:val="006735B5"/>
    <w:rsid w:val="00680143"/>
    <w:rsid w:val="006913B6"/>
    <w:rsid w:val="006921FB"/>
    <w:rsid w:val="006A005B"/>
    <w:rsid w:val="006A233B"/>
    <w:rsid w:val="006B3F12"/>
    <w:rsid w:val="006C6F21"/>
    <w:rsid w:val="006D19F0"/>
    <w:rsid w:val="006E4A1D"/>
    <w:rsid w:val="00722820"/>
    <w:rsid w:val="007468D4"/>
    <w:rsid w:val="0075698E"/>
    <w:rsid w:val="0076055C"/>
    <w:rsid w:val="00765E2C"/>
    <w:rsid w:val="0079256E"/>
    <w:rsid w:val="007A2FAC"/>
    <w:rsid w:val="007A3C9D"/>
    <w:rsid w:val="007B0663"/>
    <w:rsid w:val="007B08AE"/>
    <w:rsid w:val="007C3211"/>
    <w:rsid w:val="007C4132"/>
    <w:rsid w:val="007D126F"/>
    <w:rsid w:val="007D1CF6"/>
    <w:rsid w:val="007D22E8"/>
    <w:rsid w:val="007D2D47"/>
    <w:rsid w:val="007F4747"/>
    <w:rsid w:val="007F580B"/>
    <w:rsid w:val="00804A4E"/>
    <w:rsid w:val="008112C2"/>
    <w:rsid w:val="008164C1"/>
    <w:rsid w:val="008241B2"/>
    <w:rsid w:val="00846322"/>
    <w:rsid w:val="008727A6"/>
    <w:rsid w:val="00873EF4"/>
    <w:rsid w:val="00882EFC"/>
    <w:rsid w:val="008A0F5E"/>
    <w:rsid w:val="008B67FA"/>
    <w:rsid w:val="008E2C7E"/>
    <w:rsid w:val="008E4236"/>
    <w:rsid w:val="009047CB"/>
    <w:rsid w:val="009230FB"/>
    <w:rsid w:val="00935392"/>
    <w:rsid w:val="00940421"/>
    <w:rsid w:val="00941627"/>
    <w:rsid w:val="00952542"/>
    <w:rsid w:val="009574BC"/>
    <w:rsid w:val="00960F9A"/>
    <w:rsid w:val="00971C79"/>
    <w:rsid w:val="00983FD3"/>
    <w:rsid w:val="009C2D44"/>
    <w:rsid w:val="009D4B8D"/>
    <w:rsid w:val="00A11628"/>
    <w:rsid w:val="00A15A2C"/>
    <w:rsid w:val="00A3175B"/>
    <w:rsid w:val="00A34819"/>
    <w:rsid w:val="00A35A75"/>
    <w:rsid w:val="00A36E60"/>
    <w:rsid w:val="00A40459"/>
    <w:rsid w:val="00A46C30"/>
    <w:rsid w:val="00A709E3"/>
    <w:rsid w:val="00A75C7C"/>
    <w:rsid w:val="00A76A5E"/>
    <w:rsid w:val="00A776D8"/>
    <w:rsid w:val="00A83A1E"/>
    <w:rsid w:val="00AB2A3C"/>
    <w:rsid w:val="00AB34C4"/>
    <w:rsid w:val="00AF1C7E"/>
    <w:rsid w:val="00AF6FAF"/>
    <w:rsid w:val="00B07170"/>
    <w:rsid w:val="00B20FA0"/>
    <w:rsid w:val="00B313CC"/>
    <w:rsid w:val="00B929BB"/>
    <w:rsid w:val="00B92CF7"/>
    <w:rsid w:val="00BB30DB"/>
    <w:rsid w:val="00BB3F14"/>
    <w:rsid w:val="00BB6242"/>
    <w:rsid w:val="00BD55CB"/>
    <w:rsid w:val="00BF6219"/>
    <w:rsid w:val="00C37821"/>
    <w:rsid w:val="00C37ACB"/>
    <w:rsid w:val="00C45860"/>
    <w:rsid w:val="00C45D74"/>
    <w:rsid w:val="00C64E40"/>
    <w:rsid w:val="00C71137"/>
    <w:rsid w:val="00C85283"/>
    <w:rsid w:val="00CA2438"/>
    <w:rsid w:val="00CB570A"/>
    <w:rsid w:val="00CD766D"/>
    <w:rsid w:val="00CF2D78"/>
    <w:rsid w:val="00D12BA1"/>
    <w:rsid w:val="00D4010F"/>
    <w:rsid w:val="00D57A18"/>
    <w:rsid w:val="00D6270D"/>
    <w:rsid w:val="00D64ED2"/>
    <w:rsid w:val="00D64F12"/>
    <w:rsid w:val="00D76DAD"/>
    <w:rsid w:val="00D97881"/>
    <w:rsid w:val="00DA7304"/>
    <w:rsid w:val="00DB444C"/>
    <w:rsid w:val="00DD2AF3"/>
    <w:rsid w:val="00DE1336"/>
    <w:rsid w:val="00DF1BD1"/>
    <w:rsid w:val="00E40781"/>
    <w:rsid w:val="00E4199B"/>
    <w:rsid w:val="00E47545"/>
    <w:rsid w:val="00E506CB"/>
    <w:rsid w:val="00E51130"/>
    <w:rsid w:val="00E83E0D"/>
    <w:rsid w:val="00EA279B"/>
    <w:rsid w:val="00EA3680"/>
    <w:rsid w:val="00EA50BB"/>
    <w:rsid w:val="00EB44DF"/>
    <w:rsid w:val="00EC34C9"/>
    <w:rsid w:val="00EF3D39"/>
    <w:rsid w:val="00EF7F04"/>
    <w:rsid w:val="00F001F9"/>
    <w:rsid w:val="00F45234"/>
    <w:rsid w:val="00F5091A"/>
    <w:rsid w:val="00F526EA"/>
    <w:rsid w:val="00F53D7C"/>
    <w:rsid w:val="00F85F2D"/>
    <w:rsid w:val="00F90EE7"/>
    <w:rsid w:val="00FF06B5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56E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71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07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717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79256E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79256E"/>
    <w:pPr>
      <w:spacing w:line="240" w:lineRule="atLeast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07170"/>
    <w:rPr>
      <w:rFonts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792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4869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0717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86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717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CA2438"/>
    <w:rPr>
      <w:rFonts w:cs="Times New Roman"/>
    </w:rPr>
  </w:style>
  <w:style w:type="paragraph" w:styleId="ac">
    <w:name w:val="List Paragraph"/>
    <w:basedOn w:val="a"/>
    <w:link w:val="ad"/>
    <w:uiPriority w:val="34"/>
    <w:qFormat/>
    <w:rsid w:val="007D126F"/>
    <w:pPr>
      <w:ind w:left="708"/>
    </w:pPr>
  </w:style>
  <w:style w:type="character" w:styleId="ae">
    <w:name w:val="Hyperlink"/>
    <w:basedOn w:val="a0"/>
    <w:uiPriority w:val="99"/>
    <w:rsid w:val="00A34819"/>
    <w:rPr>
      <w:rFonts w:cs="Times New Roman"/>
      <w:color w:val="0000FF"/>
      <w:u w:val="single"/>
    </w:rPr>
  </w:style>
  <w:style w:type="paragraph" w:customStyle="1" w:styleId="ConsPlusNormal">
    <w:name w:val="ConsPlusNormal"/>
    <w:rsid w:val="0069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d">
    <w:name w:val="Абзац списка Знак"/>
    <w:basedOn w:val="a0"/>
    <w:link w:val="ac"/>
    <w:uiPriority w:val="34"/>
    <w:locked/>
    <w:rsid w:val="0023410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9AF1-FC61-4D03-9049-0C65C539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№ 2 в ПДУ ЗПИФ недвижимости "Фонд девелопмента"</vt:lpstr>
    </vt:vector>
  </TitlesOfParts>
  <Manager>Сафронов И.В.</Manager>
  <Company>ООО УК "Аурум Инвестмент"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 в ПДУ ЗПИФ недвижимости "Фонд девелопмента"</dc:title>
  <dc:creator>ООО УК "Аурум Инвестмент"</dc:creator>
  <cp:lastModifiedBy>kulkova</cp:lastModifiedBy>
  <cp:revision>2</cp:revision>
  <cp:lastPrinted>2015-03-27T13:10:00Z</cp:lastPrinted>
  <dcterms:created xsi:type="dcterms:W3CDTF">2016-12-28T09:41:00Z</dcterms:created>
  <dcterms:modified xsi:type="dcterms:W3CDTF">2016-12-28T09:41:00Z</dcterms:modified>
</cp:coreProperties>
</file>