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70" w:rsidRPr="00F27C15" w:rsidRDefault="003D6A70" w:rsidP="003D6A70">
      <w:pPr>
        <w:pStyle w:val="21"/>
        <w:ind w:firstLine="0"/>
        <w:rPr>
          <w:rFonts w:ascii="Times New Roman" w:hAnsi="Times New Roman" w:cs="Times New Roman"/>
          <w:b/>
          <w:bCs/>
          <w:sz w:val="24"/>
          <w:szCs w:val="24"/>
        </w:rPr>
      </w:pPr>
      <w:r w:rsidRPr="00F27C15">
        <w:rPr>
          <w:rFonts w:ascii="Times New Roman" w:hAnsi="Times New Roman" w:cs="Times New Roman"/>
          <w:b/>
          <w:bCs/>
          <w:sz w:val="24"/>
          <w:szCs w:val="24"/>
        </w:rPr>
        <w:t>И</w:t>
      </w:r>
      <w:r>
        <w:rPr>
          <w:rFonts w:ascii="Times New Roman" w:hAnsi="Times New Roman" w:cs="Times New Roman"/>
          <w:b/>
          <w:bCs/>
          <w:sz w:val="24"/>
          <w:szCs w:val="24"/>
        </w:rPr>
        <w:t>зменения</w:t>
      </w:r>
      <w:r w:rsidRPr="00F27C15">
        <w:rPr>
          <w:rFonts w:ascii="Times New Roman" w:hAnsi="Times New Roman" w:cs="Times New Roman"/>
          <w:b/>
          <w:bCs/>
          <w:sz w:val="24"/>
          <w:szCs w:val="24"/>
        </w:rPr>
        <w:t xml:space="preserve"> </w:t>
      </w:r>
      <w:r>
        <w:rPr>
          <w:rFonts w:ascii="Times New Roman" w:hAnsi="Times New Roman" w:cs="Times New Roman"/>
          <w:b/>
          <w:bCs/>
          <w:sz w:val="24"/>
          <w:szCs w:val="24"/>
        </w:rPr>
        <w:t xml:space="preserve">и дополнения </w:t>
      </w:r>
      <w:r w:rsidRPr="00F27C15">
        <w:rPr>
          <w:rFonts w:ascii="Times New Roman" w:hAnsi="Times New Roman" w:cs="Times New Roman"/>
          <w:b/>
          <w:bCs/>
          <w:sz w:val="24"/>
          <w:szCs w:val="24"/>
        </w:rPr>
        <w:t xml:space="preserve">№ </w:t>
      </w:r>
      <w:r>
        <w:rPr>
          <w:rFonts w:ascii="Times New Roman" w:hAnsi="Times New Roman" w:cs="Times New Roman"/>
          <w:b/>
          <w:bCs/>
          <w:sz w:val="24"/>
          <w:szCs w:val="24"/>
        </w:rPr>
        <w:t>2</w:t>
      </w:r>
      <w:r w:rsidRPr="00F27C15">
        <w:rPr>
          <w:rFonts w:ascii="Times New Roman" w:hAnsi="Times New Roman" w:cs="Times New Roman"/>
          <w:b/>
          <w:bCs/>
          <w:sz w:val="24"/>
          <w:szCs w:val="24"/>
        </w:rPr>
        <w:t xml:space="preserve"> </w:t>
      </w:r>
    </w:p>
    <w:p w:rsidR="003D6A70" w:rsidRPr="00F27C15" w:rsidRDefault="003D6A70" w:rsidP="003D6A70">
      <w:pPr>
        <w:pStyle w:val="21"/>
        <w:ind w:firstLine="0"/>
        <w:rPr>
          <w:rFonts w:ascii="Times New Roman" w:hAnsi="Times New Roman" w:cs="Times New Roman"/>
          <w:b/>
          <w:bCs/>
          <w:sz w:val="24"/>
          <w:szCs w:val="24"/>
        </w:rPr>
      </w:pPr>
      <w:r>
        <w:rPr>
          <w:rFonts w:ascii="Times New Roman" w:hAnsi="Times New Roman" w:cs="Times New Roman"/>
          <w:b/>
          <w:bCs/>
          <w:sz w:val="24"/>
          <w:szCs w:val="24"/>
        </w:rPr>
        <w:t>которые вносятся</w:t>
      </w:r>
      <w:r w:rsidRPr="00F27C15">
        <w:rPr>
          <w:rFonts w:ascii="Times New Roman" w:hAnsi="Times New Roman" w:cs="Times New Roman"/>
          <w:b/>
          <w:bCs/>
          <w:sz w:val="24"/>
          <w:szCs w:val="24"/>
        </w:rPr>
        <w:t xml:space="preserve"> </w:t>
      </w:r>
    </w:p>
    <w:p w:rsidR="003D6A70" w:rsidRPr="00F27C15" w:rsidRDefault="003D6A70" w:rsidP="003D6A70">
      <w:pPr>
        <w:pStyle w:val="21"/>
        <w:ind w:firstLine="0"/>
        <w:rPr>
          <w:rFonts w:ascii="Times New Roman" w:hAnsi="Times New Roman" w:cs="Times New Roman"/>
          <w:b/>
          <w:bCs/>
          <w:sz w:val="24"/>
          <w:szCs w:val="24"/>
        </w:rPr>
      </w:pPr>
      <w:r>
        <w:rPr>
          <w:rFonts w:ascii="Times New Roman" w:hAnsi="Times New Roman" w:cs="Times New Roman"/>
          <w:b/>
          <w:bCs/>
          <w:sz w:val="24"/>
          <w:szCs w:val="24"/>
        </w:rPr>
        <w:t>в Правила доверительного управления</w:t>
      </w:r>
    </w:p>
    <w:p w:rsidR="003D6A70" w:rsidRPr="00F27C15" w:rsidRDefault="003D6A70" w:rsidP="003D6A70">
      <w:pPr>
        <w:pStyle w:val="21"/>
        <w:ind w:firstLine="0"/>
        <w:rPr>
          <w:rFonts w:ascii="Times New Roman" w:hAnsi="Times New Roman" w:cs="Times New Roman"/>
          <w:b/>
          <w:bCs/>
          <w:sz w:val="24"/>
          <w:szCs w:val="24"/>
        </w:rPr>
      </w:pPr>
      <w:r w:rsidRPr="00F27C15">
        <w:rPr>
          <w:rFonts w:ascii="Times New Roman" w:hAnsi="Times New Roman" w:cs="Times New Roman"/>
          <w:b/>
          <w:bCs/>
          <w:sz w:val="24"/>
          <w:szCs w:val="24"/>
        </w:rPr>
        <w:t>Закрытым паев</w:t>
      </w:r>
      <w:r>
        <w:rPr>
          <w:rFonts w:ascii="Times New Roman" w:hAnsi="Times New Roman" w:cs="Times New Roman"/>
          <w:b/>
          <w:bCs/>
          <w:sz w:val="24"/>
          <w:szCs w:val="24"/>
        </w:rPr>
        <w:t>ым</w:t>
      </w:r>
      <w:r w:rsidRPr="00F27C15">
        <w:rPr>
          <w:rFonts w:ascii="Times New Roman" w:hAnsi="Times New Roman" w:cs="Times New Roman"/>
          <w:b/>
          <w:bCs/>
          <w:sz w:val="24"/>
          <w:szCs w:val="24"/>
        </w:rPr>
        <w:t xml:space="preserve"> инвестиционны</w:t>
      </w:r>
      <w:r>
        <w:rPr>
          <w:rFonts w:ascii="Times New Roman" w:hAnsi="Times New Roman" w:cs="Times New Roman"/>
          <w:b/>
          <w:bCs/>
          <w:sz w:val="24"/>
          <w:szCs w:val="24"/>
        </w:rPr>
        <w:t>м</w:t>
      </w:r>
      <w:r w:rsidRPr="00F27C15">
        <w:rPr>
          <w:rFonts w:ascii="Times New Roman" w:hAnsi="Times New Roman" w:cs="Times New Roman"/>
          <w:b/>
          <w:bCs/>
          <w:sz w:val="24"/>
          <w:szCs w:val="24"/>
        </w:rPr>
        <w:t xml:space="preserve"> фонд</w:t>
      </w:r>
      <w:r>
        <w:rPr>
          <w:rFonts w:ascii="Times New Roman" w:hAnsi="Times New Roman" w:cs="Times New Roman"/>
          <w:b/>
          <w:bCs/>
          <w:sz w:val="24"/>
          <w:szCs w:val="24"/>
        </w:rPr>
        <w:t>ом</w:t>
      </w:r>
      <w:r w:rsidRPr="00F27C15">
        <w:rPr>
          <w:rFonts w:ascii="Times New Roman" w:hAnsi="Times New Roman" w:cs="Times New Roman"/>
          <w:b/>
          <w:bCs/>
          <w:sz w:val="24"/>
          <w:szCs w:val="24"/>
        </w:rPr>
        <w:t xml:space="preserve"> недвижимости «Русстрой»</w:t>
      </w:r>
    </w:p>
    <w:p w:rsidR="000E6984" w:rsidRDefault="003D6A70" w:rsidP="003D6A70">
      <w:pPr>
        <w:spacing w:line="240" w:lineRule="auto"/>
        <w:jc w:val="center"/>
        <w:rPr>
          <w:rFonts w:ascii="Times New Roman" w:hAnsi="Times New Roman" w:cs="Times New Roman"/>
          <w:sz w:val="22"/>
          <w:szCs w:val="24"/>
        </w:rPr>
      </w:pPr>
      <w:r w:rsidRPr="00F27C15">
        <w:rPr>
          <w:rFonts w:ascii="Times New Roman" w:hAnsi="Times New Roman" w:cs="Times New Roman"/>
          <w:sz w:val="22"/>
          <w:szCs w:val="24"/>
        </w:rPr>
        <w:t>(Правила доверительного управления Закрытым паевым инвестиционным фондом недвижимости «Русстрой» зарегистрированы ФСФР России «30» июля 2013 г. за номером №2627)</w:t>
      </w:r>
    </w:p>
    <w:p w:rsidR="00B14B26" w:rsidRDefault="00B14B26" w:rsidP="003D6A70">
      <w:pPr>
        <w:spacing w:line="240" w:lineRule="auto"/>
        <w:jc w:val="center"/>
        <w:rPr>
          <w:rFonts w:ascii="Times New Roman" w:hAnsi="Times New Roman" w:cs="Times New Roman"/>
          <w:sz w:val="18"/>
          <w:szCs w:val="18"/>
        </w:rPr>
      </w:pPr>
    </w:p>
    <w:p w:rsidR="00827FE3" w:rsidRPr="00184AC7" w:rsidRDefault="00827FE3" w:rsidP="00827FE3">
      <w:pPr>
        <w:pStyle w:val="af3"/>
        <w:rPr>
          <w:rFonts w:ascii="Times New Roman" w:hAnsi="Times New Roman" w:cs="Times New Roman"/>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7"/>
        <w:gridCol w:w="4536"/>
      </w:tblGrid>
      <w:tr w:rsidR="00827FE3" w:rsidRPr="00184AC7" w:rsidTr="009F2CC8">
        <w:trPr>
          <w:trHeight w:val="471"/>
        </w:trPr>
        <w:tc>
          <w:tcPr>
            <w:tcW w:w="4537" w:type="dxa"/>
          </w:tcPr>
          <w:p w:rsidR="00827FE3" w:rsidRPr="00184AC7" w:rsidRDefault="00536752" w:rsidP="00827FE3">
            <w:pPr>
              <w:pStyle w:val="1"/>
              <w:jc w:val="center"/>
              <w:rPr>
                <w:rFonts w:ascii="Times New Roman" w:hAnsi="Times New Roman" w:cs="Times New Roman"/>
                <w:sz w:val="22"/>
                <w:szCs w:val="22"/>
              </w:rPr>
            </w:pPr>
            <w:r>
              <w:rPr>
                <w:rFonts w:ascii="Times New Roman" w:hAnsi="Times New Roman" w:cs="Times New Roman"/>
                <w:sz w:val="22"/>
                <w:szCs w:val="22"/>
              </w:rPr>
              <w:t>СТАРАЯ</w:t>
            </w:r>
            <w:r w:rsidRPr="00184AC7">
              <w:rPr>
                <w:rFonts w:ascii="Times New Roman" w:hAnsi="Times New Roman" w:cs="Times New Roman"/>
                <w:sz w:val="22"/>
                <w:szCs w:val="22"/>
              </w:rPr>
              <w:t xml:space="preserve"> РЕДАКЦИЯ</w:t>
            </w:r>
          </w:p>
        </w:tc>
        <w:tc>
          <w:tcPr>
            <w:tcW w:w="4536" w:type="dxa"/>
          </w:tcPr>
          <w:p w:rsidR="00827FE3" w:rsidRPr="00184AC7" w:rsidRDefault="00536752" w:rsidP="00827FE3">
            <w:pPr>
              <w:pStyle w:val="1"/>
              <w:jc w:val="center"/>
              <w:rPr>
                <w:rFonts w:ascii="Times New Roman" w:hAnsi="Times New Roman" w:cs="Times New Roman"/>
                <w:sz w:val="22"/>
                <w:szCs w:val="22"/>
              </w:rPr>
            </w:pPr>
            <w:r>
              <w:rPr>
                <w:rFonts w:ascii="Times New Roman" w:hAnsi="Times New Roman" w:cs="Times New Roman"/>
                <w:sz w:val="22"/>
                <w:szCs w:val="22"/>
              </w:rPr>
              <w:t>НОВАЯ</w:t>
            </w:r>
            <w:r w:rsidRPr="00184AC7">
              <w:rPr>
                <w:rFonts w:ascii="Times New Roman" w:hAnsi="Times New Roman" w:cs="Times New Roman"/>
                <w:sz w:val="22"/>
                <w:szCs w:val="22"/>
              </w:rPr>
              <w:t xml:space="preserve"> РЕДАКЦИЯ</w:t>
            </w:r>
          </w:p>
        </w:tc>
      </w:tr>
      <w:tr w:rsidR="00827FE3" w:rsidRPr="00184AC7" w:rsidTr="009F2CC8">
        <w:tc>
          <w:tcPr>
            <w:tcW w:w="4537" w:type="dxa"/>
          </w:tcPr>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b/>
                <w:sz w:val="22"/>
                <w:szCs w:val="22"/>
              </w:rPr>
              <w:t>3</w:t>
            </w:r>
            <w:r>
              <w:rPr>
                <w:rFonts w:ascii="Times New Roman" w:hAnsi="Times New Roman" w:cs="Times New Roman"/>
                <w:b/>
                <w:sz w:val="22"/>
                <w:szCs w:val="22"/>
              </w:rPr>
              <w:t>5</w:t>
            </w:r>
            <w:r w:rsidRPr="00184AC7">
              <w:rPr>
                <w:rFonts w:ascii="Times New Roman" w:hAnsi="Times New Roman" w:cs="Times New Roman"/>
                <w:b/>
                <w:sz w:val="22"/>
                <w:szCs w:val="22"/>
              </w:rPr>
              <w:t xml:space="preserve">. </w:t>
            </w:r>
            <w:r w:rsidRPr="00184AC7">
              <w:rPr>
                <w:rFonts w:ascii="Times New Roman" w:hAnsi="Times New Roman" w:cs="Times New Roman"/>
                <w:sz w:val="22"/>
                <w:szCs w:val="22"/>
              </w:rPr>
              <w:t>Инвестиционный пай является именной ценной бумагой, удостоверяющей:</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1) долю его владельца в праве собственности на имущество, составляющее Фонд;</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3) право на участие в общем собрании владельцев инвестиционных паев;</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B851E3"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c>
          <w:tcPr>
            <w:tcW w:w="4536" w:type="dxa"/>
          </w:tcPr>
          <w:p w:rsidR="002A2D5E" w:rsidRPr="00184AC7" w:rsidRDefault="002A2D5E" w:rsidP="002A2D5E">
            <w:pPr>
              <w:ind w:firstLine="720"/>
              <w:rPr>
                <w:rFonts w:ascii="Times New Roman" w:hAnsi="Times New Roman" w:cs="Times New Roman"/>
                <w:sz w:val="22"/>
                <w:szCs w:val="22"/>
              </w:rPr>
            </w:pPr>
            <w:r>
              <w:rPr>
                <w:rFonts w:ascii="Times New Roman" w:hAnsi="Times New Roman" w:cs="Times New Roman"/>
                <w:b/>
                <w:sz w:val="22"/>
                <w:szCs w:val="22"/>
              </w:rPr>
              <w:t>35</w:t>
            </w:r>
            <w:r w:rsidRPr="00184AC7">
              <w:rPr>
                <w:rFonts w:ascii="Times New Roman" w:hAnsi="Times New Roman" w:cs="Times New Roman"/>
                <w:b/>
                <w:sz w:val="22"/>
                <w:szCs w:val="22"/>
              </w:rPr>
              <w:t xml:space="preserve">. </w:t>
            </w:r>
            <w:r w:rsidRPr="00184AC7">
              <w:rPr>
                <w:rFonts w:ascii="Times New Roman" w:hAnsi="Times New Roman" w:cs="Times New Roman"/>
                <w:sz w:val="22"/>
                <w:szCs w:val="22"/>
              </w:rPr>
              <w:t>Инвестиционный пай является именной ценной бумагой, удостоверяющей:</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1) долю его владельца в праве собственности на имущество, составляющее Фонд;</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3) право на участие в общем собрании владельцев инвестиционных паев;</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4) право владельцев инвестиционных паев на получение дохода по инвестиционному паю;</w:t>
            </w:r>
          </w:p>
          <w:p w:rsidR="00372216" w:rsidRPr="00A71D99" w:rsidRDefault="002A2D5E" w:rsidP="00114284">
            <w:pPr>
              <w:pStyle w:val="ConsPlusNormal"/>
              <w:widowControl/>
              <w:spacing w:line="360" w:lineRule="auto"/>
              <w:ind w:firstLine="540"/>
              <w:jc w:val="both"/>
            </w:pPr>
            <w:r w:rsidRPr="00184AC7">
              <w:rPr>
                <w:rFonts w:ascii="Times New Roman" w:hAnsi="Times New Roman" w:cs="Times New Roman"/>
                <w:sz w:val="22"/>
                <w:szCs w:val="22"/>
              </w:rPr>
              <w:t xml:space="preserve">Доход по инвестиционному паю выплачивается владельцам инвестиционных </w:t>
            </w:r>
            <w:r w:rsidR="006F2E1F" w:rsidRPr="006F2E1F">
              <w:rPr>
                <w:rFonts w:ascii="Times New Roman" w:eastAsia="Times New Roman" w:hAnsi="Times New Roman" w:cs="Times New Roman"/>
                <w:sz w:val="22"/>
                <w:szCs w:val="22"/>
                <w:lang w:eastAsia="ru-RU"/>
              </w:rPr>
              <w:t xml:space="preserve">паев </w:t>
            </w:r>
            <w:r w:rsidR="00531F9A" w:rsidRPr="008E3C96">
              <w:rPr>
                <w:rFonts w:ascii="Times New Roman" w:hAnsi="Times New Roman" w:cs="Times New Roman"/>
                <w:sz w:val="22"/>
                <w:szCs w:val="22"/>
              </w:rPr>
              <w:t xml:space="preserve">по итогам каждого отчетного периода </w:t>
            </w:r>
            <w:r w:rsidR="006F2E1F" w:rsidRPr="006F2E1F">
              <w:rPr>
                <w:rFonts w:ascii="Times New Roman" w:eastAsia="Times New Roman" w:hAnsi="Times New Roman" w:cs="Times New Roman"/>
                <w:sz w:val="22"/>
                <w:szCs w:val="22"/>
                <w:lang w:eastAsia="ru-RU"/>
              </w:rPr>
              <w:t xml:space="preserve">15 (пятнадцатого) декабря каждого календарного года. Первый отчетный период начинается с 10 декабря 2013 года и заканчивается 09 декабря 2014 года. Последующие отчетные периоды начинаются </w:t>
            </w:r>
            <w:r w:rsidR="00372216">
              <w:rPr>
                <w:rFonts w:ascii="Times New Roman" w:eastAsia="Times New Roman" w:hAnsi="Times New Roman" w:cs="Times New Roman"/>
                <w:sz w:val="22"/>
                <w:szCs w:val="22"/>
                <w:lang w:eastAsia="ru-RU"/>
              </w:rPr>
              <w:t>10</w:t>
            </w:r>
            <w:r w:rsidR="006F2E1F" w:rsidRPr="006F2E1F">
              <w:rPr>
                <w:rFonts w:ascii="Times New Roman" w:eastAsia="Times New Roman" w:hAnsi="Times New Roman" w:cs="Times New Roman"/>
                <w:sz w:val="22"/>
                <w:szCs w:val="22"/>
                <w:lang w:eastAsia="ru-RU"/>
              </w:rPr>
              <w:t xml:space="preserve"> декабря </w:t>
            </w:r>
            <w:r w:rsidR="00372216">
              <w:rPr>
                <w:rFonts w:ascii="Times New Roman" w:eastAsia="Times New Roman" w:hAnsi="Times New Roman" w:cs="Times New Roman"/>
                <w:sz w:val="22"/>
                <w:szCs w:val="22"/>
                <w:lang w:eastAsia="ru-RU"/>
              </w:rPr>
              <w:t>каждого</w:t>
            </w:r>
            <w:r w:rsidR="006F2E1F" w:rsidRPr="006F2E1F">
              <w:rPr>
                <w:rFonts w:ascii="Times New Roman" w:eastAsia="Times New Roman" w:hAnsi="Times New Roman" w:cs="Times New Roman"/>
                <w:sz w:val="22"/>
                <w:szCs w:val="22"/>
                <w:lang w:eastAsia="ru-RU"/>
              </w:rPr>
              <w:t xml:space="preserve"> календарного года и заканчиваются </w:t>
            </w:r>
            <w:r w:rsidR="00372216">
              <w:rPr>
                <w:rFonts w:ascii="Times New Roman" w:eastAsia="Times New Roman" w:hAnsi="Times New Roman" w:cs="Times New Roman"/>
                <w:sz w:val="22"/>
                <w:szCs w:val="22"/>
                <w:lang w:eastAsia="ru-RU"/>
              </w:rPr>
              <w:t>09</w:t>
            </w:r>
            <w:r w:rsidR="006F2E1F" w:rsidRPr="006F2E1F">
              <w:rPr>
                <w:rFonts w:ascii="Times New Roman" w:eastAsia="Times New Roman" w:hAnsi="Times New Roman" w:cs="Times New Roman"/>
                <w:sz w:val="22"/>
                <w:szCs w:val="22"/>
                <w:lang w:eastAsia="ru-RU"/>
              </w:rPr>
              <w:t xml:space="preserve"> декабря </w:t>
            </w:r>
            <w:r w:rsidR="008E3C96">
              <w:rPr>
                <w:rFonts w:ascii="Times New Roman" w:eastAsia="Times New Roman" w:hAnsi="Times New Roman" w:cs="Times New Roman"/>
                <w:sz w:val="22"/>
                <w:szCs w:val="22"/>
                <w:lang w:eastAsia="ru-RU"/>
              </w:rPr>
              <w:t xml:space="preserve">включительно </w:t>
            </w:r>
            <w:r w:rsidR="006F2E1F" w:rsidRPr="006F2E1F">
              <w:rPr>
                <w:rFonts w:ascii="Times New Roman" w:eastAsia="Times New Roman" w:hAnsi="Times New Roman" w:cs="Times New Roman"/>
                <w:sz w:val="22"/>
                <w:szCs w:val="22"/>
                <w:lang w:eastAsia="ru-RU"/>
              </w:rPr>
              <w:t>следующего календарного года.</w:t>
            </w:r>
          </w:p>
          <w:p w:rsidR="002A2D5E" w:rsidRPr="00184AC7" w:rsidRDefault="008E3C96" w:rsidP="002A2D5E">
            <w:pPr>
              <w:ind w:firstLine="720"/>
              <w:rPr>
                <w:rFonts w:ascii="Times New Roman" w:hAnsi="Times New Roman" w:cs="Times New Roman"/>
                <w:sz w:val="22"/>
                <w:szCs w:val="22"/>
              </w:rPr>
            </w:pPr>
            <w:r w:rsidRPr="008E3C96">
              <w:rPr>
                <w:rFonts w:ascii="Times New Roman" w:hAnsi="Times New Roman" w:cs="Times New Roman"/>
                <w:sz w:val="22"/>
                <w:szCs w:val="22"/>
              </w:rPr>
              <w:t xml:space="preserve">Доход по инвестиционным паям начисляется владельцам инвестиционных паев по итогам каждого отчетного периода </w:t>
            </w:r>
            <w:r>
              <w:rPr>
                <w:rFonts w:ascii="Times New Roman" w:hAnsi="Times New Roman" w:cs="Times New Roman"/>
                <w:sz w:val="22"/>
                <w:szCs w:val="22"/>
              </w:rPr>
              <w:t>в день выплаты дохода по инвестиционным паям</w:t>
            </w:r>
            <w:r w:rsidRPr="008E3C96">
              <w:rPr>
                <w:rFonts w:ascii="Times New Roman" w:hAnsi="Times New Roman" w:cs="Times New Roman"/>
                <w:sz w:val="22"/>
                <w:szCs w:val="22"/>
              </w:rPr>
              <w:t>.</w:t>
            </w:r>
            <w:r>
              <w:rPr>
                <w:rFonts w:ascii="Times New Roman" w:hAnsi="Times New Roman" w:cs="Times New Roman"/>
                <w:sz w:val="22"/>
                <w:szCs w:val="22"/>
              </w:rPr>
              <w:t xml:space="preserve"> </w:t>
            </w:r>
            <w:r w:rsidR="002A2D5E" w:rsidRPr="00184AC7">
              <w:rPr>
                <w:rFonts w:ascii="Times New Roman" w:hAnsi="Times New Roman" w:cs="Times New Roman"/>
                <w:sz w:val="22"/>
                <w:szCs w:val="22"/>
              </w:rPr>
              <w:t xml:space="preserve">Доход по инвестиционному паю определяется путем деления дохода по инвестиционным паям на количество инвестиционных паев Фонда, указанных в реестре владельцев инвестиционных паев </w:t>
            </w:r>
            <w:r w:rsidR="002A2D5E" w:rsidRPr="00184AC7">
              <w:rPr>
                <w:rFonts w:ascii="Times New Roman" w:hAnsi="Times New Roman" w:cs="Times New Roman"/>
                <w:sz w:val="22"/>
                <w:szCs w:val="22"/>
              </w:rPr>
              <w:lastRenderedPageBreak/>
              <w:t>Фонда по состоянию на последний рабочий день отчетного периода.</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 xml:space="preserve">Размер подлежащего выплате владельцам инвестиционных паев дохода по инвестиционным  паям равен </w:t>
            </w:r>
            <w:r>
              <w:rPr>
                <w:rFonts w:ascii="Times New Roman" w:hAnsi="Times New Roman" w:cs="Times New Roman"/>
                <w:sz w:val="22"/>
                <w:szCs w:val="22"/>
              </w:rPr>
              <w:t>100 (Сто</w:t>
            </w:r>
            <w:r w:rsidRPr="00184AC7">
              <w:rPr>
                <w:rFonts w:ascii="Times New Roman" w:hAnsi="Times New Roman" w:cs="Times New Roman"/>
                <w:sz w:val="22"/>
                <w:szCs w:val="22"/>
              </w:rPr>
              <w:t>) процент</w:t>
            </w:r>
            <w:r>
              <w:rPr>
                <w:rFonts w:ascii="Times New Roman" w:hAnsi="Times New Roman" w:cs="Times New Roman"/>
                <w:sz w:val="22"/>
                <w:szCs w:val="22"/>
              </w:rPr>
              <w:t>ам</w:t>
            </w:r>
            <w:r w:rsidRPr="00184AC7">
              <w:rPr>
                <w:rFonts w:ascii="Times New Roman" w:hAnsi="Times New Roman" w:cs="Times New Roman"/>
                <w:sz w:val="22"/>
                <w:szCs w:val="22"/>
              </w:rPr>
              <w:t xml:space="preserve"> от разницы между суммой фактически полученных в Фонд в отчетном периоде:</w:t>
            </w:r>
          </w:p>
          <w:p w:rsidR="002A2D5E" w:rsidRPr="00184AC7" w:rsidRDefault="002A2D5E" w:rsidP="002A2D5E">
            <w:pPr>
              <w:autoSpaceDE w:val="0"/>
              <w:autoSpaceDN w:val="0"/>
              <w:adjustRightInd w:val="0"/>
              <w:ind w:firstLine="720"/>
              <w:rPr>
                <w:rFonts w:ascii="Times New Roman" w:hAnsi="Times New Roman" w:cs="Times New Roman"/>
                <w:sz w:val="22"/>
                <w:szCs w:val="22"/>
              </w:rPr>
            </w:pPr>
            <w:r w:rsidRPr="00184AC7">
              <w:rPr>
                <w:rFonts w:ascii="Times New Roman" w:hAnsi="Times New Roman" w:cs="Times New Roman"/>
              </w:rPr>
              <w:t xml:space="preserve">– </w:t>
            </w:r>
            <w:r w:rsidRPr="00184AC7">
              <w:rPr>
                <w:rFonts w:ascii="Times New Roman" w:hAnsi="Times New Roman" w:cs="Times New Roman"/>
                <w:sz w:val="22"/>
                <w:szCs w:val="22"/>
              </w:rPr>
              <w:t>процентов, начисленных на остатки по расчетным счетам, и по банковским вкладам;</w:t>
            </w:r>
          </w:p>
          <w:p w:rsidR="002A2D5E" w:rsidRPr="00184AC7" w:rsidRDefault="002A2D5E" w:rsidP="002A2D5E">
            <w:pPr>
              <w:autoSpaceDE w:val="0"/>
              <w:autoSpaceDN w:val="0"/>
              <w:adjustRightInd w:val="0"/>
              <w:ind w:firstLine="720"/>
              <w:rPr>
                <w:rFonts w:ascii="Times New Roman" w:hAnsi="Times New Roman" w:cs="Times New Roman"/>
              </w:rPr>
            </w:pPr>
            <w:r w:rsidRPr="00184AC7">
              <w:rPr>
                <w:rFonts w:ascii="Times New Roman" w:hAnsi="Times New Roman" w:cs="Times New Roman"/>
              </w:rPr>
              <w:t xml:space="preserve">– </w:t>
            </w:r>
            <w:r w:rsidRPr="00184AC7">
              <w:rPr>
                <w:rFonts w:ascii="Times New Roman" w:hAnsi="Times New Roman" w:cs="Times New Roman"/>
                <w:sz w:val="22"/>
                <w:szCs w:val="22"/>
              </w:rPr>
              <w:t>процентного дохода по облигациям</w:t>
            </w:r>
            <w:r w:rsidRPr="00184AC7">
              <w:rPr>
                <w:rFonts w:ascii="Times New Roman" w:hAnsi="Times New Roman" w:cs="Times New Roman"/>
              </w:rPr>
              <w:t>;</w:t>
            </w:r>
          </w:p>
          <w:p w:rsidR="002A2D5E" w:rsidRPr="00184AC7" w:rsidRDefault="002A2D5E" w:rsidP="002A2D5E">
            <w:pPr>
              <w:autoSpaceDE w:val="0"/>
              <w:autoSpaceDN w:val="0"/>
              <w:adjustRightInd w:val="0"/>
              <w:ind w:firstLine="720"/>
              <w:rPr>
                <w:rFonts w:ascii="Times New Roman" w:hAnsi="Times New Roman" w:cs="Times New Roman"/>
              </w:rPr>
            </w:pPr>
            <w:r w:rsidRPr="00184AC7">
              <w:rPr>
                <w:rFonts w:ascii="Times New Roman" w:hAnsi="Times New Roman" w:cs="Times New Roman"/>
              </w:rPr>
              <w:t xml:space="preserve">– </w:t>
            </w:r>
            <w:r w:rsidRPr="00184AC7">
              <w:rPr>
                <w:rFonts w:ascii="Times New Roman" w:hAnsi="Times New Roman" w:cs="Times New Roman"/>
                <w:sz w:val="22"/>
                <w:szCs w:val="22"/>
              </w:rPr>
              <w:t>положительной разницы между стоимостью продажи и приобретения объектов недвижимости</w:t>
            </w:r>
            <w:r w:rsidRPr="00184AC7">
              <w:rPr>
                <w:rFonts w:ascii="Times New Roman" w:hAnsi="Times New Roman" w:cs="Times New Roman"/>
              </w:rPr>
              <w:t>;</w:t>
            </w:r>
          </w:p>
          <w:p w:rsidR="002A2D5E" w:rsidRPr="00184AC7" w:rsidRDefault="002A2D5E" w:rsidP="002A2D5E">
            <w:pPr>
              <w:autoSpaceDE w:val="0"/>
              <w:autoSpaceDN w:val="0"/>
              <w:adjustRightInd w:val="0"/>
              <w:ind w:firstLine="720"/>
              <w:rPr>
                <w:rFonts w:ascii="Times New Roman" w:hAnsi="Times New Roman" w:cs="Times New Roman"/>
              </w:rPr>
            </w:pPr>
            <w:r w:rsidRPr="00184AC7">
              <w:rPr>
                <w:rFonts w:ascii="Times New Roman" w:hAnsi="Times New Roman" w:cs="Times New Roman"/>
              </w:rPr>
              <w:t xml:space="preserve">– </w:t>
            </w:r>
            <w:r w:rsidRPr="00184AC7">
              <w:rPr>
                <w:rFonts w:ascii="Times New Roman" w:hAnsi="Times New Roman" w:cs="Times New Roman"/>
                <w:sz w:val="22"/>
                <w:szCs w:val="22"/>
              </w:rPr>
              <w:t>положительной разницы между стоимостью продажи и приобретения имущественных  прав  по обязательствам из договоров участия в долевом строительстве объектов недвижимого имущества</w:t>
            </w:r>
            <w:r w:rsidRPr="00184AC7">
              <w:rPr>
                <w:rFonts w:ascii="Times New Roman" w:hAnsi="Times New Roman" w:cs="Times New Roman"/>
              </w:rPr>
              <w:t>;</w:t>
            </w:r>
          </w:p>
          <w:p w:rsidR="002A2D5E" w:rsidRPr="00184AC7" w:rsidRDefault="002A2D5E" w:rsidP="002A2D5E">
            <w:pPr>
              <w:autoSpaceDE w:val="0"/>
              <w:autoSpaceDN w:val="0"/>
              <w:adjustRightInd w:val="0"/>
              <w:ind w:firstLine="720"/>
              <w:rPr>
                <w:rFonts w:ascii="Times New Roman" w:hAnsi="Times New Roman" w:cs="Times New Roman"/>
              </w:rPr>
            </w:pPr>
            <w:r w:rsidRPr="00184AC7">
              <w:rPr>
                <w:rFonts w:ascii="Times New Roman" w:hAnsi="Times New Roman" w:cs="Times New Roman"/>
              </w:rPr>
              <w:t xml:space="preserve">– </w:t>
            </w:r>
            <w:r w:rsidRPr="00184AC7">
              <w:rPr>
                <w:rFonts w:ascii="Times New Roman" w:hAnsi="Times New Roman" w:cs="Times New Roman"/>
                <w:sz w:val="22"/>
                <w:szCs w:val="22"/>
              </w:rPr>
              <w:t>дохода от сдачи объектов недвижимого имущества в аренду и (или) субаренду</w:t>
            </w:r>
            <w:r w:rsidRPr="00184AC7">
              <w:rPr>
                <w:rFonts w:ascii="Times New Roman" w:hAnsi="Times New Roman" w:cs="Times New Roman"/>
              </w:rPr>
              <w:t xml:space="preserve"> </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rsidR="002A2D5E" w:rsidRPr="00184AC7" w:rsidRDefault="002A2D5E" w:rsidP="002A2D5E">
            <w:pPr>
              <w:autoSpaceDE w:val="0"/>
              <w:autoSpaceDN w:val="0"/>
              <w:adjustRightInd w:val="0"/>
              <w:ind w:firstLine="720"/>
              <w:rPr>
                <w:rFonts w:ascii="Times New Roman" w:hAnsi="Times New Roman" w:cs="Times New Roman"/>
                <w:sz w:val="22"/>
                <w:szCs w:val="22"/>
              </w:rPr>
            </w:pPr>
            <w:r w:rsidRPr="00184AC7">
              <w:rPr>
                <w:rFonts w:ascii="Times New Roman" w:hAnsi="Times New Roman" w:cs="Times New Roman"/>
              </w:rPr>
              <w:t xml:space="preserve"> </w:t>
            </w:r>
            <w:r w:rsidRPr="00184AC7">
              <w:rPr>
                <w:rFonts w:ascii="Times New Roman" w:hAnsi="Times New Roman" w:cs="Times New Roman"/>
                <w:sz w:val="22"/>
                <w:szCs w:val="22"/>
              </w:rPr>
              <w:t>Процентный доход по облигациям определяется как разница сумм полученного процентного дохода и уплаченного процентного дохода при приобретении ценных бумаг.</w:t>
            </w:r>
          </w:p>
          <w:p w:rsidR="002A2D5E" w:rsidRPr="00184AC7" w:rsidRDefault="002A2D5E" w:rsidP="002A2D5E">
            <w:pPr>
              <w:autoSpaceDE w:val="0"/>
              <w:autoSpaceDN w:val="0"/>
              <w:adjustRightInd w:val="0"/>
              <w:ind w:firstLine="720"/>
              <w:rPr>
                <w:rFonts w:ascii="Times New Roman" w:hAnsi="Times New Roman" w:cs="Times New Roman"/>
                <w:sz w:val="22"/>
                <w:szCs w:val="22"/>
              </w:rPr>
            </w:pPr>
            <w:r w:rsidRPr="00184AC7">
              <w:rPr>
                <w:rFonts w:ascii="Times New Roman" w:hAnsi="Times New Roman" w:cs="Times New Roman"/>
                <w:sz w:val="22"/>
                <w:szCs w:val="22"/>
              </w:rPr>
              <w:t xml:space="preserve">Под доходом от сдачи объектов недвижимого имущества в аренду и (или) субаренду понимается сумма денежных </w:t>
            </w:r>
            <w:r w:rsidRPr="00184AC7">
              <w:rPr>
                <w:rFonts w:ascii="Times New Roman" w:hAnsi="Times New Roman" w:cs="Times New Roman"/>
                <w:sz w:val="22"/>
                <w:szCs w:val="22"/>
              </w:rPr>
              <w:lastRenderedPageBreak/>
              <w:t>средств (без учета НДС),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2A2D5E" w:rsidRPr="00184AC7" w:rsidRDefault="002A2D5E" w:rsidP="002A2D5E">
            <w:pPr>
              <w:widowControl w:val="0"/>
              <w:ind w:firstLine="720"/>
              <w:rPr>
                <w:rFonts w:ascii="Times New Roman" w:hAnsi="Times New Roman" w:cs="Times New Roman"/>
                <w:sz w:val="22"/>
                <w:szCs w:val="22"/>
              </w:rPr>
            </w:pPr>
            <w:r w:rsidRPr="00184AC7">
              <w:rPr>
                <w:rFonts w:ascii="Times New Roman" w:hAnsi="Times New Roman" w:cs="Times New Roman"/>
                <w:sz w:val="22"/>
                <w:szCs w:val="22"/>
              </w:rPr>
              <w:t xml:space="preserve">Доход по инвестиционному паю выплачивается владельцам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w:t>
            </w:r>
            <w:r>
              <w:rPr>
                <w:rFonts w:ascii="Times New Roman" w:hAnsi="Times New Roman" w:cs="Times New Roman"/>
                <w:sz w:val="22"/>
                <w:szCs w:val="22"/>
              </w:rPr>
              <w:t>отчетного периода</w:t>
            </w:r>
            <w:r w:rsidRPr="00184AC7">
              <w:rPr>
                <w:rFonts w:ascii="Times New Roman" w:hAnsi="Times New Roman" w:cs="Times New Roman"/>
                <w:sz w:val="22"/>
                <w:szCs w:val="22"/>
              </w:rPr>
              <w:t>.</w:t>
            </w:r>
          </w:p>
          <w:p w:rsidR="00B3275A" w:rsidRDefault="00372216" w:rsidP="002A2D5E">
            <w:pPr>
              <w:ind w:firstLine="720"/>
              <w:rPr>
                <w:rFonts w:ascii="Times New Roman" w:hAnsi="Times New Roman" w:cs="Times New Roman"/>
                <w:sz w:val="22"/>
                <w:szCs w:val="22"/>
              </w:rPr>
            </w:pPr>
            <w:r w:rsidRPr="00372216">
              <w:rPr>
                <w:rFonts w:ascii="Times New Roman" w:hAnsi="Times New Roman" w:cs="Times New Roman"/>
                <w:sz w:val="22"/>
                <w:szCs w:val="22"/>
              </w:rPr>
              <w:t xml:space="preserve">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по состоянию на последний рабочий день отчетного </w:t>
            </w:r>
            <w:r w:rsidR="00114284">
              <w:rPr>
                <w:rFonts w:ascii="Times New Roman" w:hAnsi="Times New Roman" w:cs="Times New Roman"/>
                <w:sz w:val="22"/>
                <w:szCs w:val="22"/>
              </w:rPr>
              <w:t>периода</w:t>
            </w:r>
            <w:r w:rsidRPr="00372216">
              <w:rPr>
                <w:rFonts w:ascii="Times New Roman" w:hAnsi="Times New Roman" w:cs="Times New Roman"/>
                <w:sz w:val="22"/>
                <w:szCs w:val="22"/>
              </w:rPr>
              <w:t>.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rsidR="002A2D5E" w:rsidRPr="00184AC7" w:rsidRDefault="002A2D5E" w:rsidP="002A2D5E">
            <w:pPr>
              <w:ind w:firstLine="720"/>
              <w:rPr>
                <w:rFonts w:ascii="Times New Roman" w:hAnsi="Times New Roman" w:cs="Times New Roman"/>
                <w:sz w:val="22"/>
                <w:szCs w:val="22"/>
              </w:rPr>
            </w:pPr>
            <w:r w:rsidRPr="00184AC7">
              <w:rPr>
                <w:rFonts w:ascii="Times New Roman" w:hAnsi="Times New Roman" w:cs="Times New Roman"/>
                <w:sz w:val="22"/>
                <w:szCs w:val="22"/>
              </w:rPr>
              <w:t>5)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166629" w:rsidRPr="003D6A70" w:rsidRDefault="002A2D5E" w:rsidP="003D6A70">
            <w:pPr>
              <w:ind w:firstLine="720"/>
              <w:rPr>
                <w:rFonts w:ascii="Times New Roman" w:hAnsi="Times New Roman" w:cs="Times New Roman"/>
                <w:sz w:val="22"/>
                <w:szCs w:val="22"/>
              </w:rPr>
            </w:pPr>
            <w:r w:rsidRPr="00184AC7">
              <w:rPr>
                <w:rFonts w:ascii="Times New Roman" w:hAnsi="Times New Roman" w:cs="Times New Roman"/>
                <w:sz w:val="22"/>
                <w:szCs w:val="22"/>
              </w:rPr>
              <w:t xml:space="preserve">6) право на получение денежной компенсации при прекращении договора </w:t>
            </w:r>
            <w:r w:rsidRPr="00184AC7">
              <w:rPr>
                <w:rFonts w:ascii="Times New Roman" w:hAnsi="Times New Roman" w:cs="Times New Roman"/>
                <w:sz w:val="22"/>
                <w:szCs w:val="22"/>
              </w:rPr>
              <w:lastRenderedPageBreak/>
              <w:t>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tc>
      </w:tr>
    </w:tbl>
    <w:p w:rsidR="00354E30" w:rsidRDefault="00354E30" w:rsidP="00D07FE3">
      <w:pPr>
        <w:spacing w:after="120" w:line="240" w:lineRule="exact"/>
        <w:rPr>
          <w:rFonts w:ascii="Times New Roman" w:hAnsi="Times New Roman" w:cs="Times New Roman"/>
        </w:rPr>
      </w:pPr>
      <w:bookmarkStart w:id="0" w:name="p_1"/>
      <w:bookmarkStart w:id="1" w:name="p_2"/>
      <w:bookmarkStart w:id="2" w:name="p_3"/>
      <w:bookmarkStart w:id="3" w:name="p_4"/>
      <w:bookmarkStart w:id="4" w:name="p_5"/>
      <w:bookmarkStart w:id="5" w:name="p_6"/>
      <w:bookmarkStart w:id="6" w:name="p_7"/>
      <w:bookmarkStart w:id="7" w:name="p_8"/>
      <w:bookmarkStart w:id="8" w:name="p_9"/>
      <w:bookmarkStart w:id="9" w:name="p_10"/>
      <w:bookmarkStart w:id="10" w:name="p_11"/>
      <w:bookmarkStart w:id="11" w:name="p_12"/>
      <w:bookmarkStart w:id="12" w:name="p_13"/>
      <w:bookmarkStart w:id="13" w:name="p_14"/>
      <w:bookmarkStart w:id="14" w:name="p_15"/>
      <w:bookmarkStart w:id="15" w:name="p_16"/>
      <w:bookmarkStart w:id="16" w:name="p_17"/>
      <w:bookmarkStart w:id="17" w:name="p_18"/>
      <w:bookmarkStart w:id="18" w:name="p_19"/>
      <w:bookmarkStart w:id="19" w:name="p_20"/>
      <w:bookmarkStart w:id="20" w:name="p_21"/>
      <w:bookmarkStart w:id="21" w:name="p_22"/>
      <w:bookmarkStart w:id="22" w:name="p_23"/>
      <w:bookmarkStart w:id="23" w:name="p_26"/>
      <w:bookmarkStart w:id="24" w:name="p_27"/>
      <w:bookmarkStart w:id="25" w:name="p_28"/>
      <w:bookmarkStart w:id="26" w:name="p_29"/>
      <w:bookmarkStart w:id="27" w:name="p_300"/>
      <w:bookmarkStart w:id="28" w:name="p_30"/>
      <w:bookmarkStart w:id="29" w:name="p_31"/>
      <w:bookmarkStart w:id="30" w:name="p_32"/>
      <w:bookmarkStart w:id="31" w:name="p_33"/>
      <w:bookmarkStart w:id="32" w:name="p_34"/>
      <w:bookmarkStart w:id="33" w:name="p_400"/>
      <w:bookmarkStart w:id="34" w:name="p_35"/>
      <w:bookmarkStart w:id="35" w:name="p_36"/>
      <w:bookmarkStart w:id="36" w:name="p_37"/>
      <w:bookmarkStart w:id="37" w:name="p_38"/>
      <w:bookmarkStart w:id="38" w:name="p_39"/>
      <w:bookmarkStart w:id="39" w:name="p_40"/>
      <w:bookmarkStart w:id="40" w:name="p_41"/>
      <w:bookmarkStart w:id="41" w:name="p_42"/>
      <w:bookmarkStart w:id="42" w:name="p_43"/>
      <w:bookmarkStart w:id="43" w:name="p_25"/>
      <w:bookmarkStart w:id="44" w:name="p_44"/>
      <w:bookmarkStart w:id="45" w:name="p_45"/>
      <w:bookmarkStart w:id="46" w:name="p_200"/>
      <w:bookmarkStart w:id="47" w:name="p_500"/>
      <w:bookmarkStart w:id="48" w:name="p_600"/>
      <w:bookmarkStart w:id="49" w:name="p_46"/>
      <w:bookmarkStart w:id="50" w:name="p_47"/>
      <w:bookmarkStart w:id="51" w:name="p_64"/>
      <w:bookmarkStart w:id="52" w:name="p_48"/>
      <w:bookmarkStart w:id="53" w:name="p_49"/>
      <w:bookmarkStart w:id="54" w:name="p_51"/>
      <w:bookmarkStart w:id="55" w:name="p_52"/>
      <w:bookmarkStart w:id="56" w:name="p_53"/>
      <w:bookmarkStart w:id="57" w:name="p_54"/>
      <w:bookmarkStart w:id="58" w:name="p_55"/>
      <w:bookmarkStart w:id="59" w:name="p_56"/>
      <w:bookmarkStart w:id="60" w:name="p_24"/>
      <w:bookmarkStart w:id="61" w:name="p_57"/>
      <w:bookmarkStart w:id="62" w:name="p_58"/>
      <w:bookmarkStart w:id="63" w:name="p_59"/>
      <w:bookmarkStart w:id="64" w:name="p_60"/>
      <w:bookmarkStart w:id="65" w:name="p_61"/>
      <w:bookmarkStart w:id="66" w:name="p_62"/>
      <w:bookmarkStart w:id="67" w:name="p_63"/>
      <w:bookmarkStart w:id="68" w:name="p_700"/>
      <w:bookmarkStart w:id="69" w:name="p_65"/>
      <w:bookmarkStart w:id="70" w:name="p_66"/>
      <w:bookmarkStart w:id="71" w:name="p_67"/>
      <w:bookmarkStart w:id="72" w:name="p_68"/>
      <w:bookmarkStart w:id="73" w:name="p_69"/>
      <w:bookmarkStart w:id="74" w:name="p_70"/>
      <w:bookmarkStart w:id="75" w:name="p_71"/>
      <w:bookmarkStart w:id="76" w:name="p_72"/>
      <w:bookmarkStart w:id="77" w:name="p_73"/>
      <w:bookmarkStart w:id="78" w:name="p_74"/>
      <w:bookmarkStart w:id="79" w:name="p_75"/>
      <w:bookmarkStart w:id="80" w:name="p_77"/>
      <w:bookmarkStart w:id="81" w:name="p_78"/>
      <w:bookmarkStart w:id="82" w:name="p_800"/>
      <w:bookmarkStart w:id="83" w:name="p_79"/>
      <w:bookmarkStart w:id="84" w:name="p_81"/>
      <w:bookmarkStart w:id="85" w:name="p_82"/>
      <w:bookmarkStart w:id="86" w:name="p_83"/>
      <w:bookmarkStart w:id="87" w:name="p_84"/>
      <w:bookmarkStart w:id="88" w:name="p_85"/>
      <w:bookmarkStart w:id="89" w:name="p_900"/>
      <w:bookmarkStart w:id="90" w:name="p_86"/>
      <w:bookmarkStart w:id="91" w:name="p_87"/>
      <w:bookmarkStart w:id="92" w:name="p_1010"/>
      <w:bookmarkStart w:id="93" w:name="p_88"/>
      <w:bookmarkStart w:id="94" w:name="p_89"/>
      <w:bookmarkStart w:id="95" w:name="p_909"/>
      <w:bookmarkStart w:id="96" w:name="p_1011"/>
      <w:bookmarkStart w:id="97" w:name="p_91"/>
      <w:bookmarkStart w:id="98" w:name="p_92"/>
      <w:bookmarkStart w:id="99" w:name="p_93"/>
      <w:bookmarkStart w:id="100" w:name="p_94"/>
      <w:bookmarkStart w:id="101" w:name="p_95"/>
      <w:bookmarkStart w:id="102" w:name="p_96"/>
      <w:bookmarkStart w:id="103" w:name="p_1012"/>
      <w:bookmarkStart w:id="104" w:name="p_97"/>
      <w:bookmarkStart w:id="105" w:name="p_98"/>
      <w:bookmarkStart w:id="106" w:name="p_1013"/>
      <w:bookmarkStart w:id="107" w:name="p_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3D6A70" w:rsidRPr="00184AC7" w:rsidRDefault="003D6A70" w:rsidP="00D07FE3">
      <w:pPr>
        <w:spacing w:after="120" w:line="240" w:lineRule="exact"/>
        <w:rPr>
          <w:rFonts w:ascii="Times New Roman" w:hAnsi="Times New Roman" w:cs="Times New Roman"/>
        </w:rPr>
      </w:pPr>
    </w:p>
    <w:p w:rsidR="003D6A70" w:rsidRPr="00F27C15" w:rsidRDefault="003D6A70" w:rsidP="003D6A70">
      <w:pPr>
        <w:spacing w:line="240" w:lineRule="auto"/>
        <w:rPr>
          <w:rFonts w:ascii="Times New Roman" w:hAnsi="Times New Roman" w:cs="Times New Roman"/>
          <w:bCs/>
          <w:iCs/>
          <w:sz w:val="24"/>
          <w:szCs w:val="24"/>
          <w:lang w:eastAsia="en-US"/>
        </w:rPr>
      </w:pPr>
      <w:r w:rsidRPr="00F27C15">
        <w:rPr>
          <w:rFonts w:ascii="Times New Roman" w:hAnsi="Times New Roman" w:cs="Times New Roman"/>
          <w:bCs/>
          <w:iCs/>
          <w:sz w:val="24"/>
          <w:szCs w:val="24"/>
          <w:lang w:eastAsia="en-US"/>
        </w:rPr>
        <w:t xml:space="preserve">Генеральный директор </w:t>
      </w:r>
    </w:p>
    <w:p w:rsidR="003D6A70" w:rsidRPr="00F27C15" w:rsidRDefault="003D6A70" w:rsidP="003D6A70">
      <w:pPr>
        <w:spacing w:line="240" w:lineRule="auto"/>
        <w:rPr>
          <w:rFonts w:ascii="Times New Roman" w:hAnsi="Times New Roman" w:cs="Times New Roman"/>
          <w:bCs/>
          <w:iCs/>
          <w:sz w:val="24"/>
          <w:szCs w:val="24"/>
        </w:rPr>
      </w:pPr>
      <w:r w:rsidRPr="00F27C15">
        <w:rPr>
          <w:rFonts w:ascii="Times New Roman" w:hAnsi="Times New Roman" w:cs="Times New Roman"/>
          <w:bCs/>
          <w:iCs/>
          <w:sz w:val="24"/>
          <w:szCs w:val="24"/>
          <w:lang w:eastAsia="en-US"/>
        </w:rPr>
        <w:t xml:space="preserve">ООО «УК «Гранд-Капитал»     </w:t>
      </w:r>
      <w:r>
        <w:rPr>
          <w:rFonts w:ascii="Times New Roman" w:hAnsi="Times New Roman" w:cs="Times New Roman"/>
          <w:bCs/>
          <w:iCs/>
          <w:sz w:val="24"/>
          <w:szCs w:val="24"/>
          <w:lang w:eastAsia="en-US"/>
        </w:rPr>
        <w:t>______________________</w:t>
      </w:r>
      <w:r w:rsidRPr="00F27C15">
        <w:rPr>
          <w:rFonts w:ascii="Times New Roman" w:hAnsi="Times New Roman" w:cs="Times New Roman"/>
          <w:bCs/>
          <w:iCs/>
          <w:sz w:val="24"/>
          <w:szCs w:val="24"/>
          <w:lang w:eastAsia="en-US"/>
        </w:rPr>
        <w:t xml:space="preserve">    Абражеев Б.А.</w:t>
      </w:r>
    </w:p>
    <w:p w:rsidR="00827FE3" w:rsidRPr="00184AC7" w:rsidRDefault="00827FE3" w:rsidP="00242415">
      <w:pPr>
        <w:rPr>
          <w:rFonts w:ascii="Times New Roman" w:hAnsi="Times New Roman" w:cs="Times New Roman"/>
          <w:b/>
          <w:bCs/>
          <w:iCs/>
          <w:sz w:val="18"/>
          <w:szCs w:val="18"/>
        </w:rPr>
      </w:pPr>
    </w:p>
    <w:sectPr w:rsidR="00827FE3" w:rsidRPr="00184AC7" w:rsidSect="00B14B26">
      <w:footerReference w:type="default" r:id="rId10"/>
      <w:pgSz w:w="11906" w:h="16838"/>
      <w:pgMar w:top="851" w:right="851" w:bottom="851" w:left="1701" w:header="96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26" w:rsidRDefault="00D20E26">
      <w:pPr>
        <w:rPr>
          <w:rFonts w:ascii="Times New Roman" w:hAnsi="Times New Roman" w:cs="Times New Roman"/>
        </w:rPr>
      </w:pPr>
      <w:r>
        <w:rPr>
          <w:rFonts w:ascii="Times New Roman" w:hAnsi="Times New Roman" w:cs="Times New Roman"/>
        </w:rPr>
        <w:separator/>
      </w:r>
    </w:p>
  </w:endnote>
  <w:endnote w:type="continuationSeparator" w:id="0">
    <w:p w:rsidR="00D20E26" w:rsidRDefault="00D20E2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6" w:rsidRDefault="00B14B26">
    <w:pPr>
      <w:pStyle w:val="a5"/>
      <w:jc w:val="right"/>
    </w:pPr>
    <w:fldSimple w:instr=" PAGE   \* MERGEFORMAT ">
      <w:r w:rsidR="00391110">
        <w:rPr>
          <w:noProof/>
        </w:rPr>
        <w:t>1</w:t>
      </w:r>
    </w:fldSimple>
  </w:p>
  <w:p w:rsidR="00D456D7" w:rsidRDefault="00D456D7">
    <w:pPr>
      <w:pStyle w:val="a5"/>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26" w:rsidRDefault="00D20E26">
      <w:pPr>
        <w:rPr>
          <w:rFonts w:ascii="Times New Roman" w:hAnsi="Times New Roman" w:cs="Times New Roman"/>
        </w:rPr>
      </w:pPr>
      <w:r>
        <w:rPr>
          <w:rFonts w:ascii="Times New Roman" w:hAnsi="Times New Roman" w:cs="Times New Roman"/>
        </w:rPr>
        <w:separator/>
      </w:r>
    </w:p>
  </w:footnote>
  <w:footnote w:type="continuationSeparator" w:id="0">
    <w:p w:rsidR="00D20E26" w:rsidRDefault="00D20E2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A7311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547757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59A0CD4"/>
    <w:multiLevelType w:val="hybridMultilevel"/>
    <w:tmpl w:val="00200288"/>
    <w:lvl w:ilvl="0" w:tplc="858029D4">
      <w:start w:val="1"/>
      <w:numFmt w:val="decimal"/>
      <w:lvlText w:val="%1."/>
      <w:lvlJc w:val="left"/>
      <w:pPr>
        <w:tabs>
          <w:tab w:val="num" w:pos="1068"/>
        </w:tabs>
        <w:ind w:left="1068" w:hanging="360"/>
      </w:pPr>
      <w:rPr>
        <w:rFonts w:ascii="Times New Roman" w:hAnsi="Times New Roman" w:cs="Times New Roman" w:hint="default"/>
      </w:rPr>
    </w:lvl>
    <w:lvl w:ilvl="1" w:tplc="04190019">
      <w:start w:val="1"/>
      <w:numFmt w:val="lowerLetter"/>
      <w:lvlText w:val="%2."/>
      <w:lvlJc w:val="left"/>
      <w:pPr>
        <w:tabs>
          <w:tab w:val="num" w:pos="1788"/>
        </w:tabs>
        <w:ind w:left="1788" w:hanging="360"/>
      </w:pPr>
      <w:rPr>
        <w:rFonts w:ascii="Times New Roman" w:hAnsi="Times New Roman" w:cs="Times New Roman"/>
      </w:rPr>
    </w:lvl>
    <w:lvl w:ilvl="2" w:tplc="0419001B">
      <w:start w:val="1"/>
      <w:numFmt w:val="lowerRoman"/>
      <w:lvlText w:val="%3."/>
      <w:lvlJc w:val="right"/>
      <w:pPr>
        <w:tabs>
          <w:tab w:val="num" w:pos="2508"/>
        </w:tabs>
        <w:ind w:left="2508" w:hanging="180"/>
      </w:pPr>
      <w:rPr>
        <w:rFonts w:ascii="Times New Roman" w:hAnsi="Times New Roman" w:cs="Times New Roman"/>
      </w:rPr>
    </w:lvl>
    <w:lvl w:ilvl="3" w:tplc="0419000F">
      <w:start w:val="1"/>
      <w:numFmt w:val="decimal"/>
      <w:lvlText w:val="%4."/>
      <w:lvlJc w:val="left"/>
      <w:pPr>
        <w:tabs>
          <w:tab w:val="num" w:pos="3228"/>
        </w:tabs>
        <w:ind w:left="3228" w:hanging="360"/>
      </w:pPr>
      <w:rPr>
        <w:rFonts w:ascii="Times New Roman" w:hAnsi="Times New Roman" w:cs="Times New Roman"/>
      </w:rPr>
    </w:lvl>
    <w:lvl w:ilvl="4" w:tplc="04190019">
      <w:start w:val="1"/>
      <w:numFmt w:val="lowerLetter"/>
      <w:lvlText w:val="%5."/>
      <w:lvlJc w:val="left"/>
      <w:pPr>
        <w:tabs>
          <w:tab w:val="num" w:pos="3948"/>
        </w:tabs>
        <w:ind w:left="3948" w:hanging="360"/>
      </w:pPr>
      <w:rPr>
        <w:rFonts w:ascii="Times New Roman" w:hAnsi="Times New Roman" w:cs="Times New Roman"/>
      </w:rPr>
    </w:lvl>
    <w:lvl w:ilvl="5" w:tplc="0419001B">
      <w:start w:val="1"/>
      <w:numFmt w:val="lowerRoman"/>
      <w:lvlText w:val="%6."/>
      <w:lvlJc w:val="right"/>
      <w:pPr>
        <w:tabs>
          <w:tab w:val="num" w:pos="4668"/>
        </w:tabs>
        <w:ind w:left="4668" w:hanging="180"/>
      </w:pPr>
      <w:rPr>
        <w:rFonts w:ascii="Times New Roman" w:hAnsi="Times New Roman" w:cs="Times New Roman"/>
      </w:rPr>
    </w:lvl>
    <w:lvl w:ilvl="6" w:tplc="0419000F">
      <w:start w:val="1"/>
      <w:numFmt w:val="decimal"/>
      <w:lvlText w:val="%7."/>
      <w:lvlJc w:val="left"/>
      <w:pPr>
        <w:tabs>
          <w:tab w:val="num" w:pos="5388"/>
        </w:tabs>
        <w:ind w:left="5388" w:hanging="360"/>
      </w:pPr>
      <w:rPr>
        <w:rFonts w:ascii="Times New Roman" w:hAnsi="Times New Roman" w:cs="Times New Roman"/>
      </w:rPr>
    </w:lvl>
    <w:lvl w:ilvl="7" w:tplc="04190019">
      <w:start w:val="1"/>
      <w:numFmt w:val="lowerLetter"/>
      <w:lvlText w:val="%8."/>
      <w:lvlJc w:val="left"/>
      <w:pPr>
        <w:tabs>
          <w:tab w:val="num" w:pos="6108"/>
        </w:tabs>
        <w:ind w:left="6108" w:hanging="360"/>
      </w:pPr>
      <w:rPr>
        <w:rFonts w:ascii="Times New Roman" w:hAnsi="Times New Roman" w:cs="Times New Roman"/>
      </w:rPr>
    </w:lvl>
    <w:lvl w:ilvl="8" w:tplc="0419001B">
      <w:start w:val="1"/>
      <w:numFmt w:val="lowerRoman"/>
      <w:lvlText w:val="%9."/>
      <w:lvlJc w:val="right"/>
      <w:pPr>
        <w:tabs>
          <w:tab w:val="num" w:pos="6828"/>
        </w:tabs>
        <w:ind w:left="6828" w:hanging="180"/>
      </w:pPr>
      <w:rPr>
        <w:rFonts w:ascii="Times New Roman" w:hAnsi="Times New Roman" w:cs="Times New Roman"/>
      </w:rPr>
    </w:lvl>
  </w:abstractNum>
  <w:abstractNum w:abstractNumId="4">
    <w:nsid w:val="3CD031F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EE105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423F27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AD5321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7"/>
  </w:num>
  <w:num w:numId="4">
    <w:abstractNumId w:val="1"/>
  </w:num>
  <w:num w:numId="5">
    <w:abstractNumId w:val="6"/>
  </w:num>
  <w:num w:numId="6">
    <w:abstractNumId w:val="2"/>
  </w:num>
  <w:num w:numId="7">
    <w:abstractNumId w:val="5"/>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rsids>
    <w:rsidRoot w:val="00271CB7"/>
    <w:rsid w:val="000B233E"/>
    <w:rsid w:val="000B2BDD"/>
    <w:rsid w:val="000E6984"/>
    <w:rsid w:val="00114284"/>
    <w:rsid w:val="00122D3D"/>
    <w:rsid w:val="00122F3E"/>
    <w:rsid w:val="00143194"/>
    <w:rsid w:val="00166629"/>
    <w:rsid w:val="00184AC7"/>
    <w:rsid w:val="00187411"/>
    <w:rsid w:val="00191A47"/>
    <w:rsid w:val="00193A6D"/>
    <w:rsid w:val="00195BE4"/>
    <w:rsid w:val="001A4EFA"/>
    <w:rsid w:val="001B0C17"/>
    <w:rsid w:val="001B49BB"/>
    <w:rsid w:val="001C4FAF"/>
    <w:rsid w:val="001F6CA8"/>
    <w:rsid w:val="00203913"/>
    <w:rsid w:val="0020413D"/>
    <w:rsid w:val="002237EE"/>
    <w:rsid w:val="00242415"/>
    <w:rsid w:val="00243C3C"/>
    <w:rsid w:val="00266850"/>
    <w:rsid w:val="00271CB7"/>
    <w:rsid w:val="00283DAD"/>
    <w:rsid w:val="0029130D"/>
    <w:rsid w:val="00295FB1"/>
    <w:rsid w:val="002A2D5E"/>
    <w:rsid w:val="002E5F71"/>
    <w:rsid w:val="002F642C"/>
    <w:rsid w:val="00302F49"/>
    <w:rsid w:val="00327951"/>
    <w:rsid w:val="00332001"/>
    <w:rsid w:val="00333895"/>
    <w:rsid w:val="00354E30"/>
    <w:rsid w:val="00372216"/>
    <w:rsid w:val="00391110"/>
    <w:rsid w:val="003A3998"/>
    <w:rsid w:val="003B1116"/>
    <w:rsid w:val="003C289A"/>
    <w:rsid w:val="003D6A70"/>
    <w:rsid w:val="00431A16"/>
    <w:rsid w:val="004347D7"/>
    <w:rsid w:val="0045369C"/>
    <w:rsid w:val="004543FD"/>
    <w:rsid w:val="004579BF"/>
    <w:rsid w:val="004B1A0B"/>
    <w:rsid w:val="004C390B"/>
    <w:rsid w:val="004D7E82"/>
    <w:rsid w:val="00522E9F"/>
    <w:rsid w:val="00531F9A"/>
    <w:rsid w:val="00536752"/>
    <w:rsid w:val="005655F0"/>
    <w:rsid w:val="00595F4E"/>
    <w:rsid w:val="0059766A"/>
    <w:rsid w:val="005C0731"/>
    <w:rsid w:val="006209C5"/>
    <w:rsid w:val="006218E1"/>
    <w:rsid w:val="00622EBF"/>
    <w:rsid w:val="00641A7C"/>
    <w:rsid w:val="006637F6"/>
    <w:rsid w:val="00680D1B"/>
    <w:rsid w:val="006A2EB5"/>
    <w:rsid w:val="006B441C"/>
    <w:rsid w:val="006F2E1F"/>
    <w:rsid w:val="007A2F6F"/>
    <w:rsid w:val="007B1FC0"/>
    <w:rsid w:val="007E04CA"/>
    <w:rsid w:val="00801357"/>
    <w:rsid w:val="00827FE3"/>
    <w:rsid w:val="0086767E"/>
    <w:rsid w:val="008B57AE"/>
    <w:rsid w:val="008E3C96"/>
    <w:rsid w:val="009E6D1A"/>
    <w:rsid w:val="009F2CC8"/>
    <w:rsid w:val="00A21834"/>
    <w:rsid w:val="00A556DB"/>
    <w:rsid w:val="00A92B50"/>
    <w:rsid w:val="00AC111B"/>
    <w:rsid w:val="00AC73C4"/>
    <w:rsid w:val="00AF6DD2"/>
    <w:rsid w:val="00B04C91"/>
    <w:rsid w:val="00B14B26"/>
    <w:rsid w:val="00B3275A"/>
    <w:rsid w:val="00B5659C"/>
    <w:rsid w:val="00B80A37"/>
    <w:rsid w:val="00B851E3"/>
    <w:rsid w:val="00BA368F"/>
    <w:rsid w:val="00BC709C"/>
    <w:rsid w:val="00BD3C50"/>
    <w:rsid w:val="00C35713"/>
    <w:rsid w:val="00C43231"/>
    <w:rsid w:val="00C657B4"/>
    <w:rsid w:val="00CA6FCD"/>
    <w:rsid w:val="00CB239E"/>
    <w:rsid w:val="00CB24CF"/>
    <w:rsid w:val="00CB2847"/>
    <w:rsid w:val="00D07FE3"/>
    <w:rsid w:val="00D13754"/>
    <w:rsid w:val="00D20E26"/>
    <w:rsid w:val="00D32866"/>
    <w:rsid w:val="00D4079F"/>
    <w:rsid w:val="00D456D7"/>
    <w:rsid w:val="00D6006D"/>
    <w:rsid w:val="00D66EE7"/>
    <w:rsid w:val="00D80ED5"/>
    <w:rsid w:val="00DB63B0"/>
    <w:rsid w:val="00DC5112"/>
    <w:rsid w:val="00DD6443"/>
    <w:rsid w:val="00E31335"/>
    <w:rsid w:val="00E437EE"/>
    <w:rsid w:val="00E865E0"/>
    <w:rsid w:val="00E92554"/>
    <w:rsid w:val="00EE1A52"/>
    <w:rsid w:val="00EE4E41"/>
    <w:rsid w:val="00EF67F2"/>
    <w:rsid w:val="00F021B1"/>
    <w:rsid w:val="00F1582B"/>
    <w:rsid w:val="00F47FCC"/>
    <w:rsid w:val="00FD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E7"/>
    <w:pPr>
      <w:spacing w:line="360" w:lineRule="atLeast"/>
      <w:jc w:val="both"/>
    </w:pPr>
    <w:rPr>
      <w:rFonts w:ascii="Times New Roman CYR" w:hAnsi="Times New Roman CYR" w:cs="Times New Roman CYR"/>
      <w:sz w:val="28"/>
      <w:szCs w:val="28"/>
    </w:rPr>
  </w:style>
  <w:style w:type="paragraph" w:styleId="1">
    <w:name w:val="heading 1"/>
    <w:basedOn w:val="a"/>
    <w:next w:val="a"/>
    <w:link w:val="10"/>
    <w:uiPriority w:val="99"/>
    <w:qFormat/>
    <w:rsid w:val="00827FE3"/>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66EE7"/>
    <w:pPr>
      <w:keepNext/>
      <w:autoSpaceDE w:val="0"/>
      <w:autoSpaceDN w:val="0"/>
      <w:spacing w:line="240" w:lineRule="auto"/>
      <w:ind w:left="227"/>
      <w:jc w:val="center"/>
      <w:outlineLvl w:val="1"/>
    </w:pPr>
    <w:rPr>
      <w:rFonts w:ascii="Palatino Linotype" w:hAnsi="Palatino Linotype" w:cs="Palatino Linotype"/>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66EE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D66EE7"/>
    <w:rPr>
      <w:rFonts w:ascii="Cambria" w:eastAsia="Times New Roman" w:hAnsi="Cambria" w:cs="Times New Roman"/>
      <w:b/>
      <w:bCs/>
      <w:i/>
      <w:iCs/>
      <w:sz w:val="28"/>
      <w:szCs w:val="28"/>
    </w:rPr>
  </w:style>
  <w:style w:type="paragraph" w:styleId="a3">
    <w:name w:val="header"/>
    <w:basedOn w:val="a"/>
    <w:link w:val="a4"/>
    <w:uiPriority w:val="99"/>
    <w:rsid w:val="00D66EE7"/>
    <w:pPr>
      <w:tabs>
        <w:tab w:val="center" w:pos="4153"/>
        <w:tab w:val="right" w:pos="8306"/>
      </w:tabs>
    </w:pPr>
  </w:style>
  <w:style w:type="character" w:customStyle="1" w:styleId="a4">
    <w:name w:val="Верхний колонтитул Знак"/>
    <w:basedOn w:val="a0"/>
    <w:link w:val="a3"/>
    <w:uiPriority w:val="99"/>
    <w:semiHidden/>
    <w:locked/>
    <w:rsid w:val="00D66EE7"/>
    <w:rPr>
      <w:rFonts w:ascii="Times New Roman CYR" w:hAnsi="Times New Roman CYR" w:cs="Times New Roman CYR"/>
      <w:sz w:val="28"/>
      <w:szCs w:val="28"/>
    </w:rPr>
  </w:style>
  <w:style w:type="paragraph" w:styleId="a5">
    <w:name w:val="footer"/>
    <w:basedOn w:val="a"/>
    <w:link w:val="a6"/>
    <w:uiPriority w:val="99"/>
    <w:rsid w:val="00D66EE7"/>
    <w:pPr>
      <w:tabs>
        <w:tab w:val="center" w:pos="4153"/>
        <w:tab w:val="right" w:pos="8306"/>
      </w:tabs>
    </w:pPr>
  </w:style>
  <w:style w:type="character" w:customStyle="1" w:styleId="a6">
    <w:name w:val="Нижний колонтитул Знак"/>
    <w:basedOn w:val="a0"/>
    <w:link w:val="a5"/>
    <w:uiPriority w:val="99"/>
    <w:locked/>
    <w:rsid w:val="00D66EE7"/>
    <w:rPr>
      <w:rFonts w:ascii="Times New Roman CYR" w:hAnsi="Times New Roman CYR" w:cs="Times New Roman CYR"/>
      <w:sz w:val="28"/>
      <w:szCs w:val="28"/>
    </w:rPr>
  </w:style>
  <w:style w:type="character" w:styleId="a7">
    <w:name w:val="page number"/>
    <w:basedOn w:val="a0"/>
    <w:uiPriority w:val="99"/>
    <w:rsid w:val="00D66EE7"/>
    <w:rPr>
      <w:rFonts w:ascii="Times New Roman" w:hAnsi="Times New Roman" w:cs="Times New Roman"/>
    </w:rPr>
  </w:style>
  <w:style w:type="character" w:styleId="a8">
    <w:name w:val="footnote reference"/>
    <w:basedOn w:val="a0"/>
    <w:uiPriority w:val="99"/>
    <w:rsid w:val="00D66EE7"/>
    <w:rPr>
      <w:rFonts w:ascii="Times New Roman" w:hAnsi="Times New Roman" w:cs="Times New Roman"/>
      <w:vertAlign w:val="superscript"/>
    </w:rPr>
  </w:style>
  <w:style w:type="paragraph" w:styleId="a9">
    <w:name w:val="footnote text"/>
    <w:basedOn w:val="a"/>
    <w:link w:val="aa"/>
    <w:uiPriority w:val="99"/>
    <w:rsid w:val="00D66EE7"/>
    <w:pPr>
      <w:spacing w:line="240" w:lineRule="auto"/>
      <w:jc w:val="left"/>
    </w:pPr>
    <w:rPr>
      <w:sz w:val="20"/>
      <w:szCs w:val="20"/>
    </w:rPr>
  </w:style>
  <w:style w:type="character" w:customStyle="1" w:styleId="aa">
    <w:name w:val="Текст сноски Знак"/>
    <w:basedOn w:val="a0"/>
    <w:link w:val="a9"/>
    <w:uiPriority w:val="99"/>
    <w:semiHidden/>
    <w:locked/>
    <w:rsid w:val="00D66EE7"/>
    <w:rPr>
      <w:rFonts w:ascii="Times New Roman CYR" w:hAnsi="Times New Roman CYR" w:cs="Times New Roman CYR"/>
      <w:sz w:val="20"/>
      <w:szCs w:val="20"/>
    </w:rPr>
  </w:style>
  <w:style w:type="paragraph" w:styleId="ab">
    <w:name w:val="Balloon Text"/>
    <w:basedOn w:val="a"/>
    <w:link w:val="ac"/>
    <w:uiPriority w:val="99"/>
    <w:rsid w:val="00D66EE7"/>
    <w:rPr>
      <w:rFonts w:ascii="Tahoma" w:hAnsi="Tahoma" w:cs="Tahoma"/>
      <w:sz w:val="16"/>
      <w:szCs w:val="16"/>
    </w:rPr>
  </w:style>
  <w:style w:type="character" w:customStyle="1" w:styleId="ac">
    <w:name w:val="Текст выноски Знак"/>
    <w:basedOn w:val="a0"/>
    <w:link w:val="ab"/>
    <w:uiPriority w:val="99"/>
    <w:semiHidden/>
    <w:locked/>
    <w:rsid w:val="00D66EE7"/>
    <w:rPr>
      <w:rFonts w:ascii="Tahoma" w:hAnsi="Tahoma" w:cs="Tahoma"/>
      <w:sz w:val="16"/>
      <w:szCs w:val="16"/>
    </w:rPr>
  </w:style>
  <w:style w:type="character" w:styleId="ad">
    <w:name w:val="annotation reference"/>
    <w:basedOn w:val="a0"/>
    <w:uiPriority w:val="99"/>
    <w:rsid w:val="00D66EE7"/>
    <w:rPr>
      <w:rFonts w:ascii="Times New Roman" w:hAnsi="Times New Roman" w:cs="Times New Roman"/>
      <w:sz w:val="16"/>
      <w:szCs w:val="16"/>
    </w:rPr>
  </w:style>
  <w:style w:type="paragraph" w:styleId="ae">
    <w:name w:val="annotation text"/>
    <w:basedOn w:val="a"/>
    <w:link w:val="af"/>
    <w:uiPriority w:val="99"/>
    <w:rsid w:val="00D66EE7"/>
    <w:rPr>
      <w:sz w:val="20"/>
      <w:szCs w:val="20"/>
    </w:rPr>
  </w:style>
  <w:style w:type="character" w:customStyle="1" w:styleId="af">
    <w:name w:val="Текст примечания Знак"/>
    <w:basedOn w:val="a0"/>
    <w:link w:val="ae"/>
    <w:uiPriority w:val="99"/>
    <w:semiHidden/>
    <w:locked/>
    <w:rsid w:val="00D66EE7"/>
    <w:rPr>
      <w:rFonts w:ascii="Times New Roman CYR" w:hAnsi="Times New Roman CYR" w:cs="Times New Roman CYR"/>
      <w:sz w:val="20"/>
      <w:szCs w:val="20"/>
    </w:rPr>
  </w:style>
  <w:style w:type="paragraph" w:styleId="af0">
    <w:name w:val="annotation subject"/>
    <w:basedOn w:val="ae"/>
    <w:next w:val="ae"/>
    <w:link w:val="af1"/>
    <w:uiPriority w:val="99"/>
    <w:rsid w:val="00D66EE7"/>
    <w:rPr>
      <w:b/>
      <w:bCs/>
    </w:rPr>
  </w:style>
  <w:style w:type="character" w:customStyle="1" w:styleId="af1">
    <w:name w:val="Тема примечания Знак"/>
    <w:basedOn w:val="af"/>
    <w:link w:val="af0"/>
    <w:uiPriority w:val="99"/>
    <w:semiHidden/>
    <w:locked/>
    <w:rsid w:val="00D66EE7"/>
    <w:rPr>
      <w:b/>
      <w:bCs/>
    </w:rPr>
  </w:style>
  <w:style w:type="paragraph" w:customStyle="1" w:styleId="ConsNormal">
    <w:name w:val="ConsNormal"/>
    <w:uiPriority w:val="99"/>
    <w:rsid w:val="00D66EE7"/>
    <w:pPr>
      <w:widowControl w:val="0"/>
      <w:ind w:firstLine="720"/>
    </w:pPr>
    <w:rPr>
      <w:rFonts w:ascii="Arial" w:hAnsi="Arial" w:cs="Arial"/>
      <w:lang w:eastAsia="en-US"/>
    </w:rPr>
  </w:style>
  <w:style w:type="paragraph" w:customStyle="1" w:styleId="ConsPlusNormal">
    <w:name w:val="ConsPlusNormal"/>
    <w:rsid w:val="00D66EE7"/>
    <w:pPr>
      <w:widowControl w:val="0"/>
      <w:autoSpaceDE w:val="0"/>
      <w:autoSpaceDN w:val="0"/>
      <w:adjustRightInd w:val="0"/>
      <w:ind w:firstLine="720"/>
    </w:pPr>
    <w:rPr>
      <w:rFonts w:ascii="Arial" w:eastAsia="SimSun" w:hAnsi="Arial" w:cs="Arial"/>
      <w:lang w:eastAsia="zh-CN"/>
    </w:rPr>
  </w:style>
  <w:style w:type="paragraph" w:styleId="af2">
    <w:name w:val="Block Text"/>
    <w:basedOn w:val="a"/>
    <w:uiPriority w:val="99"/>
    <w:rsid w:val="00D66EE7"/>
    <w:pPr>
      <w:spacing w:line="240" w:lineRule="auto"/>
      <w:ind w:left="-630" w:right="-691" w:firstLine="720"/>
    </w:pPr>
    <w:rPr>
      <w:sz w:val="22"/>
      <w:szCs w:val="22"/>
      <w:lang w:eastAsia="en-US"/>
    </w:rPr>
  </w:style>
  <w:style w:type="paragraph" w:customStyle="1" w:styleId="BodyNum">
    <w:name w:val="Body Num"/>
    <w:basedOn w:val="a"/>
    <w:uiPriority w:val="99"/>
    <w:rsid w:val="00D66EE7"/>
    <w:pPr>
      <w:spacing w:after="120" w:line="240" w:lineRule="auto"/>
    </w:pPr>
    <w:rPr>
      <w:sz w:val="24"/>
      <w:szCs w:val="24"/>
      <w:lang w:eastAsia="en-US"/>
    </w:rPr>
  </w:style>
  <w:style w:type="paragraph" w:styleId="11">
    <w:name w:val="toc 1"/>
    <w:basedOn w:val="a"/>
    <w:next w:val="a"/>
    <w:autoRedefine/>
    <w:uiPriority w:val="99"/>
    <w:rsid w:val="00D66EE7"/>
  </w:style>
  <w:style w:type="paragraph" w:styleId="21">
    <w:name w:val="Body Text Indent 2"/>
    <w:basedOn w:val="a"/>
    <w:link w:val="22"/>
    <w:uiPriority w:val="99"/>
    <w:rsid w:val="00D66EE7"/>
    <w:pPr>
      <w:spacing w:line="240" w:lineRule="auto"/>
      <w:ind w:firstLine="709"/>
      <w:jc w:val="center"/>
    </w:pPr>
    <w:rPr>
      <w:sz w:val="22"/>
      <w:szCs w:val="22"/>
    </w:rPr>
  </w:style>
  <w:style w:type="character" w:customStyle="1" w:styleId="22">
    <w:name w:val="Основной текст с отступом 2 Знак"/>
    <w:basedOn w:val="a0"/>
    <w:link w:val="21"/>
    <w:uiPriority w:val="99"/>
    <w:locked/>
    <w:rsid w:val="00D66EE7"/>
    <w:rPr>
      <w:rFonts w:ascii="Times New Roman CYR" w:hAnsi="Times New Roman CYR" w:cs="Times New Roman CYR"/>
      <w:sz w:val="28"/>
      <w:szCs w:val="28"/>
    </w:rPr>
  </w:style>
  <w:style w:type="paragraph" w:styleId="af3">
    <w:name w:val="Body Text"/>
    <w:basedOn w:val="a"/>
    <w:link w:val="af4"/>
    <w:uiPriority w:val="99"/>
    <w:rsid w:val="00D66EE7"/>
    <w:pPr>
      <w:spacing w:line="240" w:lineRule="auto"/>
    </w:pPr>
    <w:rPr>
      <w:rFonts w:ascii="Arial" w:hAnsi="Arial" w:cs="Arial"/>
      <w:sz w:val="18"/>
      <w:szCs w:val="18"/>
    </w:rPr>
  </w:style>
  <w:style w:type="character" w:customStyle="1" w:styleId="af4">
    <w:name w:val="Основной текст Знак"/>
    <w:basedOn w:val="a0"/>
    <w:link w:val="af3"/>
    <w:uiPriority w:val="99"/>
    <w:semiHidden/>
    <w:locked/>
    <w:rsid w:val="00D66EE7"/>
    <w:rPr>
      <w:rFonts w:ascii="Times New Roman CYR" w:hAnsi="Times New Roman CYR" w:cs="Times New Roman CYR"/>
      <w:sz w:val="28"/>
      <w:szCs w:val="28"/>
    </w:rPr>
  </w:style>
  <w:style w:type="paragraph" w:customStyle="1" w:styleId="BlockTextArial">
    <w:name w:val="Block Text + Arial"/>
    <w:aliases w:val="9 pt,Left:  0 cm,First line:  1.25 cm,Right:  0 cm,Af..."/>
    <w:basedOn w:val="a"/>
    <w:uiPriority w:val="99"/>
    <w:rsid w:val="00D80ED5"/>
    <w:pPr>
      <w:autoSpaceDE w:val="0"/>
      <w:autoSpaceDN w:val="0"/>
      <w:adjustRightInd w:val="0"/>
      <w:spacing w:line="240" w:lineRule="auto"/>
      <w:ind w:firstLine="540"/>
    </w:pPr>
    <w:rPr>
      <w:rFonts w:ascii="Arial" w:hAnsi="Arial" w:cs="Arial"/>
      <w:sz w:val="18"/>
      <w:szCs w:val="18"/>
    </w:rPr>
  </w:style>
  <w:style w:type="paragraph" w:customStyle="1" w:styleId="ConsPlusNonformat">
    <w:name w:val="ConsPlusNonformat"/>
    <w:uiPriority w:val="99"/>
    <w:rsid w:val="00D80ED5"/>
    <w:pPr>
      <w:autoSpaceDE w:val="0"/>
      <w:autoSpaceDN w:val="0"/>
      <w:adjustRightInd w:val="0"/>
    </w:pPr>
    <w:rPr>
      <w:rFonts w:ascii="Courier New" w:hAnsi="Courier New" w:cs="Courier New"/>
    </w:rPr>
  </w:style>
  <w:style w:type="character" w:styleId="af5">
    <w:name w:val="Hyperlink"/>
    <w:basedOn w:val="a0"/>
    <w:uiPriority w:val="99"/>
    <w:rsid w:val="00D80ED5"/>
    <w:rPr>
      <w:rFonts w:cs="Times New Roman"/>
      <w:color w:val="0000FF"/>
      <w:u w:val="single"/>
    </w:rPr>
  </w:style>
  <w:style w:type="paragraph" w:styleId="af6">
    <w:name w:val="Plain Text"/>
    <w:basedOn w:val="a"/>
    <w:link w:val="af7"/>
    <w:uiPriority w:val="99"/>
    <w:rsid w:val="00827FE3"/>
    <w:pPr>
      <w:spacing w:line="240" w:lineRule="auto"/>
      <w:jc w:val="left"/>
    </w:pPr>
    <w:rPr>
      <w:rFonts w:ascii="Courier New" w:hAnsi="Courier New" w:cs="Courier New"/>
      <w:sz w:val="20"/>
      <w:szCs w:val="20"/>
      <w:lang w:val="en-US" w:eastAsia="en-US"/>
    </w:rPr>
  </w:style>
  <w:style w:type="character" w:customStyle="1" w:styleId="af7">
    <w:name w:val="Текст Знак"/>
    <w:basedOn w:val="a0"/>
    <w:link w:val="af6"/>
    <w:uiPriority w:val="99"/>
    <w:semiHidden/>
    <w:locked/>
    <w:rsid w:val="00D66EE7"/>
    <w:rPr>
      <w:rFonts w:ascii="Courier New" w:hAnsi="Courier New" w:cs="Courier New"/>
      <w:sz w:val="20"/>
      <w:szCs w:val="20"/>
    </w:rPr>
  </w:style>
  <w:style w:type="paragraph" w:styleId="af8">
    <w:name w:val="Revision"/>
    <w:hidden/>
    <w:uiPriority w:val="99"/>
    <w:semiHidden/>
    <w:rsid w:val="009F2CC8"/>
    <w:rPr>
      <w:rFonts w:ascii="Times New Roman CYR" w:hAnsi="Times New Roman CYR" w:cs="Times New Roman CYR"/>
      <w:sz w:val="28"/>
      <w:szCs w:val="28"/>
    </w:rPr>
  </w:style>
</w:styles>
</file>

<file path=word/webSettings.xml><?xml version="1.0" encoding="utf-8"?>
<w:webSettings xmlns:r="http://schemas.openxmlformats.org/officeDocument/2006/relationships" xmlns:w="http://schemas.openxmlformats.org/wordprocessingml/2006/main">
  <w:divs>
    <w:div w:id="1790322112">
      <w:marLeft w:val="0"/>
      <w:marRight w:val="0"/>
      <w:marTop w:val="0"/>
      <w:marBottom w:val="0"/>
      <w:divBdr>
        <w:top w:val="none" w:sz="0" w:space="0" w:color="auto"/>
        <w:left w:val="none" w:sz="0" w:space="0" w:color="auto"/>
        <w:bottom w:val="none" w:sz="0" w:space="0" w:color="auto"/>
        <w:right w:val="none" w:sz="0" w:space="0" w:color="auto"/>
      </w:divBdr>
    </w:div>
    <w:div w:id="1790322113">
      <w:marLeft w:val="0"/>
      <w:marRight w:val="0"/>
      <w:marTop w:val="0"/>
      <w:marBottom w:val="0"/>
      <w:divBdr>
        <w:top w:val="none" w:sz="0" w:space="0" w:color="auto"/>
        <w:left w:val="none" w:sz="0" w:space="0" w:color="auto"/>
        <w:bottom w:val="none" w:sz="0" w:space="0" w:color="auto"/>
        <w:right w:val="none" w:sz="0" w:space="0" w:color="auto"/>
      </w:divBdr>
    </w:div>
    <w:div w:id="1790322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002_вступают в силу с 08.04.14</Статус_x0020_документа>
    <_EndDate xmlns="http://schemas.microsoft.com/sharepoint/v3/fields">2014-02-06T20:00:00+00:00</_EndDate>
  </documentManagement>
</p:properties>
</file>

<file path=customXml/itemProps1.xml><?xml version="1.0" encoding="utf-8"?>
<ds:datastoreItem xmlns:ds="http://schemas.openxmlformats.org/officeDocument/2006/customXml" ds:itemID="{50D4B05E-5009-4159-B665-3D101D3BAA30}"/>
</file>

<file path=customXml/itemProps2.xml><?xml version="1.0" encoding="utf-8"?>
<ds:datastoreItem xmlns:ds="http://schemas.openxmlformats.org/officeDocument/2006/customXml" ds:itemID="{BF2D26C3-9B08-44A6-98AC-CEBA9BD718FD}"/>
</file>

<file path=customXml/itemProps3.xml><?xml version="1.0" encoding="utf-8"?>
<ds:datastoreItem xmlns:ds="http://schemas.openxmlformats.org/officeDocument/2006/customXml" ds:itemID="{0AEA7CAA-B9F5-4BD4-954A-3BE8E77A2085}"/>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4679</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ИЗМЕНЕНИЯ</vt:lpstr>
    </vt:vector>
  </TitlesOfParts>
  <Company>3D</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dc:title>
  <dc:subject/>
  <dc:creator>Oleg B. Goranskiy</dc:creator>
  <cp:keywords/>
  <cp:lastModifiedBy>malyhina</cp:lastModifiedBy>
  <cp:revision>2</cp:revision>
  <cp:lastPrinted>2013-12-18T14:03:00Z</cp:lastPrinted>
  <dcterms:created xsi:type="dcterms:W3CDTF">2014-02-12T08:55:00Z</dcterms:created>
  <dcterms:modified xsi:type="dcterms:W3CDTF">2014-02-12T08:55:00Z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