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02" w:rsidRDefault="00632502" w:rsidP="00632502">
      <w:pPr>
        <w:ind w:right="288"/>
        <w:jc w:val="right"/>
        <w:rPr>
          <w:b/>
          <w:lang w:val="ru-RU"/>
        </w:rPr>
      </w:pPr>
    </w:p>
    <w:p w:rsidR="00632502" w:rsidRPr="00FC4477" w:rsidRDefault="00632502" w:rsidP="00632502">
      <w:pPr>
        <w:ind w:right="288"/>
        <w:jc w:val="right"/>
        <w:rPr>
          <w:b/>
          <w:sz w:val="20"/>
          <w:szCs w:val="20"/>
          <w:lang w:val="ru-RU"/>
        </w:rPr>
      </w:pPr>
      <w:r w:rsidRPr="00FC4477">
        <w:rPr>
          <w:b/>
          <w:lang w:val="ru-RU"/>
        </w:rPr>
        <w:t xml:space="preserve">Утверждены </w:t>
      </w:r>
      <w:r w:rsidRPr="00FC4477">
        <w:rPr>
          <w:b/>
          <w:sz w:val="20"/>
          <w:szCs w:val="20"/>
          <w:lang w:val="ru-RU"/>
        </w:rPr>
        <w:t xml:space="preserve">  </w:t>
      </w:r>
    </w:p>
    <w:p w:rsidR="00632502" w:rsidRPr="006E6EF6" w:rsidRDefault="00632502" w:rsidP="00632502">
      <w:pPr>
        <w:ind w:right="288"/>
        <w:jc w:val="right"/>
        <w:rPr>
          <w:sz w:val="22"/>
          <w:szCs w:val="22"/>
          <w:lang w:val="ru-RU"/>
        </w:rPr>
      </w:pPr>
      <w:r>
        <w:rPr>
          <w:sz w:val="22"/>
          <w:szCs w:val="22"/>
          <w:lang w:val="ru-RU"/>
        </w:rPr>
        <w:t>решением О</w:t>
      </w:r>
      <w:r w:rsidRPr="006E6EF6">
        <w:rPr>
          <w:sz w:val="22"/>
          <w:szCs w:val="22"/>
          <w:lang w:val="ru-RU"/>
        </w:rPr>
        <w:t xml:space="preserve">бщего собрания </w:t>
      </w:r>
    </w:p>
    <w:p w:rsidR="00632502" w:rsidRPr="006E6EF6" w:rsidRDefault="00632502" w:rsidP="00632502">
      <w:pPr>
        <w:ind w:right="288"/>
        <w:jc w:val="right"/>
        <w:rPr>
          <w:sz w:val="22"/>
          <w:szCs w:val="22"/>
          <w:lang w:val="ru-RU"/>
        </w:rPr>
      </w:pPr>
      <w:r w:rsidRPr="006E6EF6">
        <w:rPr>
          <w:sz w:val="22"/>
          <w:szCs w:val="22"/>
          <w:lang w:val="ru-RU"/>
        </w:rPr>
        <w:t xml:space="preserve">владельцев инвестиционных паев </w:t>
      </w:r>
    </w:p>
    <w:p w:rsidR="00632502" w:rsidRDefault="00632502" w:rsidP="00632502">
      <w:pPr>
        <w:ind w:right="288"/>
        <w:jc w:val="right"/>
        <w:rPr>
          <w:sz w:val="22"/>
          <w:szCs w:val="22"/>
          <w:lang w:val="ru-RU"/>
        </w:rPr>
      </w:pPr>
      <w:r>
        <w:rPr>
          <w:sz w:val="22"/>
          <w:szCs w:val="22"/>
          <w:lang w:val="ru-RU"/>
        </w:rPr>
        <w:t>Фонда – протокол №3 от 10.01.2019</w:t>
      </w:r>
      <w:r w:rsidRPr="006E6EF6">
        <w:rPr>
          <w:sz w:val="22"/>
          <w:szCs w:val="22"/>
          <w:lang w:val="ru-RU"/>
        </w:rPr>
        <w:t xml:space="preserve"> года</w:t>
      </w:r>
    </w:p>
    <w:p w:rsidR="00632502" w:rsidRDefault="00632502" w:rsidP="00632502">
      <w:pPr>
        <w:ind w:right="288"/>
        <w:jc w:val="right"/>
        <w:rPr>
          <w:sz w:val="22"/>
          <w:szCs w:val="22"/>
          <w:lang w:val="ru-RU"/>
        </w:rPr>
      </w:pPr>
    </w:p>
    <w:p w:rsidR="00632502" w:rsidRDefault="00632502" w:rsidP="00632502">
      <w:pPr>
        <w:ind w:right="288"/>
        <w:jc w:val="right"/>
        <w:rPr>
          <w:sz w:val="22"/>
          <w:szCs w:val="22"/>
          <w:lang w:val="ru-RU"/>
        </w:rPr>
      </w:pPr>
    </w:p>
    <w:p w:rsidR="00632502" w:rsidRPr="006E6EF6" w:rsidRDefault="00632502" w:rsidP="00632502">
      <w:pPr>
        <w:ind w:right="288"/>
        <w:jc w:val="right"/>
        <w:rPr>
          <w:sz w:val="22"/>
          <w:szCs w:val="22"/>
          <w:lang w:val="ru-RU"/>
        </w:rPr>
      </w:pPr>
    </w:p>
    <w:p w:rsidR="00632502" w:rsidRDefault="00632502" w:rsidP="00632502">
      <w:pPr>
        <w:pStyle w:val="a5"/>
        <w:tabs>
          <w:tab w:val="clear" w:pos="4153"/>
          <w:tab w:val="clear" w:pos="8306"/>
        </w:tabs>
        <w:jc w:val="center"/>
        <w:rPr>
          <w:b/>
          <w:bCs/>
          <w:sz w:val="22"/>
          <w:szCs w:val="22"/>
          <w:lang w:val="ru-RU"/>
        </w:rPr>
      </w:pPr>
      <w:r w:rsidRPr="00836D7F">
        <w:rPr>
          <w:b/>
          <w:bCs/>
          <w:sz w:val="22"/>
          <w:szCs w:val="22"/>
          <w:lang w:val="ru-RU"/>
        </w:rPr>
        <w:t xml:space="preserve">Изменения </w:t>
      </w:r>
      <w:r>
        <w:rPr>
          <w:b/>
          <w:bCs/>
          <w:sz w:val="22"/>
          <w:szCs w:val="22"/>
          <w:lang w:val="ru-RU"/>
        </w:rPr>
        <w:t xml:space="preserve"> и дополнения №7 </w:t>
      </w:r>
      <w:r w:rsidRPr="00836D7F">
        <w:rPr>
          <w:b/>
          <w:bCs/>
          <w:sz w:val="22"/>
          <w:szCs w:val="22"/>
          <w:lang w:val="ru-RU"/>
        </w:rPr>
        <w:t>в Правила доверительного управления</w:t>
      </w:r>
      <w:r w:rsidRPr="00836D7F">
        <w:rPr>
          <w:b/>
          <w:bCs/>
          <w:sz w:val="22"/>
          <w:szCs w:val="22"/>
          <w:lang w:val="ru-RU"/>
        </w:rPr>
        <w:br/>
        <w:t xml:space="preserve"> Закрытым паевым инвестиционным</w:t>
      </w:r>
      <w:r>
        <w:rPr>
          <w:b/>
          <w:bCs/>
          <w:sz w:val="22"/>
          <w:szCs w:val="22"/>
          <w:lang w:val="ru-RU"/>
        </w:rPr>
        <w:t xml:space="preserve"> фондом недвижимости «Сити-Капитал</w:t>
      </w:r>
      <w:r w:rsidRPr="00836D7F">
        <w:rPr>
          <w:b/>
          <w:bCs/>
          <w:sz w:val="22"/>
          <w:szCs w:val="22"/>
          <w:lang w:val="ru-RU"/>
        </w:rPr>
        <w:t xml:space="preserve">» </w:t>
      </w:r>
      <w:r w:rsidRPr="00836D7F">
        <w:rPr>
          <w:b/>
          <w:bCs/>
          <w:sz w:val="22"/>
          <w:szCs w:val="22"/>
          <w:lang w:val="ru-RU"/>
        </w:rPr>
        <w:br/>
        <w:t xml:space="preserve">под управлением </w:t>
      </w:r>
      <w:r>
        <w:rPr>
          <w:b/>
          <w:bCs/>
          <w:sz w:val="22"/>
          <w:szCs w:val="22"/>
          <w:lang w:val="ru-RU"/>
        </w:rPr>
        <w:t>А</w:t>
      </w:r>
      <w:r w:rsidRPr="002C48CA">
        <w:rPr>
          <w:b/>
          <w:bCs/>
          <w:sz w:val="22"/>
          <w:szCs w:val="22"/>
          <w:lang w:val="ru-RU"/>
        </w:rPr>
        <w:t>кционерного общества</w:t>
      </w:r>
      <w:r w:rsidRPr="002C48CA">
        <w:rPr>
          <w:bCs/>
          <w:lang w:val="ru-RU"/>
        </w:rPr>
        <w:t xml:space="preserve"> </w:t>
      </w:r>
      <w:r w:rsidRPr="00836D7F">
        <w:rPr>
          <w:b/>
          <w:bCs/>
          <w:sz w:val="22"/>
          <w:szCs w:val="22"/>
          <w:lang w:val="ru-RU"/>
        </w:rPr>
        <w:t xml:space="preserve"> «Управляющая компания «ИНВЕСТСТРОЙ»</w:t>
      </w:r>
      <w:r>
        <w:rPr>
          <w:b/>
          <w:bCs/>
          <w:sz w:val="22"/>
          <w:szCs w:val="22"/>
          <w:lang w:val="ru-RU"/>
        </w:rPr>
        <w:t xml:space="preserve"> </w:t>
      </w:r>
    </w:p>
    <w:p w:rsidR="00632502" w:rsidRPr="00B8063C" w:rsidRDefault="00632502" w:rsidP="00632502">
      <w:pPr>
        <w:pStyle w:val="a5"/>
        <w:tabs>
          <w:tab w:val="clear" w:pos="4153"/>
          <w:tab w:val="clear" w:pos="8306"/>
        </w:tabs>
        <w:jc w:val="center"/>
        <w:rPr>
          <w:b/>
          <w:bCs/>
          <w:sz w:val="22"/>
          <w:szCs w:val="22"/>
          <w:lang w:val="ru-RU"/>
        </w:rPr>
      </w:pPr>
      <w:r>
        <w:rPr>
          <w:bCs/>
          <w:sz w:val="22"/>
          <w:szCs w:val="22"/>
          <w:lang w:val="ru-RU"/>
        </w:rPr>
        <w:t>(далее – Правила Ф</w:t>
      </w:r>
      <w:r w:rsidRPr="002C48CA">
        <w:rPr>
          <w:bCs/>
          <w:sz w:val="22"/>
          <w:szCs w:val="22"/>
          <w:lang w:val="ru-RU"/>
        </w:rPr>
        <w:t>онда)</w:t>
      </w:r>
      <w:r w:rsidRPr="00836D7F">
        <w:rPr>
          <w:b/>
          <w:bCs/>
          <w:sz w:val="22"/>
          <w:szCs w:val="22"/>
          <w:lang w:val="ru-RU"/>
        </w:rPr>
        <w:br/>
      </w:r>
      <w:r w:rsidRPr="00F9592F">
        <w:rPr>
          <w:lang w:val="ru-RU"/>
        </w:rPr>
        <w:t>(Пра</w:t>
      </w:r>
      <w:r>
        <w:rPr>
          <w:lang w:val="ru-RU"/>
        </w:rPr>
        <w:t>вила доверительного управления Ф</w:t>
      </w:r>
      <w:r w:rsidRPr="00F9592F">
        <w:rPr>
          <w:lang w:val="ru-RU"/>
        </w:rPr>
        <w:t xml:space="preserve">ондом </w:t>
      </w:r>
      <w:r w:rsidRPr="00D22559">
        <w:rPr>
          <w:lang w:val="ru-RU"/>
        </w:rPr>
        <w:t xml:space="preserve">зарегистрированы ФСФР </w:t>
      </w:r>
      <w:r w:rsidRPr="00AD2F91">
        <w:rPr>
          <w:lang w:val="ru-RU"/>
        </w:rPr>
        <w:t xml:space="preserve">России  23 августа </w:t>
      </w:r>
      <w:smartTag w:uri="urn:schemas-microsoft-com:office:smarttags" w:element="metricconverter">
        <w:smartTagPr>
          <w:attr w:name="ProductID" w:val="2012 г"/>
        </w:smartTagPr>
        <w:r w:rsidRPr="00AD2F91">
          <w:rPr>
            <w:lang w:val="ru-RU"/>
          </w:rPr>
          <w:t>2012 г</w:t>
        </w:r>
      </w:smartTag>
      <w:r w:rsidRPr="00AD2F91">
        <w:rPr>
          <w:lang w:val="ru-RU"/>
        </w:rPr>
        <w:t>. №2418)</w:t>
      </w:r>
    </w:p>
    <w:p w:rsidR="00632502" w:rsidRDefault="00632502" w:rsidP="00632502">
      <w:pPr>
        <w:pStyle w:val="a5"/>
        <w:tabs>
          <w:tab w:val="clear" w:pos="4153"/>
          <w:tab w:val="clear" w:pos="8306"/>
        </w:tabs>
        <w:rPr>
          <w:sz w:val="22"/>
          <w:szCs w:val="22"/>
          <w:lang w:val="ru-RU"/>
        </w:rPr>
      </w:pPr>
    </w:p>
    <w:p w:rsidR="00632502" w:rsidRDefault="00632502" w:rsidP="00632502">
      <w:pPr>
        <w:pStyle w:val="a5"/>
        <w:tabs>
          <w:tab w:val="clear" w:pos="4153"/>
          <w:tab w:val="clear" w:pos="8306"/>
        </w:tabs>
        <w:rPr>
          <w:b/>
          <w:bCs/>
          <w:sz w:val="22"/>
          <w:szCs w:val="22"/>
          <w:lang w:val="ru-RU"/>
        </w:rPr>
      </w:pPr>
    </w:p>
    <w:p w:rsidR="00632502" w:rsidRDefault="00632502" w:rsidP="00632502">
      <w:pPr>
        <w:pStyle w:val="a3"/>
        <w:numPr>
          <w:ilvl w:val="0"/>
          <w:numId w:val="1"/>
        </w:numPr>
        <w:rPr>
          <w:sz w:val="20"/>
          <w:szCs w:val="20"/>
        </w:rPr>
      </w:pPr>
      <w:r>
        <w:t>Изложить пункт 36</w:t>
      </w:r>
      <w:r w:rsidRPr="00F2166B">
        <w:t xml:space="preserve"> Правил Фонда в новой редакции</w:t>
      </w:r>
      <w:r w:rsidRPr="005D1573">
        <w:rPr>
          <w:sz w:val="20"/>
          <w:szCs w:val="20"/>
        </w:rPr>
        <w:t>:</w:t>
      </w:r>
    </w:p>
    <w:p w:rsidR="00632502" w:rsidRDefault="00632502" w:rsidP="00632502">
      <w:pPr>
        <w:pStyle w:val="a3"/>
        <w:ind w:left="708"/>
        <w:rPr>
          <w:sz w:val="20"/>
          <w:szCs w:val="20"/>
        </w:rPr>
      </w:pPr>
    </w:p>
    <w:tbl>
      <w:tblPr>
        <w:tblStyle w:val="a7"/>
        <w:tblW w:w="9204" w:type="dxa"/>
        <w:tblInd w:w="-72" w:type="dxa"/>
        <w:tblLook w:val="01E0"/>
      </w:tblPr>
      <w:tblGrid>
        <w:gridCol w:w="4603"/>
        <w:gridCol w:w="4601"/>
      </w:tblGrid>
      <w:tr w:rsidR="00632502" w:rsidRPr="00D06454" w:rsidTr="00746887">
        <w:tc>
          <w:tcPr>
            <w:tcW w:w="4603" w:type="dxa"/>
          </w:tcPr>
          <w:p w:rsidR="00632502" w:rsidRPr="00D06454" w:rsidRDefault="00632502" w:rsidP="00746887">
            <w:pPr>
              <w:jc w:val="center"/>
              <w:rPr>
                <w:b/>
                <w:bCs/>
                <w:sz w:val="20"/>
                <w:szCs w:val="20"/>
              </w:rPr>
            </w:pPr>
            <w:r w:rsidRPr="00D06454">
              <w:rPr>
                <w:b/>
                <w:bCs/>
                <w:sz w:val="20"/>
                <w:szCs w:val="20"/>
              </w:rPr>
              <w:t>Старая редакция:</w:t>
            </w:r>
          </w:p>
        </w:tc>
        <w:tc>
          <w:tcPr>
            <w:tcW w:w="4601" w:type="dxa"/>
          </w:tcPr>
          <w:p w:rsidR="00632502" w:rsidRPr="00D06454" w:rsidRDefault="00632502" w:rsidP="00746887">
            <w:pPr>
              <w:jc w:val="center"/>
              <w:rPr>
                <w:b/>
                <w:bCs/>
                <w:sz w:val="20"/>
                <w:szCs w:val="20"/>
              </w:rPr>
            </w:pPr>
            <w:r w:rsidRPr="00D06454">
              <w:rPr>
                <w:b/>
                <w:bCs/>
                <w:sz w:val="20"/>
                <w:szCs w:val="20"/>
              </w:rPr>
              <w:t>Новая редакция:</w:t>
            </w:r>
          </w:p>
        </w:tc>
      </w:tr>
      <w:tr w:rsidR="00632502" w:rsidRPr="00553482" w:rsidTr="00746887">
        <w:tc>
          <w:tcPr>
            <w:tcW w:w="4603" w:type="dxa"/>
          </w:tcPr>
          <w:p w:rsidR="00632502" w:rsidRPr="00632502" w:rsidRDefault="00632502" w:rsidP="00632502">
            <w:pPr>
              <w:widowControl w:val="0"/>
              <w:autoSpaceDE w:val="0"/>
              <w:autoSpaceDN w:val="0"/>
              <w:adjustRightInd w:val="0"/>
              <w:spacing w:before="20" w:line="228" w:lineRule="auto"/>
              <w:jc w:val="both"/>
              <w:rPr>
                <w:sz w:val="22"/>
                <w:szCs w:val="22"/>
                <w:lang w:val="ru-RU"/>
              </w:rPr>
            </w:pPr>
            <w:r w:rsidRPr="00632502">
              <w:rPr>
                <w:sz w:val="22"/>
                <w:szCs w:val="22"/>
                <w:lang w:val="ru-RU"/>
              </w:rPr>
              <w:t xml:space="preserve">36. Инвестиционный пай является именной ценной бумагой, удостоверяющей: </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1) долю его владельца в праве собственности на имущество, составляющее Фонд;</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2) право требовать от Управляющей компании надлежащего доверительного управления Фондом;</w:t>
            </w:r>
          </w:p>
          <w:p w:rsidR="00632502" w:rsidRPr="00632502" w:rsidRDefault="00632502" w:rsidP="00632502">
            <w:pPr>
              <w:widowControl w:val="0"/>
              <w:tabs>
                <w:tab w:val="left" w:pos="0"/>
                <w:tab w:val="left" w:pos="927"/>
              </w:tabs>
              <w:autoSpaceDE w:val="0"/>
              <w:autoSpaceDN w:val="0"/>
              <w:adjustRightInd w:val="0"/>
              <w:spacing w:before="20" w:line="228" w:lineRule="auto"/>
              <w:jc w:val="both"/>
              <w:rPr>
                <w:sz w:val="22"/>
                <w:szCs w:val="22"/>
                <w:lang w:val="ru-RU"/>
              </w:rPr>
            </w:pPr>
            <w:r w:rsidRPr="00632502">
              <w:rPr>
                <w:sz w:val="22"/>
                <w:szCs w:val="22"/>
                <w:lang w:val="ru-RU"/>
              </w:rPr>
              <w:t>3) право на участие в общем собрании владельцев инвестиционных паев;</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4) право владельцев инвестиционных паев на получение дохода по инвестиционному паю.</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 xml:space="preserve">Доход по инвестиционному паю выплачивается владельцам инвестиционных паев по итогам отчетного периода. </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Доход по инвестиционному паю за отчетный период, в котором завершено (окончено) формирование Фонда, не выплачивается.</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Доход по инвестиционным паям Фонда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осуществляется в течение 90 дней со дня окончания отчетного периода.</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Размер дохода по инвестиционным паям принимается равным сумме составляющей 95% от суммы остатков по всем расчетным банковским счетам Фонда, рассчитанной на последний рабочий день отчетного периода.</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 xml:space="preserve">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 </w:t>
            </w:r>
          </w:p>
          <w:p w:rsidR="00632502" w:rsidRPr="00632502" w:rsidRDefault="00632502" w:rsidP="00632502">
            <w:pPr>
              <w:jc w:val="both"/>
              <w:rPr>
                <w:sz w:val="22"/>
                <w:szCs w:val="22"/>
                <w:lang w:val="ru-RU"/>
              </w:rPr>
            </w:pPr>
            <w:r w:rsidRPr="00632502">
              <w:rPr>
                <w:sz w:val="22"/>
                <w:szCs w:val="22"/>
                <w:lang w:val="ru-RU"/>
              </w:rPr>
              <w:lastRenderedPageBreak/>
              <w:t>Выплата дохода осуществляется денежными средствами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Под отчетным периодом понимается календарный месяц.</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632502" w:rsidRPr="00DF1672" w:rsidRDefault="00632502" w:rsidP="00632502">
            <w:pPr>
              <w:jc w:val="both"/>
              <w:rPr>
                <w:sz w:val="20"/>
                <w:szCs w:val="20"/>
                <w:lang w:val="ru-RU"/>
              </w:rPr>
            </w:pPr>
          </w:p>
        </w:tc>
        <w:tc>
          <w:tcPr>
            <w:tcW w:w="4601" w:type="dxa"/>
          </w:tcPr>
          <w:p w:rsidR="00632502" w:rsidRPr="00632502" w:rsidRDefault="00632502" w:rsidP="00632502">
            <w:pPr>
              <w:widowControl w:val="0"/>
              <w:autoSpaceDE w:val="0"/>
              <w:autoSpaceDN w:val="0"/>
              <w:adjustRightInd w:val="0"/>
              <w:spacing w:before="20" w:line="228" w:lineRule="auto"/>
              <w:jc w:val="both"/>
              <w:rPr>
                <w:sz w:val="22"/>
                <w:szCs w:val="22"/>
                <w:lang w:val="ru-RU"/>
              </w:rPr>
            </w:pPr>
            <w:r w:rsidRPr="00632502">
              <w:rPr>
                <w:sz w:val="22"/>
                <w:szCs w:val="22"/>
                <w:lang w:val="ru-RU"/>
              </w:rPr>
              <w:lastRenderedPageBreak/>
              <w:t xml:space="preserve">36. Инвестиционный пай является именной ценной бумагой, удостоверяющей: </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1) долю его владельца в праве собственности на имущество, составляющее Фонд;</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2) право требовать от Управляющей компании надлежащего доверительного управления Фондом;</w:t>
            </w:r>
          </w:p>
          <w:p w:rsidR="00632502" w:rsidRPr="00632502" w:rsidRDefault="00632502" w:rsidP="00632502">
            <w:pPr>
              <w:widowControl w:val="0"/>
              <w:tabs>
                <w:tab w:val="left" w:pos="0"/>
                <w:tab w:val="left" w:pos="927"/>
              </w:tabs>
              <w:autoSpaceDE w:val="0"/>
              <w:autoSpaceDN w:val="0"/>
              <w:adjustRightInd w:val="0"/>
              <w:spacing w:before="20" w:line="228" w:lineRule="auto"/>
              <w:jc w:val="both"/>
              <w:rPr>
                <w:sz w:val="22"/>
                <w:szCs w:val="22"/>
                <w:lang w:val="ru-RU"/>
              </w:rPr>
            </w:pPr>
            <w:r w:rsidRPr="00632502">
              <w:rPr>
                <w:sz w:val="22"/>
                <w:szCs w:val="22"/>
                <w:lang w:val="ru-RU"/>
              </w:rPr>
              <w:t>3) право на участие в общем собрании владельцев инвестиционных паев;</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4) право владельцев инвестиционных паев на получение дохода по инвестиционному паю.</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 xml:space="preserve">Доход по инвестиционному паю выплачивается владельцам инвестиционных паев по итогам отчетного периода. </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Доход по инвестиционному паю за отчетный период, в котором завершено (окончено) формирование Фонда, не выплачивается.</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Доход по инвестиционным паям Фонда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осуществляется в течение 90 дней со дня окончания отчетного периода.</w:t>
            </w:r>
          </w:p>
          <w:p w:rsidR="00632502" w:rsidRPr="00632502" w:rsidRDefault="00632502" w:rsidP="00632502">
            <w:pPr>
              <w:widowControl w:val="0"/>
              <w:tabs>
                <w:tab w:val="left" w:pos="0"/>
              </w:tabs>
              <w:autoSpaceDE w:val="0"/>
              <w:autoSpaceDN w:val="0"/>
              <w:adjustRightInd w:val="0"/>
              <w:spacing w:before="20" w:line="228" w:lineRule="auto"/>
              <w:ind w:firstLine="567"/>
              <w:jc w:val="both"/>
              <w:rPr>
                <w:b/>
                <w:sz w:val="22"/>
                <w:szCs w:val="22"/>
                <w:lang w:val="ru-RU"/>
              </w:rPr>
            </w:pPr>
            <w:r w:rsidRPr="00632502">
              <w:rPr>
                <w:b/>
                <w:sz w:val="22"/>
                <w:szCs w:val="22"/>
                <w:lang w:val="ru-RU"/>
              </w:rPr>
              <w:t>Размер дохода по инвестиционным паям принимается равным сумме составляющей 100% от суммы остатков по всем расчетным банковским счетам Фонда, рассчитанной на последний рабочий день отчетного периода.</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 xml:space="preserve">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 </w:t>
            </w:r>
          </w:p>
          <w:p w:rsidR="00632502" w:rsidRPr="00632502" w:rsidRDefault="00632502" w:rsidP="00632502">
            <w:pPr>
              <w:jc w:val="both"/>
              <w:rPr>
                <w:sz w:val="22"/>
                <w:szCs w:val="22"/>
                <w:lang w:val="ru-RU"/>
              </w:rPr>
            </w:pPr>
            <w:r w:rsidRPr="00632502">
              <w:rPr>
                <w:sz w:val="22"/>
                <w:szCs w:val="22"/>
                <w:lang w:val="ru-RU"/>
              </w:rPr>
              <w:lastRenderedPageBreak/>
              <w:t>Выплата дохода осуществляется денежными средствами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632502" w:rsidRPr="00632502" w:rsidRDefault="00632502" w:rsidP="00632502">
            <w:pPr>
              <w:widowControl w:val="0"/>
              <w:tabs>
                <w:tab w:val="left" w:pos="0"/>
              </w:tabs>
              <w:autoSpaceDE w:val="0"/>
              <w:autoSpaceDN w:val="0"/>
              <w:adjustRightInd w:val="0"/>
              <w:spacing w:before="20" w:line="228" w:lineRule="auto"/>
              <w:ind w:firstLine="567"/>
              <w:jc w:val="both"/>
              <w:rPr>
                <w:sz w:val="22"/>
                <w:szCs w:val="22"/>
                <w:lang w:val="ru-RU"/>
              </w:rPr>
            </w:pPr>
            <w:r w:rsidRPr="00632502">
              <w:rPr>
                <w:sz w:val="22"/>
                <w:szCs w:val="22"/>
                <w:lang w:val="ru-RU"/>
              </w:rPr>
              <w:t>Под отчетным периодом понимается календарный месяц.</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632502" w:rsidRPr="00632502" w:rsidRDefault="00632502" w:rsidP="00632502">
            <w:pPr>
              <w:widowControl w:val="0"/>
              <w:tabs>
                <w:tab w:val="left" w:pos="0"/>
              </w:tabs>
              <w:autoSpaceDE w:val="0"/>
              <w:autoSpaceDN w:val="0"/>
              <w:adjustRightInd w:val="0"/>
              <w:spacing w:before="20" w:line="228" w:lineRule="auto"/>
              <w:jc w:val="both"/>
              <w:rPr>
                <w:sz w:val="22"/>
                <w:szCs w:val="22"/>
                <w:lang w:val="ru-RU"/>
              </w:rPr>
            </w:pPr>
            <w:r w:rsidRPr="00632502">
              <w:rPr>
                <w:sz w:val="22"/>
                <w:szCs w:val="22"/>
                <w:lang w:val="ru-RU"/>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632502" w:rsidRPr="001763A1" w:rsidRDefault="00632502" w:rsidP="00746887">
            <w:pPr>
              <w:ind w:firstLine="540"/>
              <w:jc w:val="both"/>
              <w:rPr>
                <w:lang w:val="ru-RU"/>
              </w:rPr>
            </w:pPr>
          </w:p>
        </w:tc>
      </w:tr>
    </w:tbl>
    <w:p w:rsidR="00632502" w:rsidRDefault="00632502" w:rsidP="00632502">
      <w:pPr>
        <w:rPr>
          <w:lang w:val="ru-RU"/>
        </w:rPr>
      </w:pPr>
    </w:p>
    <w:p w:rsidR="00632502" w:rsidRDefault="00632502" w:rsidP="00632502">
      <w:pPr>
        <w:rPr>
          <w:lang w:val="ru-RU"/>
        </w:rPr>
      </w:pPr>
    </w:p>
    <w:p w:rsidR="00632502" w:rsidRDefault="00632502" w:rsidP="00632502">
      <w:pPr>
        <w:pStyle w:val="a3"/>
        <w:rPr>
          <w:b/>
        </w:rPr>
      </w:pPr>
    </w:p>
    <w:p w:rsidR="00632502" w:rsidRDefault="00632502" w:rsidP="00632502">
      <w:pPr>
        <w:pStyle w:val="a3"/>
        <w:rPr>
          <w:b/>
        </w:rPr>
      </w:pPr>
    </w:p>
    <w:p w:rsidR="00632502" w:rsidRDefault="00632502" w:rsidP="00632502">
      <w:pPr>
        <w:pStyle w:val="a3"/>
        <w:rPr>
          <w:b/>
        </w:rPr>
      </w:pPr>
    </w:p>
    <w:p w:rsidR="00632502" w:rsidRPr="00342EBD" w:rsidRDefault="00632502" w:rsidP="00632502">
      <w:pPr>
        <w:pStyle w:val="a3"/>
        <w:ind w:firstLine="708"/>
        <w:rPr>
          <w:lang w:val="en-US"/>
        </w:rPr>
      </w:pPr>
      <w:r w:rsidRPr="00D06454">
        <w:rPr>
          <w:b/>
        </w:rPr>
        <w:t xml:space="preserve">Директор                                                                                                А.С. </w:t>
      </w:r>
      <w:smartTag w:uri="urn:schemas-microsoft-com:office:smarttags" w:element="PersonName">
        <w:r w:rsidRPr="00D06454">
          <w:rPr>
            <w:b/>
          </w:rPr>
          <w:t>Любаев</w:t>
        </w:r>
      </w:smartTag>
    </w:p>
    <w:p w:rsidR="00632502" w:rsidRPr="004D672D" w:rsidRDefault="00632502" w:rsidP="00632502">
      <w:pPr>
        <w:rPr>
          <w:lang w:val="ru-RU"/>
        </w:rPr>
      </w:pPr>
    </w:p>
    <w:p w:rsidR="00632502" w:rsidRDefault="00632502" w:rsidP="00632502"/>
    <w:p w:rsidR="003821BB" w:rsidRDefault="003821BB"/>
    <w:sectPr w:rsidR="003821BB" w:rsidSect="0063250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630D0"/>
    <w:multiLevelType w:val="hybridMultilevel"/>
    <w:tmpl w:val="391E8B7E"/>
    <w:lvl w:ilvl="0" w:tplc="00C2533E">
      <w:start w:val="1"/>
      <w:numFmt w:val="decimal"/>
      <w:lvlText w:val="%1."/>
      <w:lvlJc w:val="left"/>
      <w:pPr>
        <w:tabs>
          <w:tab w:val="num" w:pos="1068"/>
        </w:tabs>
        <w:ind w:left="1068" w:hanging="360"/>
      </w:pPr>
      <w:rPr>
        <w:rFonts w:cs="Times New Roman" w:hint="default"/>
        <w:sz w:val="22"/>
        <w:szCs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2502"/>
    <w:rsid w:val="0013384E"/>
    <w:rsid w:val="001763A1"/>
    <w:rsid w:val="002C48CA"/>
    <w:rsid w:val="00342EBD"/>
    <w:rsid w:val="003821BB"/>
    <w:rsid w:val="00394962"/>
    <w:rsid w:val="004D672D"/>
    <w:rsid w:val="00553482"/>
    <w:rsid w:val="005D1573"/>
    <w:rsid w:val="00632502"/>
    <w:rsid w:val="006E6EF6"/>
    <w:rsid w:val="00746887"/>
    <w:rsid w:val="00836D7F"/>
    <w:rsid w:val="00AD2F91"/>
    <w:rsid w:val="00B8063C"/>
    <w:rsid w:val="00D06454"/>
    <w:rsid w:val="00D22559"/>
    <w:rsid w:val="00DF1672"/>
    <w:rsid w:val="00F2166B"/>
    <w:rsid w:val="00F9592F"/>
    <w:rsid w:val="00FC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02"/>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2502"/>
    <w:pPr>
      <w:jc w:val="both"/>
    </w:pPr>
    <w:rPr>
      <w:lang w:val="ru-RU"/>
    </w:rPr>
  </w:style>
  <w:style w:type="character" w:customStyle="1" w:styleId="a4">
    <w:name w:val="Основной текст Знак"/>
    <w:basedOn w:val="a0"/>
    <w:link w:val="a3"/>
    <w:uiPriority w:val="99"/>
    <w:locked/>
    <w:rsid w:val="00632502"/>
    <w:rPr>
      <w:rFonts w:ascii="Times New Roman" w:hAnsi="Times New Roman" w:cs="Times New Roman"/>
      <w:sz w:val="24"/>
      <w:szCs w:val="24"/>
    </w:rPr>
  </w:style>
  <w:style w:type="paragraph" w:styleId="a5">
    <w:name w:val="header"/>
    <w:basedOn w:val="a"/>
    <w:link w:val="a6"/>
    <w:uiPriority w:val="99"/>
    <w:rsid w:val="00632502"/>
    <w:pPr>
      <w:tabs>
        <w:tab w:val="center" w:pos="4153"/>
        <w:tab w:val="right" w:pos="8306"/>
      </w:tabs>
    </w:pPr>
    <w:rPr>
      <w:sz w:val="20"/>
      <w:szCs w:val="20"/>
    </w:rPr>
  </w:style>
  <w:style w:type="character" w:customStyle="1" w:styleId="a6">
    <w:name w:val="Верхний колонтитул Знак"/>
    <w:basedOn w:val="a0"/>
    <w:link w:val="a5"/>
    <w:uiPriority w:val="99"/>
    <w:locked/>
    <w:rsid w:val="00632502"/>
    <w:rPr>
      <w:rFonts w:ascii="Times New Roman" w:hAnsi="Times New Roman" w:cs="Times New Roman"/>
      <w:sz w:val="20"/>
      <w:szCs w:val="20"/>
      <w:lang w:val="en-US"/>
    </w:rPr>
  </w:style>
  <w:style w:type="table" w:styleId="a7">
    <w:name w:val="Table Grid"/>
    <w:basedOn w:val="a1"/>
    <w:uiPriority w:val="99"/>
    <w:rsid w:val="00632502"/>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Office Word</Application>
  <DocSecurity>0</DocSecurity>
  <Lines>42</Lines>
  <Paragraphs>12</Paragraphs>
  <ScaleCrop>false</ScaleCrop>
  <Company>FRSD</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Виктор Иванович</dc:creator>
  <cp:lastModifiedBy>voronovskaya.v</cp:lastModifiedBy>
  <cp:revision>2</cp:revision>
  <dcterms:created xsi:type="dcterms:W3CDTF">2019-02-26T12:46:00Z</dcterms:created>
  <dcterms:modified xsi:type="dcterms:W3CDTF">2019-02-26T12:46:00Z</dcterms:modified>
</cp:coreProperties>
</file>