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r w:rsidR="00F87633" w:rsidRPr="001E534B">
        <w:rPr>
          <w:rFonts w:ascii="Times New Roman" w:hAnsi="Times New Roman"/>
          <w:b/>
        </w:rPr>
        <w:t>Монтес Аури Маунтейн</w:t>
      </w:r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«Монтес Аури»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«Монтес Аури Маунтейн»  под управлением  Общества с ограниченной ответственностью «Управляющая компания «Монтес Аури»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Pr="009E68FE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9E68FE" w:rsidRPr="00916D46" w:rsidRDefault="009E68FE" w:rsidP="009E68FE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9E68FE" w:rsidRPr="00BD7D10" w:rsidTr="006E0019">
        <w:trPr>
          <w:trHeight w:val="634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BD7D10" w:rsidRDefault="009E68FE" w:rsidP="006E0019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9E68FE" w:rsidRPr="00BD7D10" w:rsidTr="006E0019">
        <w:trPr>
          <w:trHeight w:val="2640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условный номер): 58:07:010302:23.,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56E61">
              <w:rPr>
                <w:rFonts w:ascii="Times New Roman" w:hAnsi="Times New Roman"/>
                <w:color w:val="000000"/>
                <w:sz w:val="24"/>
                <w:szCs w:val="24"/>
              </w:rPr>
              <w:t>208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 w:rsidRPr="00F56E61">
              <w:rPr>
                <w:rFonts w:ascii="Times New Roman" w:hAnsi="Times New Roman"/>
                <w:color w:val="000000"/>
                <w:sz w:val="24"/>
                <w:szCs w:val="24"/>
              </w:rPr>
              <w:t>603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Pr="00F56E61">
              <w:rPr>
                <w:rFonts w:ascii="Times New Roman" w:hAnsi="Times New Roman"/>
                <w:color w:val="000000"/>
                <w:sz w:val="24"/>
                <w:szCs w:val="24"/>
              </w:rPr>
              <w:t>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700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</w:t>
            </w:r>
            <w:r w:rsidRPr="00700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</w:t>
            </w:r>
            <w:r w:rsidRPr="007009B9">
              <w:rPr>
                <w:rFonts w:ascii="Times New Roman" w:hAnsi="Times New Roman"/>
                <w:color w:val="000000"/>
                <w:sz w:val="24"/>
                <w:szCs w:val="24"/>
              </w:rPr>
              <w:t>ьсот три рубля 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вяносто пять</w:t>
            </w:r>
            <w:r w:rsidRPr="007009B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618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792</w:t>
            </w: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 тысячи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 девяносто два рубля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восемьде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841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304 943,24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девятьсот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сорок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двадцать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618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16 702,81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Шестнад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цать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два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одн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копейка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550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38 708,06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Тридцать восемь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семьсот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995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69 853,65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Шестьд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девять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три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шест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ьдесят пять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618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27 653,73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Двадцать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шестьсот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пятьдесят три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три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618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8 838,55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восемьсот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дцать восемь рублей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987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097,79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 тысяча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девяносто семь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семьдесят девять</w:t>
            </w:r>
            <w:r w:rsidRPr="0055392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987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291,60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Шесть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двести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девяносто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один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десят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995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11 460,56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Одиннадцать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четыреста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690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39 980,73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Тридцать девять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девятьсот восемьдесят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три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987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649,50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Шесть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сорок девять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пятьдесят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183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5FAE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674,53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 тысячи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четыре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пятьдесят три 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690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52 088,56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две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тысячи восемь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десят восемь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пятьдесят 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183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250 166,56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Двести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 шестьдесят шесть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пятьдесят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183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32 449,43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Тридцать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две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четыреста сорок девять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сорок три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554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632,57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Шестьсот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тридцать два 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пятьдесят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853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3 193,30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Три тысячи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 девяносто три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тридцать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629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9 607,66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вять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шестьдесят шесть 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691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563,73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Пятьсот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шестьдесят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три рубля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семьдесят три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562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95 471,89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Девяносто пять 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тысяч четыреста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семьдесят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один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девять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629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1 739,91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Одна тысяча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сот тридцать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девять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ей девяносто одна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407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665,14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Шестьсот шестьдесят пять 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четырнад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цать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554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736,40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Семьсот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тридцать шесть рублей сорок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901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84 743,51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Восемьдесят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четыре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семьсот сорок три 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рубля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одна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й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839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900EF2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54 393,06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Пятьдесят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четыре 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тысяч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триста девяносто три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шесть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9E68FE">
        <w:trPr>
          <w:trHeight w:val="558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88 868,57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Восемьдесят восемь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шестьдесят восемь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пят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ьдесят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693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176 843,47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Сто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семь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десят шесть тысяч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восемьсот сорок три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рубл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сорок семь 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копе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D42476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691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63 033,76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D21ED6">
              <w:rPr>
                <w:rFonts w:ascii="Times New Roman" w:hAnsi="Times New Roman"/>
                <w:sz w:val="24"/>
                <w:szCs w:val="24"/>
              </w:rPr>
              <w:t>Шестьдесят три тысячи тридцать три рубля семьдесят шесть копеек)</w:t>
            </w:r>
          </w:p>
        </w:tc>
      </w:tr>
      <w:tr w:rsidR="009E68FE" w:rsidRPr="00BD7D10" w:rsidTr="006E0019">
        <w:trPr>
          <w:trHeight w:val="1843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366 648,80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1F08">
              <w:rPr>
                <w:rFonts w:ascii="Times New Roman" w:hAnsi="Times New Roman"/>
                <w:color w:val="000000"/>
                <w:sz w:val="24"/>
                <w:szCs w:val="24"/>
              </w:rPr>
              <w:t>Триста шестьдесят шесть тысяч шестьсот сорок восемь рублей восемьдесят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685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30 621,24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1F08">
              <w:rPr>
                <w:rFonts w:ascii="Times New Roman" w:hAnsi="Times New Roman"/>
                <w:color w:val="000000"/>
                <w:sz w:val="24"/>
                <w:szCs w:val="24"/>
              </w:rPr>
              <w:t>Тридцать тысяч шестьсот двадцать один рубль двадцать четыре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556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51 976,70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1F08">
              <w:rPr>
                <w:rFonts w:ascii="Times New Roman" w:hAnsi="Times New Roman"/>
                <w:color w:val="000000"/>
                <w:sz w:val="24"/>
                <w:szCs w:val="24"/>
              </w:rPr>
              <w:t>Пятьдесят одна тысяча девятьсот семьдесят шесть рублей семьдесят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340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98 098,32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1F08">
              <w:rPr>
                <w:rFonts w:ascii="Times New Roman" w:hAnsi="Times New Roman"/>
                <w:color w:val="000000"/>
                <w:sz w:val="24"/>
                <w:szCs w:val="24"/>
              </w:rPr>
              <w:t>Девяносто восемь тысяч девяносто восемь рублей тридцать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703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1 196,28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1F08">
              <w:rPr>
                <w:rFonts w:ascii="Times New Roman" w:hAnsi="Times New Roman"/>
                <w:color w:val="000000"/>
                <w:sz w:val="24"/>
                <w:szCs w:val="24"/>
              </w:rPr>
              <w:t>Одна тысяча сто девяносто шесть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73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10 338,99 (</w:t>
            </w:r>
            <w:r w:rsidRPr="005B1F08">
              <w:rPr>
                <w:rFonts w:ascii="Times New Roman" w:hAnsi="Times New Roman"/>
                <w:color w:val="000000"/>
                <w:sz w:val="24"/>
                <w:szCs w:val="24"/>
              </w:rPr>
              <w:t>Десять тысяч триста тридцать восемь рублей девяносто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340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6 287,58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1F08">
              <w:rPr>
                <w:rFonts w:ascii="Times New Roman" w:hAnsi="Times New Roman"/>
                <w:color w:val="000000"/>
                <w:sz w:val="24"/>
                <w:szCs w:val="24"/>
              </w:rPr>
              <w:t>Шесть тысяч двести восемьдесят семь рублей пятьдесят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711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2 996 571,39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1F08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девятьсот девяносто шесть тысяч пятьсот семьдесят один рубль тридцать девять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840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1 219 820,77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5B1F08">
              <w:rPr>
                <w:rFonts w:ascii="Times New Roman" w:hAnsi="Times New Roman"/>
                <w:color w:val="000000"/>
                <w:sz w:val="24"/>
                <w:szCs w:val="24"/>
              </w:rPr>
              <w:t>Один миллион двести девятнадцать тысяч восемьсот двадцать рублей семьдесят 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845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2 758 061,95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C45D5C">
              <w:rPr>
                <w:rFonts w:ascii="Times New Roman" w:hAnsi="Times New Roman"/>
                <w:color w:val="000000"/>
                <w:sz w:val="24"/>
                <w:szCs w:val="24"/>
              </w:rPr>
              <w:t>Два миллиона семьсот пятьдесят восемь тысяч шестьдесят один рубль девяносто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2558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177 471,06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17889">
              <w:rPr>
                <w:rFonts w:ascii="Times New Roman" w:hAnsi="Times New Roman"/>
                <w:color w:val="000000"/>
                <w:sz w:val="24"/>
                <w:szCs w:val="24"/>
              </w:rPr>
              <w:t>Сто семьдесят семь тысяч четыреста семьдесят один рубль шесть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9E68FE">
        <w:trPr>
          <w:trHeight w:val="268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544 795,60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17889">
              <w:rPr>
                <w:rFonts w:ascii="Times New Roman" w:hAnsi="Times New Roman"/>
                <w:color w:val="000000"/>
                <w:sz w:val="24"/>
                <w:szCs w:val="24"/>
              </w:rPr>
              <w:t>Пятьсот сорок четыре тысячи семьсот девяносто пять рублей шестьдесят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987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150 012,28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17889">
              <w:rPr>
                <w:rFonts w:ascii="Times New Roman" w:hAnsi="Times New Roman"/>
                <w:color w:val="000000"/>
                <w:sz w:val="24"/>
                <w:szCs w:val="24"/>
              </w:rPr>
              <w:t>Сто пятьдесят тысяч двенадцать рублей двадцать восемь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557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47 394,85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r w:rsidRPr="00917889">
              <w:rPr>
                <w:rFonts w:ascii="Times New Roman" w:hAnsi="Times New Roman"/>
                <w:color w:val="000000"/>
                <w:sz w:val="24"/>
                <w:szCs w:val="24"/>
              </w:rPr>
              <w:t>Сорок семь тысяч триста девяносто четыре рубля восемьдесят пять копеек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  <w:tr w:rsidR="009E68FE" w:rsidRPr="00BD7D10" w:rsidTr="006E0019">
        <w:trPr>
          <w:trHeight w:val="1234"/>
        </w:trPr>
        <w:tc>
          <w:tcPr>
            <w:tcW w:w="0" w:type="auto"/>
            <w:vAlign w:val="center"/>
          </w:tcPr>
          <w:p w:rsidR="009E68FE" w:rsidRPr="00BD7D10" w:rsidRDefault="009E68FE" w:rsidP="006E0019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9E68FE" w:rsidRPr="00BD7D10" w:rsidRDefault="009E68FE" w:rsidP="006E0019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9E68FE" w:rsidRPr="00351BDD" w:rsidRDefault="009E68FE" w:rsidP="006E0019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  915,02 (</w:t>
            </w:r>
            <w:r w:rsidRPr="00917889">
              <w:rPr>
                <w:rFonts w:ascii="Times New Roman" w:hAnsi="Times New Roman"/>
                <w:color w:val="000000"/>
                <w:sz w:val="24"/>
                <w:szCs w:val="24"/>
              </w:rPr>
              <w:t>Двадцать три тысячи девятьсот пятнадцать рублей две копейки</w:t>
            </w:r>
            <w:r w:rsidRPr="00351BDD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</w:tc>
      </w:tr>
    </w:tbl>
    <w:p w:rsidR="00CD7534" w:rsidRPr="009E68FE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  <w:lang w:val="en-US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513C2F" w:rsidRPr="00513C2F">
        <w:rPr>
          <w:rFonts w:ascii="Times New Roman" w:hAnsi="Times New Roman"/>
        </w:rPr>
        <w:t>28</w:t>
      </w:r>
      <w:r w:rsidR="00D90286">
        <w:rPr>
          <w:rFonts w:ascii="Times New Roman" w:hAnsi="Times New Roman"/>
        </w:rPr>
        <w:t xml:space="preserve"> </w:t>
      </w:r>
      <w:r w:rsidR="00314A38">
        <w:rPr>
          <w:rFonts w:ascii="Times New Roman" w:hAnsi="Times New Roman"/>
        </w:rPr>
        <w:t>августа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r w:rsidR="002238EC" w:rsidRPr="001E534B">
          <w:rPr>
            <w:rStyle w:val="a4"/>
            <w:rFonts w:ascii="Times New Roman" w:hAnsi="Times New Roman"/>
          </w:rPr>
          <w:t>.ru/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314A38">
        <w:rPr>
          <w:rFonts w:ascii="Times New Roman" w:hAnsi="Times New Roman"/>
          <w:b/>
        </w:rPr>
        <w:t>1</w:t>
      </w:r>
      <w:r w:rsidR="00513C2F" w:rsidRPr="00513C2F">
        <w:rPr>
          <w:rFonts w:ascii="Times New Roman" w:hAnsi="Times New Roman"/>
          <w:b/>
        </w:rPr>
        <w:t>2</w:t>
      </w:r>
      <w:r w:rsidR="00051956">
        <w:rPr>
          <w:rFonts w:ascii="Times New Roman" w:hAnsi="Times New Roman"/>
          <w:b/>
        </w:rPr>
        <w:t xml:space="preserve"> </w:t>
      </w:r>
      <w:r w:rsidR="00513C2F">
        <w:rPr>
          <w:rFonts w:ascii="Times New Roman" w:hAnsi="Times New Roman"/>
          <w:b/>
        </w:rPr>
        <w:t>сентября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513C2F">
        <w:rPr>
          <w:rFonts w:ascii="Times New Roman" w:hAnsi="Times New Roman"/>
        </w:rPr>
        <w:t>28</w:t>
      </w:r>
      <w:r w:rsidR="00314A38">
        <w:rPr>
          <w:rFonts w:ascii="Times New Roman" w:hAnsi="Times New Roman"/>
        </w:rPr>
        <w:t xml:space="preserve"> августа</w:t>
      </w:r>
      <w:r w:rsidR="00220C7F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 </w:t>
      </w:r>
      <w:r w:rsidR="00314A38">
        <w:rPr>
          <w:rFonts w:ascii="Times New Roman" w:hAnsi="Times New Roman"/>
        </w:rPr>
        <w:t>1</w:t>
      </w:r>
      <w:r w:rsidR="00513C2F">
        <w:rPr>
          <w:rFonts w:ascii="Times New Roman" w:hAnsi="Times New Roman"/>
        </w:rPr>
        <w:t>1</w:t>
      </w:r>
      <w:r w:rsidR="001B794F" w:rsidRPr="001E534B">
        <w:rPr>
          <w:rFonts w:ascii="Times New Roman" w:hAnsi="Times New Roman"/>
        </w:rPr>
        <w:t xml:space="preserve"> </w:t>
      </w:r>
      <w:r w:rsidR="00513C2F">
        <w:rPr>
          <w:rFonts w:ascii="Times New Roman" w:hAnsi="Times New Roman"/>
        </w:rPr>
        <w:t>сентября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314A38">
        <w:rPr>
          <w:rFonts w:ascii="Times New Roman" w:hAnsi="Times New Roman"/>
        </w:rPr>
        <w:t>1</w:t>
      </w:r>
      <w:r w:rsidR="00513C2F">
        <w:rPr>
          <w:rFonts w:ascii="Times New Roman" w:hAnsi="Times New Roman"/>
        </w:rPr>
        <w:t>1</w:t>
      </w:r>
      <w:r w:rsidR="00314A38">
        <w:rPr>
          <w:rFonts w:ascii="Times New Roman" w:hAnsi="Times New Roman"/>
        </w:rPr>
        <w:t xml:space="preserve"> </w:t>
      </w:r>
      <w:r w:rsidR="00513C2F">
        <w:rPr>
          <w:rFonts w:ascii="Times New Roman" w:hAnsi="Times New Roman"/>
        </w:rPr>
        <w:t xml:space="preserve">сентября 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«Монтес Аури Маунтейн»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r w:rsidR="000C5D04" w:rsidRPr="001E534B">
        <w:rPr>
          <w:rFonts w:ascii="Times New Roman" w:hAnsi="Times New Roman"/>
        </w:rPr>
        <w:t xml:space="preserve">р/с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«Газпромбанк»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 окончании аукциона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В процессе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несостоявшимся,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r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  <w:b/>
        </w:rPr>
        <w:t xml:space="preserve"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r w:rsidR="007F602D" w:rsidRPr="001E534B">
        <w:rPr>
          <w:rFonts w:ascii="Times New Roman" w:hAnsi="Times New Roman"/>
        </w:rPr>
        <w:t>auction@frsd.ru</w:t>
      </w:r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0417" w:rsidRDefault="000D0417" w:rsidP="00D75776">
      <w:pPr>
        <w:spacing w:after="0" w:line="240" w:lineRule="auto"/>
      </w:pPr>
      <w:r>
        <w:separator/>
      </w:r>
    </w:p>
  </w:endnote>
  <w:endnote w:type="continuationSeparator" w:id="0">
    <w:p w:rsidR="000D0417" w:rsidRDefault="000D0417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0417" w:rsidRDefault="000D0417" w:rsidP="00D75776">
      <w:pPr>
        <w:spacing w:after="0" w:line="240" w:lineRule="auto"/>
      </w:pPr>
      <w:r>
        <w:separator/>
      </w:r>
    </w:p>
  </w:footnote>
  <w:footnote w:type="continuationSeparator" w:id="0">
    <w:p w:rsidR="000D0417" w:rsidRDefault="000D0417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D0417"/>
    <w:rsid w:val="000F22AD"/>
    <w:rsid w:val="00104FA1"/>
    <w:rsid w:val="0011281F"/>
    <w:rsid w:val="00124301"/>
    <w:rsid w:val="00127DB0"/>
    <w:rsid w:val="0015042C"/>
    <w:rsid w:val="00154FFF"/>
    <w:rsid w:val="00156E0A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0C7F"/>
    <w:rsid w:val="002238EC"/>
    <w:rsid w:val="0023561A"/>
    <w:rsid w:val="00236F93"/>
    <w:rsid w:val="00237B5E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4A38"/>
    <w:rsid w:val="003169D9"/>
    <w:rsid w:val="003221D7"/>
    <w:rsid w:val="00327D80"/>
    <w:rsid w:val="00330C40"/>
    <w:rsid w:val="0033176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4D05"/>
    <w:rsid w:val="0045556B"/>
    <w:rsid w:val="00461EFB"/>
    <w:rsid w:val="00471199"/>
    <w:rsid w:val="00487559"/>
    <w:rsid w:val="00490F01"/>
    <w:rsid w:val="0049342B"/>
    <w:rsid w:val="004A32E8"/>
    <w:rsid w:val="004A634E"/>
    <w:rsid w:val="004C518A"/>
    <w:rsid w:val="004D3B2A"/>
    <w:rsid w:val="004D709B"/>
    <w:rsid w:val="004E7081"/>
    <w:rsid w:val="004F462A"/>
    <w:rsid w:val="004F4E8A"/>
    <w:rsid w:val="00506CD1"/>
    <w:rsid w:val="00513C2F"/>
    <w:rsid w:val="005177E1"/>
    <w:rsid w:val="005351EF"/>
    <w:rsid w:val="00575EF7"/>
    <w:rsid w:val="005A0E90"/>
    <w:rsid w:val="005B7482"/>
    <w:rsid w:val="005E2253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11868"/>
    <w:rsid w:val="00722F11"/>
    <w:rsid w:val="0074131B"/>
    <w:rsid w:val="00760E49"/>
    <w:rsid w:val="00782B7E"/>
    <w:rsid w:val="0078619F"/>
    <w:rsid w:val="00792E9F"/>
    <w:rsid w:val="00794061"/>
    <w:rsid w:val="007A2036"/>
    <w:rsid w:val="007C098D"/>
    <w:rsid w:val="007C1962"/>
    <w:rsid w:val="007F602D"/>
    <w:rsid w:val="0081124D"/>
    <w:rsid w:val="008165AB"/>
    <w:rsid w:val="008225AF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8F7BB5"/>
    <w:rsid w:val="00916D46"/>
    <w:rsid w:val="00924730"/>
    <w:rsid w:val="00931414"/>
    <w:rsid w:val="00956466"/>
    <w:rsid w:val="0097419E"/>
    <w:rsid w:val="009A0518"/>
    <w:rsid w:val="009B02C4"/>
    <w:rsid w:val="009B2C36"/>
    <w:rsid w:val="009E15C5"/>
    <w:rsid w:val="009E2A3F"/>
    <w:rsid w:val="009E68FE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14991"/>
    <w:rsid w:val="00B21350"/>
    <w:rsid w:val="00B30E6D"/>
    <w:rsid w:val="00B37217"/>
    <w:rsid w:val="00B47FF0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E6F10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DF6CAF-BD9B-4E53-BF97-CF1CF2FB5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4967</Words>
  <Characters>28315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33216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voronovskaya.v</cp:lastModifiedBy>
  <cp:revision>2</cp:revision>
  <cp:lastPrinted>2016-11-22T12:30:00Z</cp:lastPrinted>
  <dcterms:created xsi:type="dcterms:W3CDTF">2017-08-28T06:21:00Z</dcterms:created>
  <dcterms:modified xsi:type="dcterms:W3CDTF">2017-08-28T06:21:00Z</dcterms:modified>
</cp:coreProperties>
</file>