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F" w:rsidRPr="00C4147D" w:rsidRDefault="00CB366F" w:rsidP="00CB366F">
      <w:pPr>
        <w:pStyle w:val="a3"/>
        <w:ind w:left="4140"/>
        <w:jc w:val="right"/>
        <w:rPr>
          <w:rFonts w:ascii="Times New Roman" w:hAnsi="Times New Roman" w:cs="Times New Roman"/>
          <w:sz w:val="20"/>
          <w:szCs w:val="20"/>
        </w:rPr>
      </w:pPr>
      <w:r w:rsidRPr="00C4147D">
        <w:rPr>
          <w:rFonts w:ascii="Times New Roman" w:hAnsi="Times New Roman" w:cs="Times New Roman"/>
          <w:sz w:val="20"/>
          <w:szCs w:val="20"/>
        </w:rPr>
        <w:t>УТВЕРЖДЕНО</w:t>
      </w:r>
    </w:p>
    <w:p w:rsidR="00CB366F" w:rsidRPr="00C4147D" w:rsidRDefault="00CB366F" w:rsidP="00CB366F">
      <w:pPr>
        <w:pStyle w:val="a3"/>
        <w:ind w:left="4140"/>
        <w:jc w:val="right"/>
        <w:rPr>
          <w:rFonts w:ascii="Times New Roman" w:hAnsi="Times New Roman" w:cs="Times New Roman"/>
          <w:sz w:val="20"/>
          <w:szCs w:val="20"/>
        </w:rPr>
      </w:pPr>
      <w:r w:rsidRPr="00C4147D">
        <w:rPr>
          <w:rFonts w:ascii="Times New Roman" w:hAnsi="Times New Roman" w:cs="Times New Roman"/>
          <w:sz w:val="20"/>
          <w:szCs w:val="20"/>
        </w:rPr>
        <w:t>Приказом Генерального директора</w:t>
      </w:r>
    </w:p>
    <w:p w:rsidR="00CB366F" w:rsidRPr="00C4147D" w:rsidRDefault="00620783" w:rsidP="00620783">
      <w:pPr>
        <w:pStyle w:val="a3"/>
        <w:ind w:left="4140"/>
        <w:jc w:val="right"/>
        <w:rPr>
          <w:rFonts w:ascii="Times New Roman" w:hAnsi="Times New Roman" w:cs="Times New Roman"/>
          <w:sz w:val="20"/>
          <w:szCs w:val="20"/>
        </w:rPr>
      </w:pPr>
      <w:r w:rsidRPr="00C4147D">
        <w:rPr>
          <w:rFonts w:ascii="Times New Roman" w:hAnsi="Times New Roman" w:cs="Times New Roman"/>
          <w:sz w:val="20"/>
          <w:szCs w:val="20"/>
        </w:rPr>
        <w:t>ООО «КАПИТАЛ ЭССЕТ МЕНЕДЖМЕНТ»</w:t>
      </w:r>
      <w:r w:rsidR="00CB366F" w:rsidRPr="00C414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6A70A1" w:rsidRPr="00C4147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B366F" w:rsidRPr="00C4147D">
        <w:rPr>
          <w:rFonts w:ascii="Times New Roman" w:hAnsi="Times New Roman" w:cs="Times New Roman"/>
          <w:sz w:val="20"/>
          <w:szCs w:val="20"/>
        </w:rPr>
        <w:t xml:space="preserve"> </w:t>
      </w:r>
      <w:r w:rsidR="000B641D" w:rsidRPr="00C4147D">
        <w:rPr>
          <w:rFonts w:ascii="Times New Roman" w:hAnsi="Times New Roman" w:cs="Times New Roman"/>
          <w:sz w:val="20"/>
          <w:szCs w:val="20"/>
        </w:rPr>
        <w:t>№ 2-200116 от «20» января 2016 года</w:t>
      </w:r>
      <w:r w:rsidR="00CB366F" w:rsidRPr="00C414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760" w:rsidRPr="00C4147D" w:rsidRDefault="00A91836" w:rsidP="00620783">
      <w:pPr>
        <w:pStyle w:val="a3"/>
        <w:ind w:left="4140"/>
        <w:jc w:val="right"/>
        <w:rPr>
          <w:rFonts w:ascii="Times New Roman" w:hAnsi="Times New Roman" w:cs="Times New Roman"/>
          <w:sz w:val="20"/>
          <w:szCs w:val="20"/>
        </w:rPr>
      </w:pPr>
      <w:r w:rsidRPr="00C4147D">
        <w:rPr>
          <w:rFonts w:ascii="Times New Roman" w:hAnsi="Times New Roman" w:cs="Times New Roman"/>
          <w:sz w:val="20"/>
          <w:szCs w:val="20"/>
        </w:rPr>
        <w:t xml:space="preserve">Решением Общего собрания </w:t>
      </w:r>
    </w:p>
    <w:p w:rsidR="002D1760" w:rsidRPr="00C4147D" w:rsidRDefault="00A91836" w:rsidP="00620783">
      <w:pPr>
        <w:pStyle w:val="a3"/>
        <w:ind w:left="4140"/>
        <w:jc w:val="right"/>
        <w:rPr>
          <w:rFonts w:ascii="Times New Roman" w:hAnsi="Times New Roman" w:cs="Times New Roman"/>
          <w:sz w:val="20"/>
          <w:szCs w:val="20"/>
        </w:rPr>
      </w:pPr>
      <w:r w:rsidRPr="00C4147D">
        <w:rPr>
          <w:rFonts w:ascii="Times New Roman" w:hAnsi="Times New Roman" w:cs="Times New Roman"/>
          <w:sz w:val="20"/>
          <w:szCs w:val="20"/>
        </w:rPr>
        <w:t xml:space="preserve">владельцев инвестиционных паев </w:t>
      </w:r>
    </w:p>
    <w:p w:rsidR="00C4147D" w:rsidRPr="00C4147D" w:rsidRDefault="002D1760" w:rsidP="00620783">
      <w:pPr>
        <w:pStyle w:val="a3"/>
        <w:ind w:left="4140"/>
        <w:jc w:val="right"/>
        <w:rPr>
          <w:rFonts w:ascii="Times New Roman" w:hAnsi="Times New Roman" w:cs="Times New Roman"/>
          <w:sz w:val="20"/>
          <w:szCs w:val="20"/>
        </w:rPr>
      </w:pPr>
      <w:r w:rsidRPr="00C4147D">
        <w:rPr>
          <w:rFonts w:ascii="Times New Roman" w:hAnsi="Times New Roman" w:cs="Times New Roman"/>
          <w:sz w:val="20"/>
          <w:szCs w:val="20"/>
        </w:rPr>
        <w:t>З</w:t>
      </w:r>
      <w:r w:rsidR="00A91836" w:rsidRPr="00C4147D">
        <w:rPr>
          <w:rFonts w:ascii="Times New Roman" w:hAnsi="Times New Roman" w:cs="Times New Roman"/>
          <w:sz w:val="20"/>
          <w:szCs w:val="20"/>
        </w:rPr>
        <w:t>ПИФ</w:t>
      </w:r>
      <w:r w:rsidR="00C4147D" w:rsidRPr="00C4147D">
        <w:rPr>
          <w:rFonts w:ascii="Times New Roman" w:hAnsi="Times New Roman" w:cs="Times New Roman"/>
          <w:sz w:val="20"/>
          <w:szCs w:val="20"/>
        </w:rPr>
        <w:t xml:space="preserve"> </w:t>
      </w:r>
      <w:r w:rsidR="00A91836" w:rsidRPr="00C4147D">
        <w:rPr>
          <w:rFonts w:ascii="Times New Roman" w:hAnsi="Times New Roman" w:cs="Times New Roman"/>
          <w:sz w:val="20"/>
          <w:szCs w:val="20"/>
        </w:rPr>
        <w:t>Н</w:t>
      </w:r>
      <w:r w:rsidR="00C4147D" w:rsidRPr="00C4147D">
        <w:rPr>
          <w:rFonts w:ascii="Times New Roman" w:hAnsi="Times New Roman" w:cs="Times New Roman"/>
          <w:sz w:val="20"/>
          <w:szCs w:val="20"/>
        </w:rPr>
        <w:t>едвижимости</w:t>
      </w:r>
      <w:r w:rsidR="00A91836" w:rsidRPr="00C4147D">
        <w:rPr>
          <w:rFonts w:ascii="Times New Roman" w:hAnsi="Times New Roman" w:cs="Times New Roman"/>
          <w:sz w:val="20"/>
          <w:szCs w:val="20"/>
        </w:rPr>
        <w:t xml:space="preserve"> «НСКА Новостройки» </w:t>
      </w:r>
    </w:p>
    <w:p w:rsidR="00A91836" w:rsidRPr="00C4147D" w:rsidRDefault="00A91836" w:rsidP="00620783">
      <w:pPr>
        <w:pStyle w:val="a3"/>
        <w:ind w:left="4140"/>
        <w:jc w:val="right"/>
        <w:rPr>
          <w:rFonts w:ascii="Times New Roman" w:hAnsi="Times New Roman" w:cs="Times New Roman"/>
          <w:sz w:val="20"/>
          <w:szCs w:val="20"/>
        </w:rPr>
      </w:pPr>
      <w:r w:rsidRPr="00C4147D">
        <w:rPr>
          <w:rFonts w:ascii="Times New Roman" w:hAnsi="Times New Roman" w:cs="Times New Roman"/>
          <w:sz w:val="20"/>
          <w:szCs w:val="20"/>
        </w:rPr>
        <w:t>от 1</w:t>
      </w:r>
      <w:r w:rsidR="002D1760" w:rsidRPr="00C4147D">
        <w:rPr>
          <w:rFonts w:ascii="Times New Roman" w:hAnsi="Times New Roman" w:cs="Times New Roman"/>
          <w:sz w:val="20"/>
          <w:szCs w:val="20"/>
        </w:rPr>
        <w:t>4</w:t>
      </w:r>
      <w:r w:rsidRPr="00C4147D">
        <w:rPr>
          <w:rFonts w:ascii="Times New Roman" w:hAnsi="Times New Roman" w:cs="Times New Roman"/>
          <w:sz w:val="20"/>
          <w:szCs w:val="20"/>
        </w:rPr>
        <w:t>.01.2016г.</w:t>
      </w:r>
    </w:p>
    <w:p w:rsidR="00830965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C659B3">
        <w:rPr>
          <w:rFonts w:ascii="Times New Roman" w:hAnsi="Times New Roman" w:cs="Times New Roman"/>
          <w:bCs/>
        </w:rPr>
        <w:t xml:space="preserve">Изменения и дополнения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2506F1">
        <w:rPr>
          <w:rFonts w:ascii="Times New Roman" w:hAnsi="Times New Roman" w:cs="Times New Roman"/>
          <w:bCs/>
        </w:rPr>
        <w:t>00</w:t>
      </w:r>
      <w:r w:rsidR="00B21235">
        <w:rPr>
          <w:rFonts w:ascii="Times New Roman" w:hAnsi="Times New Roman" w:cs="Times New Roman"/>
          <w:bCs/>
        </w:rPr>
        <w:t>7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</w:t>
      </w:r>
      <w:r w:rsidRPr="00FD257E">
        <w:rPr>
          <w:b/>
          <w:bCs/>
        </w:rPr>
        <w:t>паевым инвестиционным фондом недвижимости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«НСКА Новостройки»</w:t>
      </w:r>
    </w:p>
    <w:p w:rsidR="00CB366F" w:rsidRPr="0070046D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DD7909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от </w:t>
      </w:r>
      <w:r w:rsidR="00B3433C">
        <w:rPr>
          <w:rFonts w:ascii="Times New Roman" w:hAnsi="Times New Roman" w:cs="Times New Roman"/>
          <w:bCs/>
        </w:rPr>
        <w:t>23.08</w:t>
      </w:r>
      <w:r w:rsidRPr="00DD7909">
        <w:rPr>
          <w:rFonts w:ascii="Times New Roman" w:hAnsi="Times New Roman" w:cs="Times New Roman"/>
          <w:bCs/>
        </w:rPr>
        <w:t xml:space="preserve">.2012 </w:t>
      </w:r>
      <w:r w:rsidR="00B3433C">
        <w:rPr>
          <w:rFonts w:ascii="Times New Roman" w:hAnsi="Times New Roman" w:cs="Times New Roman"/>
          <w:bCs/>
        </w:rPr>
        <w:t>за № 2419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128"/>
      </w:tblGrid>
      <w:tr w:rsidR="00CB366F" w:rsidRPr="008C47B1" w:rsidTr="00F61B66">
        <w:tc>
          <w:tcPr>
            <w:tcW w:w="540" w:type="dxa"/>
          </w:tcPr>
          <w:p w:rsidR="00CB366F" w:rsidRPr="008C47B1" w:rsidRDefault="00CB366F" w:rsidP="005921CC">
            <w:pPr>
              <w:spacing w:after="60"/>
              <w:jc w:val="center"/>
            </w:pPr>
            <w:r w:rsidRPr="008C47B1">
              <w:t xml:space="preserve">№ </w:t>
            </w:r>
            <w:proofErr w:type="spellStart"/>
            <w:r w:rsidRPr="008C47B1">
              <w:t>п</w:t>
            </w:r>
            <w:proofErr w:type="gramStart"/>
            <w:r w:rsidRPr="008C47B1">
              <w:t>.п</w:t>
            </w:r>
            <w:proofErr w:type="spellEnd"/>
            <w:proofErr w:type="gramEnd"/>
          </w:p>
        </w:tc>
        <w:tc>
          <w:tcPr>
            <w:tcW w:w="4860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 xml:space="preserve">Старая редакция </w:t>
            </w:r>
          </w:p>
        </w:tc>
        <w:tc>
          <w:tcPr>
            <w:tcW w:w="5128" w:type="dxa"/>
          </w:tcPr>
          <w:p w:rsidR="00CB366F" w:rsidRPr="008C47B1" w:rsidRDefault="00CB366F" w:rsidP="005921CC">
            <w:pPr>
              <w:pStyle w:val="3"/>
              <w:rPr>
                <w:b/>
              </w:rPr>
            </w:pPr>
            <w:r w:rsidRPr="008C47B1">
              <w:rPr>
                <w:b/>
              </w:rPr>
              <w:t>Новая редакция</w:t>
            </w:r>
          </w:p>
        </w:tc>
      </w:tr>
      <w:tr w:rsidR="00B1404B" w:rsidRPr="00A16525" w:rsidTr="002B68A4">
        <w:trPr>
          <w:trHeight w:val="896"/>
        </w:trPr>
        <w:tc>
          <w:tcPr>
            <w:tcW w:w="540" w:type="dxa"/>
          </w:tcPr>
          <w:p w:rsidR="00B1404B" w:rsidRPr="00B1404B" w:rsidRDefault="00B1404B" w:rsidP="005921CC">
            <w:pPr>
              <w:spacing w:after="60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</w:tcPr>
          <w:p w:rsidR="00B1404B" w:rsidRPr="00A65CFD" w:rsidRDefault="00B1404B" w:rsidP="00B1404B">
            <w:pPr>
              <w:ind w:right="-286"/>
            </w:pPr>
            <w:r w:rsidRPr="00A65CFD">
              <w:rPr>
                <w:sz w:val="22"/>
                <w:szCs w:val="22"/>
              </w:rPr>
              <w:t>5. Место нахождения Управляющей компании: 117312, г</w:t>
            </w:r>
            <w:proofErr w:type="gramStart"/>
            <w:r w:rsidRPr="00A65CFD">
              <w:rPr>
                <w:sz w:val="22"/>
                <w:szCs w:val="22"/>
              </w:rPr>
              <w:t>.М</w:t>
            </w:r>
            <w:proofErr w:type="gramEnd"/>
            <w:r w:rsidRPr="00A65CFD">
              <w:rPr>
                <w:sz w:val="22"/>
                <w:szCs w:val="22"/>
              </w:rPr>
              <w:t>осква, ул. Вавилова,  д.53,  корп.1.</w:t>
            </w:r>
          </w:p>
          <w:p w:rsidR="00B1404B" w:rsidRPr="00A65CFD" w:rsidRDefault="00B1404B" w:rsidP="005941AF"/>
        </w:tc>
        <w:tc>
          <w:tcPr>
            <w:tcW w:w="5128" w:type="dxa"/>
          </w:tcPr>
          <w:p w:rsidR="00B1404B" w:rsidRPr="00A65CFD" w:rsidRDefault="00B1404B" w:rsidP="00724C27">
            <w:r w:rsidRPr="00A65CFD">
              <w:rPr>
                <w:sz w:val="22"/>
                <w:szCs w:val="22"/>
              </w:rPr>
              <w:t xml:space="preserve">5. Место нахождения Управляющей компании: 115054, г. Москва, </w:t>
            </w:r>
            <w:proofErr w:type="spellStart"/>
            <w:r w:rsidRPr="00A65CFD">
              <w:rPr>
                <w:sz w:val="22"/>
                <w:szCs w:val="22"/>
              </w:rPr>
              <w:t>Дубининская</w:t>
            </w:r>
            <w:proofErr w:type="spellEnd"/>
            <w:r w:rsidRPr="00A65CFD">
              <w:rPr>
                <w:sz w:val="22"/>
                <w:szCs w:val="22"/>
              </w:rPr>
              <w:t xml:space="preserve"> ул., д. 57, стр. 1</w:t>
            </w:r>
            <w:r w:rsidR="0032053D">
              <w:rPr>
                <w:sz w:val="22"/>
                <w:szCs w:val="22"/>
              </w:rPr>
              <w:t>.</w:t>
            </w:r>
          </w:p>
        </w:tc>
      </w:tr>
      <w:tr w:rsidR="00B3433C" w:rsidRPr="00A16525" w:rsidTr="00F61B66">
        <w:trPr>
          <w:trHeight w:val="1632"/>
        </w:trPr>
        <w:tc>
          <w:tcPr>
            <w:tcW w:w="540" w:type="dxa"/>
          </w:tcPr>
          <w:p w:rsidR="00B3433C" w:rsidRPr="00E66390" w:rsidRDefault="00DC7781" w:rsidP="005921CC">
            <w:pPr>
              <w:spacing w:after="60"/>
              <w:jc w:val="center"/>
            </w:pPr>
            <w:r>
              <w:rPr>
                <w:sz w:val="22"/>
                <w:szCs w:val="22"/>
              </w:rPr>
              <w:t>2</w:t>
            </w:r>
            <w:r w:rsidR="00B3433C" w:rsidRPr="00E66390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B3433C" w:rsidRPr="00B3433C" w:rsidRDefault="00B3433C" w:rsidP="00B3433C">
            <w:r w:rsidRPr="00B3433C">
              <w:rPr>
                <w:sz w:val="22"/>
                <w:szCs w:val="22"/>
              </w:rPr>
              <w:t>35. Инвестиционный пай является именной ценной бумагой, удостоверяющей: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1) долю его владельца в праве собственности на имущество, составляющее фонд;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2) право требовать от управляющей компании надлежащего доверительного управления фондом;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3) право на участие в общем собрании владельцев инвестиционных паев;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4)  право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5) право владельцев инвестиционных паев на получение дохода по инвестиционному паю;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 xml:space="preserve">Доход по инвестиционному паю выплачивается владельцам инвестиционных паев по завершении отчетного периода. Под отчетным периодом понимается период времени, составляющий один календарный месяц.  Под первым отчетным периодом понимается период </w:t>
            </w:r>
            <w:proofErr w:type="gramStart"/>
            <w:r w:rsidRPr="00B3433C">
              <w:rPr>
                <w:sz w:val="22"/>
                <w:szCs w:val="22"/>
              </w:rPr>
              <w:t>с даты вступления</w:t>
            </w:r>
            <w:proofErr w:type="gramEnd"/>
            <w:r w:rsidRPr="00B3433C">
              <w:rPr>
                <w:sz w:val="22"/>
                <w:szCs w:val="22"/>
              </w:rPr>
              <w:t xml:space="preserve"> в силу изменений и дополнений в настоящие Правила, </w:t>
            </w:r>
            <w:r w:rsidRPr="00B3433C">
              <w:rPr>
                <w:sz w:val="22"/>
                <w:szCs w:val="22"/>
              </w:rPr>
              <w:lastRenderedPageBreak/>
              <w:t xml:space="preserve">связанные с установлением права владельцев инвестиционных паев на получение дохода по инвестиционному паю, до даты окончания календарного месяца, в котором указанные изменения вступили в силу.  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  не позднее 30 (Тридцати) дней начиная с 5 (Пятого) рабочего дня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</w:t>
            </w:r>
            <w:proofErr w:type="gramStart"/>
            <w:r w:rsidRPr="00B3433C">
              <w:rPr>
                <w:sz w:val="22"/>
                <w:szCs w:val="22"/>
              </w:rPr>
              <w:t>с даты получения</w:t>
            </w:r>
            <w:proofErr w:type="gramEnd"/>
            <w:r w:rsidRPr="00B3433C">
              <w:rPr>
                <w:sz w:val="22"/>
                <w:szCs w:val="22"/>
              </w:rPr>
              <w:t xml:space="preserve"> управляющей компанией необходимых сведений о реквизитах банковского счета для перечисления дохода. 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Промежуточные выплаты инвестиционного дохода в течение отчетного периода не производятся. Доход по инвестиционным паям составляет 10 (Десять) процентов от полученных в течение отчетного периода арендных платежей (без НДС).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</w:t>
            </w:r>
            <w:r w:rsidR="00D11306">
              <w:rPr>
                <w:sz w:val="22"/>
                <w:szCs w:val="22"/>
              </w:rPr>
              <w:t>ф</w:t>
            </w:r>
            <w:r w:rsidRPr="00B3433C">
              <w:rPr>
                <w:sz w:val="22"/>
                <w:szCs w:val="22"/>
              </w:rPr>
              <w:t xml:space="preserve">онда на дату составления списка лиц, имеющих право на получение дохода по инвестиционному паю </w:t>
            </w:r>
            <w:r w:rsidR="00D11306">
              <w:rPr>
                <w:sz w:val="22"/>
                <w:szCs w:val="22"/>
              </w:rPr>
              <w:t>ф</w:t>
            </w:r>
            <w:r w:rsidRPr="00B3433C">
              <w:rPr>
                <w:sz w:val="22"/>
                <w:szCs w:val="22"/>
              </w:rPr>
              <w:t>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</w:t>
            </w:r>
          </w:p>
          <w:p w:rsidR="00B3433C" w:rsidRPr="00B3433C" w:rsidRDefault="00B3433C" w:rsidP="00B3433C">
            <w:pPr>
              <w:ind w:firstLine="720"/>
            </w:pPr>
            <w:r w:rsidRPr="00B3433C">
              <w:rPr>
                <w:sz w:val="22"/>
                <w:szCs w:val="22"/>
              </w:rPr>
              <w:t>6) право на получение денежной компенсации при прекращении договора доверительного управления фондом со всеми 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паев.</w:t>
            </w:r>
          </w:p>
          <w:p w:rsidR="00B3433C" w:rsidRPr="00B3433C" w:rsidRDefault="00B3433C" w:rsidP="005941AF"/>
        </w:tc>
        <w:tc>
          <w:tcPr>
            <w:tcW w:w="5128" w:type="dxa"/>
          </w:tcPr>
          <w:p w:rsidR="00B3433C" w:rsidRPr="00B3433C" w:rsidRDefault="00B3433C" w:rsidP="00A16A19">
            <w:r w:rsidRPr="00B3433C">
              <w:rPr>
                <w:sz w:val="22"/>
                <w:szCs w:val="22"/>
              </w:rPr>
              <w:lastRenderedPageBreak/>
              <w:t>35. Инвестиционный пай является именной ценной бумагой, удостоверяющей: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1) долю его владельца в праве собственности на имущество, составляющее фонд;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2) право требовать от управляющей компании надлежащего доверительного управления фондом;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3) право на участие в общем собрании владельцев инвестиционных паев;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4)  право требовать от управляющей компании погашения инвестиционного пая и выплаты в связи с этим денежной компенсации, соразмерной приходящейся на него доле в праве общей собственности на имущество, составляющее фонд, в случаях, предусмотренных Федеральным законом «Об инвестиционных фондах» и настоящими Правилами;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5) право владельцев инвестиционных паев на получение дохода по инвестиционному паю;</w:t>
            </w:r>
          </w:p>
          <w:p w:rsidR="00220F13" w:rsidRPr="00220F13" w:rsidRDefault="00220F13" w:rsidP="00220F13">
            <w:pPr>
              <w:ind w:firstLine="720"/>
            </w:pPr>
            <w:r w:rsidRPr="00220F13">
              <w:rPr>
                <w:sz w:val="22"/>
                <w:szCs w:val="22"/>
              </w:rPr>
              <w:t xml:space="preserve">Доход по инвестиционному паю выплачивается владельцам инвестиционных паев по завершении отчетного периода. Под отчетным периодом понимается период времени, составляющий один календарный месяц.  Под первым отчетным периодом понимается период </w:t>
            </w:r>
            <w:proofErr w:type="gramStart"/>
            <w:r w:rsidRPr="00220F13">
              <w:rPr>
                <w:sz w:val="22"/>
                <w:szCs w:val="22"/>
              </w:rPr>
              <w:t>с даты вступления</w:t>
            </w:r>
            <w:proofErr w:type="gramEnd"/>
            <w:r w:rsidRPr="00220F13">
              <w:rPr>
                <w:sz w:val="22"/>
                <w:szCs w:val="22"/>
              </w:rPr>
              <w:t xml:space="preserve"> в силу изменений и дополнений в настоящие Правила, связанные с установлением права владельцев инвестиционных паев на получение дохода по инвестиционному паю, до даты окончания календарного месяца, в котором </w:t>
            </w:r>
            <w:r w:rsidRPr="00220F13">
              <w:rPr>
                <w:sz w:val="22"/>
                <w:szCs w:val="22"/>
              </w:rPr>
              <w:lastRenderedPageBreak/>
              <w:t xml:space="preserve">указанные изменения вступили в силу.  </w:t>
            </w:r>
          </w:p>
          <w:p w:rsidR="00220F13" w:rsidRPr="00220F13" w:rsidRDefault="00220F13" w:rsidP="00220F13">
            <w:r w:rsidRPr="00220F13">
              <w:rPr>
                <w:sz w:val="22"/>
                <w:szCs w:val="22"/>
              </w:rPr>
      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 не позднее 30 (Тридцати) дней начиная с 5 (Пятого) рабочего дня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</w:t>
            </w:r>
            <w:proofErr w:type="gramStart"/>
            <w:r w:rsidRPr="00220F13">
              <w:rPr>
                <w:sz w:val="22"/>
                <w:szCs w:val="22"/>
              </w:rPr>
              <w:t>с даты получения</w:t>
            </w:r>
            <w:proofErr w:type="gramEnd"/>
            <w:r w:rsidRPr="00220F13">
              <w:rPr>
                <w:sz w:val="22"/>
                <w:szCs w:val="22"/>
              </w:rPr>
              <w:t xml:space="preserve"> управляющей компанией необходимых сведений о реквизитах банковского счета для перечисления дохода.</w:t>
            </w:r>
          </w:p>
          <w:p w:rsidR="00220F13" w:rsidRPr="00220F13" w:rsidRDefault="00220F13" w:rsidP="00220F13">
            <w:r w:rsidRPr="00220F13">
              <w:rPr>
                <w:sz w:val="22"/>
                <w:szCs w:val="22"/>
              </w:rPr>
              <w:t>Промежуточные выплаты инвестиционного дохода в течение отчетного периода не производятся. Доход по инвестиционным паям составляет 100 (</w:t>
            </w:r>
            <w:proofErr w:type="spellStart"/>
            <w:proofErr w:type="gramStart"/>
            <w:r w:rsidRPr="00220F13">
              <w:rPr>
                <w:sz w:val="22"/>
                <w:szCs w:val="22"/>
              </w:rPr>
              <w:t>C</w:t>
            </w:r>
            <w:proofErr w:type="gramEnd"/>
            <w:r w:rsidRPr="00220F13">
              <w:rPr>
                <w:sz w:val="22"/>
                <w:szCs w:val="22"/>
              </w:rPr>
              <w:t>то</w:t>
            </w:r>
            <w:proofErr w:type="spellEnd"/>
            <w:r w:rsidRPr="00220F13">
              <w:rPr>
                <w:sz w:val="22"/>
                <w:szCs w:val="22"/>
              </w:rPr>
              <w:t>) процентов от суммы денежных средств, находящихся на расчетном рублевом счету № 40701810600005160402, открытом в АКЦИОНЕРНОМ КОММЕРЧЕСКОМ ИННОВАЦИОННОМ БАНКЕ «ОБРАЗОВАНИЕ» (акционерное общество), на последний рабочий день отчетного периода.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Доход по инвестиционному паю выплачивается владельцам инвестиционных паев исходя из количества принадл</w:t>
            </w:r>
            <w:r w:rsidR="00D11306">
              <w:rPr>
                <w:sz w:val="22"/>
                <w:szCs w:val="22"/>
              </w:rPr>
              <w:t>ежащих им инвестиционных паев ф</w:t>
            </w:r>
            <w:r w:rsidRPr="00B3433C">
              <w:rPr>
                <w:sz w:val="22"/>
                <w:szCs w:val="22"/>
              </w:rPr>
              <w:t xml:space="preserve">онда на дату составления списка лиц, имеющих право на получение дохода по инвестиционному паю </w:t>
            </w:r>
            <w:r w:rsidR="00D11306">
              <w:rPr>
                <w:sz w:val="22"/>
                <w:szCs w:val="22"/>
              </w:rPr>
              <w:t>ф</w:t>
            </w:r>
            <w:r w:rsidRPr="00B3433C">
              <w:rPr>
                <w:sz w:val="22"/>
                <w:szCs w:val="22"/>
              </w:rPr>
              <w:t>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</w:t>
            </w:r>
          </w:p>
          <w:p w:rsidR="00B3433C" w:rsidRPr="00B3433C" w:rsidRDefault="00B3433C" w:rsidP="00A16A19">
            <w:pPr>
              <w:ind w:firstLine="720"/>
            </w:pPr>
            <w:r w:rsidRPr="00B3433C">
              <w:rPr>
                <w:sz w:val="22"/>
                <w:szCs w:val="22"/>
              </w:rPr>
              <w:t>6) право на получение денежной компенсации при прекращении договора доверительного управления фондом со всеми владельцами инвестиционных паев (прекращении фонда) в размере, пропорциональном приходящейся на инвестиционный пай доле имущества, распределяемого среди владельцев инвестиционных паев.</w:t>
            </w:r>
          </w:p>
          <w:p w:rsidR="00B3433C" w:rsidRPr="00B3433C" w:rsidRDefault="00B3433C" w:rsidP="00A16A19"/>
        </w:tc>
      </w:tr>
    </w:tbl>
    <w:p w:rsidR="006A70A1" w:rsidRDefault="006A70A1"/>
    <w:p w:rsidR="00724C27" w:rsidRDefault="00724C27" w:rsidP="00724C27">
      <w:pPr>
        <w:rPr>
          <w:b/>
        </w:rPr>
      </w:pPr>
    </w:p>
    <w:p w:rsidR="00724C27" w:rsidRPr="00724C27" w:rsidRDefault="00724C27" w:rsidP="00724C27">
      <w:pPr>
        <w:rPr>
          <w:b/>
        </w:rPr>
      </w:pPr>
      <w:r w:rsidRPr="00724C27">
        <w:rPr>
          <w:b/>
        </w:rPr>
        <w:t>Генеральный директор</w:t>
      </w:r>
      <w:r w:rsidRPr="00724C27">
        <w:rPr>
          <w:b/>
        </w:rPr>
        <w:tab/>
      </w:r>
      <w:r w:rsidRPr="00724C27">
        <w:rPr>
          <w:b/>
        </w:rPr>
        <w:tab/>
      </w:r>
      <w:r w:rsidRPr="00724C27">
        <w:rPr>
          <w:b/>
        </w:rPr>
        <w:tab/>
      </w:r>
      <w:r>
        <w:rPr>
          <w:b/>
        </w:rPr>
        <w:t xml:space="preserve">                        </w:t>
      </w:r>
    </w:p>
    <w:p w:rsidR="00724C27" w:rsidRPr="00724C27" w:rsidRDefault="00724C27" w:rsidP="00724C27">
      <w:pPr>
        <w:tabs>
          <w:tab w:val="left" w:pos="5733"/>
          <w:tab w:val="left" w:pos="6303"/>
        </w:tabs>
        <w:rPr>
          <w:b/>
        </w:rPr>
      </w:pPr>
      <w:r w:rsidRPr="00724C27">
        <w:rPr>
          <w:b/>
        </w:rPr>
        <w:t>ООО «КАПИТАЛ ЭССЕТ МЕНЕДЖМЕНТ»</w:t>
      </w:r>
      <w:r>
        <w:rPr>
          <w:b/>
        </w:rPr>
        <w:tab/>
        <w:t>_______________________</w:t>
      </w:r>
      <w:r w:rsidRPr="00724C27">
        <w:rPr>
          <w:b/>
        </w:rPr>
        <w:t xml:space="preserve"> </w:t>
      </w:r>
      <w:r w:rsidR="002506F1">
        <w:rPr>
          <w:b/>
        </w:rPr>
        <w:t>Силаев П.В.</w:t>
      </w:r>
    </w:p>
    <w:p w:rsidR="006A70A1" w:rsidRPr="00830965" w:rsidRDefault="00724C27" w:rsidP="003A6445">
      <w:pPr>
        <w:tabs>
          <w:tab w:val="left" w:pos="7051"/>
        </w:tabs>
        <w:rPr>
          <w:b/>
        </w:rPr>
      </w:pPr>
      <w:r>
        <w:rPr>
          <w:b/>
        </w:rPr>
        <w:tab/>
      </w:r>
      <w:r w:rsidRPr="00724C27">
        <w:rPr>
          <w:b/>
          <w:sz w:val="18"/>
          <w:szCs w:val="18"/>
        </w:rPr>
        <w:t>М.П.</w:t>
      </w:r>
      <w:r w:rsidRPr="00724C27">
        <w:rPr>
          <w:b/>
        </w:rPr>
        <w:tab/>
      </w:r>
    </w:p>
    <w:sectPr w:rsidR="006A70A1" w:rsidRPr="00830965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66F"/>
    <w:rsid w:val="00011BB0"/>
    <w:rsid w:val="0002385C"/>
    <w:rsid w:val="00051657"/>
    <w:rsid w:val="000A254E"/>
    <w:rsid w:val="000A550D"/>
    <w:rsid w:val="000B641D"/>
    <w:rsid w:val="000B75A4"/>
    <w:rsid w:val="000C1C1C"/>
    <w:rsid w:val="000C398E"/>
    <w:rsid w:val="000F68CD"/>
    <w:rsid w:val="00104C83"/>
    <w:rsid w:val="001272B9"/>
    <w:rsid w:val="00137F3D"/>
    <w:rsid w:val="00150411"/>
    <w:rsid w:val="001777A0"/>
    <w:rsid w:val="001E092B"/>
    <w:rsid w:val="001E31A2"/>
    <w:rsid w:val="00220F13"/>
    <w:rsid w:val="00234878"/>
    <w:rsid w:val="002506F1"/>
    <w:rsid w:val="00252D45"/>
    <w:rsid w:val="00266E8B"/>
    <w:rsid w:val="00276E38"/>
    <w:rsid w:val="002B68A4"/>
    <w:rsid w:val="002B7DFB"/>
    <w:rsid w:val="002D1760"/>
    <w:rsid w:val="002F09B5"/>
    <w:rsid w:val="0032053D"/>
    <w:rsid w:val="003A1961"/>
    <w:rsid w:val="003A6445"/>
    <w:rsid w:val="003B31A7"/>
    <w:rsid w:val="003E4B6E"/>
    <w:rsid w:val="004664E7"/>
    <w:rsid w:val="0047092C"/>
    <w:rsid w:val="004832C9"/>
    <w:rsid w:val="004C7A41"/>
    <w:rsid w:val="00512FDF"/>
    <w:rsid w:val="005130FE"/>
    <w:rsid w:val="00527AD6"/>
    <w:rsid w:val="00531795"/>
    <w:rsid w:val="00543433"/>
    <w:rsid w:val="00581F17"/>
    <w:rsid w:val="005846E4"/>
    <w:rsid w:val="00591C83"/>
    <w:rsid w:val="005921CC"/>
    <w:rsid w:val="005941AF"/>
    <w:rsid w:val="005B34EB"/>
    <w:rsid w:val="00611A53"/>
    <w:rsid w:val="00620783"/>
    <w:rsid w:val="0063727D"/>
    <w:rsid w:val="006379E8"/>
    <w:rsid w:val="00654D84"/>
    <w:rsid w:val="006A70A1"/>
    <w:rsid w:val="006C7418"/>
    <w:rsid w:val="006F0455"/>
    <w:rsid w:val="0070046D"/>
    <w:rsid w:val="007178AF"/>
    <w:rsid w:val="0072288B"/>
    <w:rsid w:val="00724C27"/>
    <w:rsid w:val="00750185"/>
    <w:rsid w:val="00782A31"/>
    <w:rsid w:val="00821983"/>
    <w:rsid w:val="00830965"/>
    <w:rsid w:val="00840184"/>
    <w:rsid w:val="008638CD"/>
    <w:rsid w:val="008C43A2"/>
    <w:rsid w:val="008C47B1"/>
    <w:rsid w:val="00900D26"/>
    <w:rsid w:val="0093672D"/>
    <w:rsid w:val="009A7F9E"/>
    <w:rsid w:val="009B19F7"/>
    <w:rsid w:val="009C5027"/>
    <w:rsid w:val="009D723A"/>
    <w:rsid w:val="00A16525"/>
    <w:rsid w:val="00A16A19"/>
    <w:rsid w:val="00A24939"/>
    <w:rsid w:val="00A27C7F"/>
    <w:rsid w:val="00A3407C"/>
    <w:rsid w:val="00A55FFC"/>
    <w:rsid w:val="00A65CFD"/>
    <w:rsid w:val="00A85BB2"/>
    <w:rsid w:val="00A91836"/>
    <w:rsid w:val="00B07AB6"/>
    <w:rsid w:val="00B1404B"/>
    <w:rsid w:val="00B21235"/>
    <w:rsid w:val="00B3433C"/>
    <w:rsid w:val="00BA4B7B"/>
    <w:rsid w:val="00BC3573"/>
    <w:rsid w:val="00C21763"/>
    <w:rsid w:val="00C3351C"/>
    <w:rsid w:val="00C4147D"/>
    <w:rsid w:val="00C659B3"/>
    <w:rsid w:val="00C8246C"/>
    <w:rsid w:val="00CB366F"/>
    <w:rsid w:val="00CD12E9"/>
    <w:rsid w:val="00D056C5"/>
    <w:rsid w:val="00D11306"/>
    <w:rsid w:val="00D21A8F"/>
    <w:rsid w:val="00D83ED7"/>
    <w:rsid w:val="00D90AF4"/>
    <w:rsid w:val="00DA51C8"/>
    <w:rsid w:val="00DC7781"/>
    <w:rsid w:val="00DD7909"/>
    <w:rsid w:val="00E052FB"/>
    <w:rsid w:val="00E66390"/>
    <w:rsid w:val="00ED7ABD"/>
    <w:rsid w:val="00F06A88"/>
    <w:rsid w:val="00F14E5A"/>
    <w:rsid w:val="00F20136"/>
    <w:rsid w:val="00F209D1"/>
    <w:rsid w:val="00F26C0C"/>
    <w:rsid w:val="00F45F93"/>
    <w:rsid w:val="00F61B66"/>
    <w:rsid w:val="00F67855"/>
    <w:rsid w:val="00F805D2"/>
    <w:rsid w:val="00FC4095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007_частично действующая редакция</Статус_x0020_документа>
    <_EndDate xmlns="http://schemas.microsoft.com/sharepoint/v3/fields">03.03.2016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63205E-F2CC-42CC-AF91-3517CDACC8E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25C8A31-AF4B-412C-8BA7-D04A3A637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8D184-18AC-4B98-9252-1E804CFF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5927</Characters>
  <Application>Microsoft Office Word</Application>
  <DocSecurity>0</DocSecurity>
  <Lines>49</Lines>
  <Paragraphs>13</Paragraphs>
  <ScaleCrop>false</ScaleCrop>
  <Company>*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kulkova</cp:lastModifiedBy>
  <cp:revision>2</cp:revision>
  <cp:lastPrinted>2016-02-15T12:48:00Z</cp:lastPrinted>
  <dcterms:created xsi:type="dcterms:W3CDTF">2016-03-10T08:23:00Z</dcterms:created>
  <dcterms:modified xsi:type="dcterms:W3CDTF">2016-03-10T08:23:00Z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