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F1" w:rsidRPr="000A1894" w:rsidRDefault="007946F1" w:rsidP="00004EDC">
      <w:pPr>
        <w:pStyle w:val="fieldcomment"/>
        <w:jc w:val="right"/>
        <w:rPr>
          <w:rFonts w:ascii="Times New Roman" w:hAnsi="Times New Roman" w:cs="Times New Roman"/>
          <w:sz w:val="24"/>
          <w:szCs w:val="24"/>
          <w:lang w:val="ru-RU"/>
        </w:rPr>
      </w:pPr>
    </w:p>
    <w:p w:rsidR="00922599" w:rsidRPr="00806B60" w:rsidRDefault="00922599" w:rsidP="00922599">
      <w:pPr>
        <w:pStyle w:val="a8"/>
        <w:ind w:firstLine="284"/>
        <w:rPr>
          <w:rFonts w:ascii="Times New Roman" w:hAnsi="Times New Roman" w:cs="Times New Roman"/>
          <w:b/>
          <w:bCs/>
        </w:rPr>
      </w:pPr>
      <w:r w:rsidRPr="00806B60">
        <w:rPr>
          <w:rFonts w:ascii="Times New Roman" w:hAnsi="Times New Roman" w:cs="Times New Roman"/>
          <w:b/>
          <w:bCs/>
        </w:rPr>
        <w:t xml:space="preserve">Изменения и дополнения </w:t>
      </w:r>
    </w:p>
    <w:p w:rsidR="00922599" w:rsidRPr="00806B60" w:rsidRDefault="00934F33" w:rsidP="00922599">
      <w:pPr>
        <w:pStyle w:val="ConsTitle"/>
        <w:widowControl/>
        <w:jc w:val="center"/>
        <w:rPr>
          <w:rFonts w:ascii="Times New Roman" w:hAnsi="Times New Roman" w:cs="Times New Roman"/>
          <w:sz w:val="24"/>
          <w:szCs w:val="24"/>
        </w:rPr>
      </w:pPr>
      <w:r>
        <w:rPr>
          <w:rFonts w:ascii="Times New Roman" w:hAnsi="Times New Roman" w:cs="Times New Roman"/>
          <w:b w:val="0"/>
          <w:bCs w:val="0"/>
          <w:sz w:val="24"/>
          <w:szCs w:val="24"/>
        </w:rPr>
        <w:t xml:space="preserve"> </w:t>
      </w:r>
      <w:r w:rsidRPr="00934F33">
        <w:rPr>
          <w:rFonts w:ascii="Times New Roman" w:hAnsi="Times New Roman" w:cs="Times New Roman"/>
          <w:sz w:val="24"/>
          <w:szCs w:val="24"/>
        </w:rPr>
        <w:t>в Правила доверительного управления</w:t>
      </w:r>
    </w:p>
    <w:p w:rsidR="00922599" w:rsidRPr="00806B60" w:rsidRDefault="00934F33" w:rsidP="00922599">
      <w:pPr>
        <w:pStyle w:val="ConsTitle"/>
        <w:jc w:val="center"/>
        <w:rPr>
          <w:rFonts w:ascii="Times New Roman" w:hAnsi="Times New Roman" w:cs="Times New Roman"/>
          <w:sz w:val="24"/>
          <w:szCs w:val="24"/>
        </w:rPr>
      </w:pPr>
      <w:r w:rsidRPr="00934F33">
        <w:rPr>
          <w:rFonts w:ascii="Times New Roman" w:hAnsi="Times New Roman" w:cs="Times New Roman"/>
          <w:sz w:val="24"/>
          <w:szCs w:val="24"/>
        </w:rPr>
        <w:t xml:space="preserve"> Открытым паевым инвестиционным фондом </w:t>
      </w:r>
      <w:r w:rsidR="00713E18">
        <w:rPr>
          <w:rFonts w:ascii="Times New Roman" w:hAnsi="Times New Roman" w:cs="Times New Roman"/>
          <w:sz w:val="24"/>
          <w:szCs w:val="24"/>
        </w:rPr>
        <w:t>облигаций</w:t>
      </w:r>
    </w:p>
    <w:p w:rsidR="00922599" w:rsidRPr="00806B60" w:rsidRDefault="00713E18" w:rsidP="00922599">
      <w:pPr>
        <w:pStyle w:val="ConsTitle"/>
        <w:jc w:val="center"/>
        <w:rPr>
          <w:rFonts w:ascii="Times New Roman" w:hAnsi="Times New Roman" w:cs="Times New Roman"/>
          <w:sz w:val="24"/>
          <w:szCs w:val="24"/>
        </w:rPr>
      </w:pPr>
      <w:r>
        <w:rPr>
          <w:rFonts w:ascii="Times New Roman" w:hAnsi="Times New Roman" w:cs="Times New Roman"/>
          <w:sz w:val="24"/>
          <w:szCs w:val="24"/>
        </w:rPr>
        <w:t>«ПРОМСВЯЗЬ-ОБЛИГАЦИИ</w:t>
      </w:r>
      <w:r w:rsidR="00934F33" w:rsidRPr="00934F33">
        <w:rPr>
          <w:rFonts w:ascii="Times New Roman" w:hAnsi="Times New Roman" w:cs="Times New Roman"/>
          <w:sz w:val="24"/>
          <w:szCs w:val="24"/>
        </w:rPr>
        <w:t>»</w:t>
      </w:r>
    </w:p>
    <w:p w:rsidR="003B12E4" w:rsidRPr="000A1894" w:rsidRDefault="003B12E4" w:rsidP="003B12E4">
      <w:pPr>
        <w:pStyle w:val="a8"/>
        <w:spacing w:after="60"/>
        <w:ind w:firstLine="284"/>
        <w:rPr>
          <w:rFonts w:ascii="Times New Roman" w:hAnsi="Times New Roman" w:cs="Times New Roman"/>
        </w:rPr>
      </w:pPr>
    </w:p>
    <w:p w:rsidR="00922599" w:rsidRPr="00806B60" w:rsidRDefault="00934F33" w:rsidP="00922599">
      <w:pPr>
        <w:pStyle w:val="a8"/>
        <w:spacing w:after="60"/>
        <w:ind w:firstLine="284"/>
        <w:jc w:val="both"/>
        <w:rPr>
          <w:rFonts w:ascii="Times New Roman" w:hAnsi="Times New Roman" w:cs="Times New Roman"/>
        </w:rPr>
      </w:pPr>
      <w:r w:rsidRPr="00934F33">
        <w:rPr>
          <w:rFonts w:ascii="Times New Roman" w:hAnsi="Times New Roman" w:cs="Times New Roman"/>
        </w:rPr>
        <w:t xml:space="preserve">Внести в Правила доверительного управления Открытым паевым </w:t>
      </w:r>
      <w:r w:rsidR="00713E18">
        <w:rPr>
          <w:rFonts w:ascii="Times New Roman" w:hAnsi="Times New Roman" w:cs="Times New Roman"/>
        </w:rPr>
        <w:t>инвестиционным фондом облигаций «ПРОМСВЯЗЬ-ОБЛИГАЦИИ</w:t>
      </w:r>
      <w:r w:rsidRPr="00934F33">
        <w:rPr>
          <w:rFonts w:ascii="Times New Roman" w:hAnsi="Times New Roman" w:cs="Times New Roman"/>
        </w:rPr>
        <w:t>», зарегистрированные ФСФР Р</w:t>
      </w:r>
      <w:r w:rsidR="00713E18">
        <w:rPr>
          <w:rFonts w:ascii="Times New Roman" w:hAnsi="Times New Roman" w:cs="Times New Roman"/>
        </w:rPr>
        <w:t>оссии 23 марта 2005 г. за № 0335-76034355</w:t>
      </w:r>
      <w:r w:rsidRPr="00934F33">
        <w:rPr>
          <w:rFonts w:ascii="Times New Roman" w:hAnsi="Times New Roman" w:cs="Times New Roman"/>
        </w:rPr>
        <w:t>, следующие изменения и дополнения:</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3"/>
        <w:gridCol w:w="4643"/>
      </w:tblGrid>
      <w:tr w:rsidR="007946F1" w:rsidRPr="000A1894" w:rsidTr="00AF5759">
        <w:trPr>
          <w:trHeight w:val="525"/>
        </w:trPr>
        <w:tc>
          <w:tcPr>
            <w:tcW w:w="4733" w:type="dxa"/>
            <w:vAlign w:val="center"/>
          </w:tcPr>
          <w:p w:rsidR="00E56741" w:rsidRPr="00505D00" w:rsidRDefault="007946F1" w:rsidP="00C91B49">
            <w:pPr>
              <w:pStyle w:val="prg3"/>
              <w:spacing w:line="280" w:lineRule="exact"/>
              <w:jc w:val="center"/>
              <w:rPr>
                <w:rFonts w:ascii="Times New Roman" w:hAnsi="Times New Roman" w:cs="Times New Roman"/>
                <w:b/>
                <w:kern w:val="0"/>
                <w:sz w:val="24"/>
                <w:szCs w:val="24"/>
                <w:lang w:val="en-US"/>
              </w:rPr>
            </w:pPr>
            <w:r w:rsidRPr="00505D00">
              <w:rPr>
                <w:rFonts w:ascii="Times New Roman" w:hAnsi="Times New Roman" w:cs="Times New Roman"/>
                <w:b/>
                <w:kern w:val="0"/>
                <w:sz w:val="24"/>
                <w:szCs w:val="24"/>
              </w:rPr>
              <w:t>Старая редакция</w:t>
            </w:r>
          </w:p>
        </w:tc>
        <w:tc>
          <w:tcPr>
            <w:tcW w:w="4643" w:type="dxa"/>
            <w:vAlign w:val="center"/>
          </w:tcPr>
          <w:p w:rsidR="00E56741" w:rsidRPr="00505D00" w:rsidRDefault="007946F1" w:rsidP="00C91B49">
            <w:pPr>
              <w:pStyle w:val="prg3"/>
              <w:jc w:val="center"/>
              <w:rPr>
                <w:rFonts w:ascii="Times New Roman" w:hAnsi="Times New Roman" w:cs="Times New Roman"/>
                <w:b/>
                <w:sz w:val="24"/>
                <w:szCs w:val="24"/>
                <w:lang w:val="en-US"/>
              </w:rPr>
            </w:pPr>
            <w:r w:rsidRPr="00505D00">
              <w:rPr>
                <w:rFonts w:ascii="Times New Roman" w:hAnsi="Times New Roman" w:cs="Times New Roman"/>
                <w:b/>
                <w:sz w:val="24"/>
                <w:szCs w:val="24"/>
              </w:rPr>
              <w:t>Новая редакция</w:t>
            </w:r>
          </w:p>
        </w:tc>
      </w:tr>
      <w:tr w:rsidR="00F807DB" w:rsidRPr="000A1894" w:rsidTr="00AF5759">
        <w:trPr>
          <w:trHeight w:val="376"/>
        </w:trPr>
        <w:tc>
          <w:tcPr>
            <w:tcW w:w="4733" w:type="dxa"/>
            <w:vAlign w:val="center"/>
          </w:tcPr>
          <w:p w:rsidR="00505D00" w:rsidRDefault="00505D00" w:rsidP="00C7732A">
            <w:pPr>
              <w:pStyle w:val="1"/>
              <w:spacing w:before="0" w:after="0" w:line="360" w:lineRule="atLeast"/>
              <w:rPr>
                <w:rFonts w:ascii="Times New Roman" w:hAnsi="Times New Roman" w:cs="Times New Roman"/>
                <w:lang w:val="ru-RU"/>
              </w:rPr>
            </w:pPr>
            <w:bookmarkStart w:id="0" w:name="p_2"/>
            <w:bookmarkEnd w:id="0"/>
          </w:p>
          <w:p w:rsidR="00C7732A" w:rsidRPr="00505D00" w:rsidRDefault="00C7732A" w:rsidP="00C7732A">
            <w:pPr>
              <w:pStyle w:val="1"/>
              <w:spacing w:before="0" w:after="0" w:line="360" w:lineRule="atLeast"/>
              <w:rPr>
                <w:rFonts w:ascii="Times New Roman" w:hAnsi="Times New Roman" w:cs="Times New Roman"/>
                <w:lang w:val="ru-RU"/>
              </w:rPr>
            </w:pPr>
            <w:r w:rsidRPr="00505D00">
              <w:rPr>
                <w:rFonts w:ascii="Times New Roman" w:hAnsi="Times New Roman" w:cs="Times New Roman"/>
              </w:rPr>
              <w:t>II</w:t>
            </w:r>
            <w:r w:rsidR="00377C0E" w:rsidRPr="00505D00">
              <w:rPr>
                <w:rFonts w:ascii="Times New Roman" w:hAnsi="Times New Roman" w:cs="Times New Roman"/>
                <w:lang w:val="ru-RU"/>
              </w:rPr>
              <w:t>. Инвестиционная декларация</w:t>
            </w:r>
          </w:p>
          <w:p w:rsidR="00C7732A" w:rsidRPr="003057B4" w:rsidRDefault="00C7732A" w:rsidP="00C7732A">
            <w:pPr>
              <w:ind w:firstLine="720"/>
              <w:jc w:val="both"/>
              <w:rPr>
                <w:rFonts w:ascii="21. Целью инвестиционной полити" w:hAnsi="21. Целью инвестиционной полити"/>
              </w:rPr>
            </w:pPr>
            <w:r w:rsidRPr="00505D00">
              <w:rPr>
                <w:color w:val="000000"/>
              </w:rPr>
              <w:t>21</w:t>
            </w:r>
            <w:r w:rsidRPr="00505D00">
              <w:t>. </w:t>
            </w:r>
            <w:r w:rsidR="003057B4" w:rsidRPr="00C35ADA">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r w:rsidRPr="003057B4">
              <w:rPr>
                <w:rFonts w:ascii="21. Целью инвестиционной полити" w:hAnsi="21. Целью инвестиционной полити"/>
              </w:rPr>
              <w:t>.</w:t>
            </w:r>
          </w:p>
          <w:p w:rsidR="003057B4" w:rsidRDefault="00C7732A" w:rsidP="00C7732A">
            <w:pPr>
              <w:ind w:firstLine="720"/>
              <w:jc w:val="both"/>
              <w:rPr>
                <w:color w:val="000000"/>
              </w:rPr>
            </w:pPr>
            <w:r w:rsidRPr="00505D00">
              <w:t xml:space="preserve">22. </w:t>
            </w:r>
            <w:r w:rsidR="003057B4" w:rsidRPr="00C35ADA">
              <w:t>Инвестиционной политикой управляющей компании является краткосрочное вложение средств в ценные бумаги для достижения прироста имущества, составляющего фонд</w:t>
            </w:r>
            <w:bookmarkStart w:id="1" w:name="p_27"/>
            <w:bookmarkEnd w:id="1"/>
            <w:r w:rsidR="003057B4" w:rsidRPr="00505D00">
              <w:rPr>
                <w:color w:val="000000"/>
              </w:rPr>
              <w:t xml:space="preserve"> </w:t>
            </w:r>
          </w:p>
          <w:p w:rsidR="00C7732A" w:rsidRPr="00505D00" w:rsidRDefault="00C7732A" w:rsidP="00C7732A">
            <w:pPr>
              <w:ind w:firstLine="720"/>
              <w:jc w:val="both"/>
              <w:rPr>
                <w:color w:val="000000"/>
              </w:rPr>
            </w:pPr>
            <w:r w:rsidRPr="00505D00">
              <w:rPr>
                <w:color w:val="000000"/>
              </w:rPr>
              <w:t>23. Объекты инвестирования, их состав и описание.</w:t>
            </w:r>
          </w:p>
          <w:p w:rsidR="00C7732A" w:rsidRPr="00505D00" w:rsidRDefault="00C7732A" w:rsidP="00C7732A">
            <w:pPr>
              <w:ind w:firstLine="720"/>
              <w:jc w:val="both"/>
              <w:rPr>
                <w:color w:val="000000"/>
              </w:rPr>
            </w:pPr>
            <w:r w:rsidRPr="00505D00">
              <w:rPr>
                <w:color w:val="000000"/>
              </w:rPr>
              <w:t>23.1. Имущество, составляющее фонд, может быть инвестировано в:</w:t>
            </w:r>
          </w:p>
          <w:p w:rsidR="003C4C2D" w:rsidRPr="00C35ADA" w:rsidRDefault="003C4C2D" w:rsidP="003C4C2D">
            <w:pPr>
              <w:numPr>
                <w:ilvl w:val="0"/>
                <w:numId w:val="28"/>
              </w:numPr>
              <w:tabs>
                <w:tab w:val="clear" w:pos="720"/>
                <w:tab w:val="num" w:pos="798"/>
              </w:tabs>
              <w:ind w:left="0" w:firstLine="567"/>
              <w:contextualSpacing/>
              <w:jc w:val="both"/>
              <w:rPr>
                <w:bCs/>
              </w:rPr>
            </w:pPr>
            <w:r w:rsidRPr="00C35ADA">
              <w:rPr>
                <w:bCs/>
              </w:rPr>
              <w:t>денежные средства, в том числе иностранную валюту, на счетах и во вкладах в кредитных организациях;</w:t>
            </w:r>
          </w:p>
          <w:p w:rsidR="003C4C2D" w:rsidRPr="00C35ADA" w:rsidRDefault="003C4C2D" w:rsidP="003C4C2D">
            <w:pPr>
              <w:numPr>
                <w:ilvl w:val="0"/>
                <w:numId w:val="28"/>
              </w:numPr>
              <w:tabs>
                <w:tab w:val="clear" w:pos="720"/>
                <w:tab w:val="num" w:pos="798"/>
              </w:tabs>
              <w:ind w:left="0" w:firstLine="567"/>
              <w:contextualSpacing/>
              <w:jc w:val="both"/>
              <w:rPr>
                <w:bCs/>
              </w:rPr>
            </w:pPr>
            <w:r w:rsidRPr="00C35ADA">
              <w:rPr>
                <w:bCs/>
              </w:rPr>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3C4C2D" w:rsidRPr="00C35ADA" w:rsidRDefault="003C4C2D" w:rsidP="003C4C2D">
            <w:pPr>
              <w:numPr>
                <w:ilvl w:val="0"/>
                <w:numId w:val="28"/>
              </w:numPr>
              <w:tabs>
                <w:tab w:val="clear" w:pos="720"/>
                <w:tab w:val="num" w:pos="798"/>
              </w:tabs>
              <w:ind w:left="0" w:firstLine="567"/>
              <w:contextualSpacing/>
              <w:jc w:val="both"/>
              <w:rPr>
                <w:bCs/>
              </w:rPr>
            </w:pPr>
            <w:r w:rsidRPr="00C35ADA">
              <w:rPr>
                <w:bCs/>
              </w:rPr>
              <w:t>полностью оплаченные акции иностранных акционерных обществ;</w:t>
            </w:r>
          </w:p>
          <w:p w:rsidR="003C4C2D" w:rsidRPr="00C35ADA" w:rsidRDefault="003C4C2D" w:rsidP="003C4C2D">
            <w:pPr>
              <w:numPr>
                <w:ilvl w:val="0"/>
                <w:numId w:val="28"/>
              </w:numPr>
              <w:tabs>
                <w:tab w:val="clear" w:pos="720"/>
                <w:tab w:val="num" w:pos="798"/>
              </w:tabs>
              <w:ind w:left="0" w:firstLine="567"/>
              <w:contextualSpacing/>
              <w:jc w:val="both"/>
              <w:rPr>
                <w:bCs/>
              </w:rPr>
            </w:pPr>
            <w:r w:rsidRPr="00C35ADA">
              <w:rPr>
                <w:bCs/>
              </w:rPr>
              <w:t>долговые инструменты, включая:</w:t>
            </w:r>
          </w:p>
          <w:p w:rsidR="003C4C2D" w:rsidRPr="00C35ADA" w:rsidRDefault="003C4C2D" w:rsidP="003C4C2D">
            <w:pPr>
              <w:numPr>
                <w:ilvl w:val="1"/>
                <w:numId w:val="28"/>
              </w:numPr>
              <w:tabs>
                <w:tab w:val="clear" w:pos="2175"/>
                <w:tab w:val="left" w:pos="1701"/>
              </w:tabs>
              <w:ind w:left="567" w:firstLine="567"/>
              <w:contextualSpacing/>
              <w:jc w:val="both"/>
              <w:rPr>
                <w:bCs/>
              </w:rPr>
            </w:pPr>
            <w:r w:rsidRPr="00C35ADA">
              <w:rPr>
                <w:bCs/>
              </w:rPr>
              <w:t>облигации российских хозяйственных обществ</w:t>
            </w:r>
            <w:r w:rsidRPr="00C35ADA">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w:t>
            </w:r>
            <w:r w:rsidRPr="00C35ADA">
              <w:rPr>
                <w:bCs/>
              </w:rPr>
              <w:t xml:space="preserve"> в </w:t>
            </w:r>
            <w:r w:rsidRPr="00C35ADA">
              <w:rPr>
                <w:bCs/>
              </w:rPr>
              <w:lastRenderedPageBreak/>
              <w:t>качестве проспекта эмиссии ценных бумаг);</w:t>
            </w:r>
          </w:p>
          <w:p w:rsidR="003C4C2D" w:rsidRPr="00C35ADA" w:rsidRDefault="003C4C2D" w:rsidP="003C4C2D">
            <w:pPr>
              <w:numPr>
                <w:ilvl w:val="1"/>
                <w:numId w:val="28"/>
              </w:numPr>
              <w:tabs>
                <w:tab w:val="clear" w:pos="2175"/>
                <w:tab w:val="left" w:pos="1701"/>
              </w:tabs>
              <w:ind w:left="567" w:firstLine="567"/>
              <w:contextualSpacing/>
              <w:jc w:val="both"/>
              <w:rPr>
                <w:bCs/>
              </w:rPr>
            </w:pPr>
            <w:r w:rsidRPr="00C35ADA">
              <w:rPr>
                <w:bCs/>
              </w:rPr>
              <w:t>биржевые облигации российских хозяйственных обществ;</w:t>
            </w:r>
          </w:p>
          <w:p w:rsidR="003C4C2D" w:rsidRPr="00C35ADA" w:rsidRDefault="003C4C2D" w:rsidP="003C4C2D">
            <w:pPr>
              <w:numPr>
                <w:ilvl w:val="1"/>
                <w:numId w:val="28"/>
              </w:numPr>
              <w:tabs>
                <w:tab w:val="clear" w:pos="2175"/>
                <w:tab w:val="left" w:pos="1701"/>
              </w:tabs>
              <w:ind w:left="567" w:firstLine="567"/>
              <w:contextualSpacing/>
              <w:jc w:val="both"/>
              <w:rPr>
                <w:bCs/>
              </w:rPr>
            </w:pPr>
            <w:r w:rsidRPr="00C35ADA">
              <w:rPr>
                <w:bCs/>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C4C2D" w:rsidRPr="00C35ADA" w:rsidRDefault="003C4C2D" w:rsidP="003C4C2D">
            <w:pPr>
              <w:numPr>
                <w:ilvl w:val="1"/>
                <w:numId w:val="28"/>
              </w:numPr>
              <w:tabs>
                <w:tab w:val="clear" w:pos="2175"/>
                <w:tab w:val="left" w:pos="1701"/>
              </w:tabs>
              <w:ind w:left="567" w:firstLine="567"/>
              <w:contextualSpacing/>
              <w:jc w:val="both"/>
              <w:rPr>
                <w:bCs/>
              </w:rPr>
            </w:pPr>
            <w:r w:rsidRPr="00C35ADA">
              <w:rPr>
                <w:bCs/>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3C4C2D" w:rsidRPr="00C35ADA" w:rsidRDefault="003C4C2D" w:rsidP="003C4C2D">
            <w:pPr>
              <w:numPr>
                <w:ilvl w:val="1"/>
                <w:numId w:val="28"/>
              </w:numPr>
              <w:tabs>
                <w:tab w:val="clear" w:pos="2175"/>
                <w:tab w:val="left" w:pos="1701"/>
              </w:tabs>
              <w:ind w:left="567" w:firstLine="567"/>
              <w:contextualSpacing/>
              <w:jc w:val="both"/>
              <w:rPr>
                <w:bCs/>
              </w:rPr>
            </w:pPr>
            <w:r w:rsidRPr="00C35ADA">
              <w:rPr>
                <w:bCs/>
              </w:rPr>
              <w:t>российские и иностранные депозитарные расписки на ценные бумаги, предусмотренные подпунктами «а», «б», «в» и «г» настоящего пункта;</w:t>
            </w:r>
          </w:p>
          <w:p w:rsidR="003C4C2D" w:rsidRDefault="003C4C2D" w:rsidP="003C4C2D">
            <w:pPr>
              <w:numPr>
                <w:ilvl w:val="0"/>
                <w:numId w:val="28"/>
              </w:numPr>
              <w:tabs>
                <w:tab w:val="clear" w:pos="720"/>
                <w:tab w:val="num" w:pos="939"/>
              </w:tabs>
              <w:ind w:left="0" w:firstLine="567"/>
              <w:contextualSpacing/>
              <w:jc w:val="both"/>
              <w:rPr>
                <w:bCs/>
              </w:rPr>
            </w:pPr>
            <w:r w:rsidRPr="00C35ADA">
              <w:rPr>
                <w:bCs/>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облигаций или фондов денежного рынка;</w:t>
            </w:r>
          </w:p>
          <w:p w:rsidR="003C4C2D" w:rsidRPr="00335478" w:rsidRDefault="003C4C2D" w:rsidP="003C4C2D">
            <w:pPr>
              <w:numPr>
                <w:ilvl w:val="0"/>
                <w:numId w:val="28"/>
              </w:numPr>
              <w:tabs>
                <w:tab w:val="clear" w:pos="720"/>
                <w:tab w:val="num" w:pos="939"/>
              </w:tabs>
              <w:ind w:left="0" w:firstLine="567"/>
              <w:contextualSpacing/>
              <w:jc w:val="both"/>
              <w:rPr>
                <w:bCs/>
              </w:rPr>
            </w:pPr>
            <w:r w:rsidRPr="00335478">
              <w:rPr>
                <w:bCs/>
              </w:rPr>
              <w:t>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23.3 настоящих Правил, – значение «С», пятая буква - значение «S».</w:t>
            </w:r>
          </w:p>
          <w:p w:rsidR="003C4C2D" w:rsidRPr="003C4C2D" w:rsidRDefault="003C4C2D" w:rsidP="003C4C2D">
            <w:pPr>
              <w:pStyle w:val="af8"/>
              <w:numPr>
                <w:ilvl w:val="1"/>
                <w:numId w:val="33"/>
              </w:numPr>
              <w:tabs>
                <w:tab w:val="left" w:pos="1134"/>
              </w:tabs>
              <w:jc w:val="both"/>
              <w:rPr>
                <w:bCs/>
              </w:rPr>
            </w:pPr>
            <w:r w:rsidRPr="003C4C2D">
              <w:rPr>
                <w:bCs/>
              </w:rPr>
              <w:t>Имущество, составляющее фонд, может быть инвестировано в обыкновенные и привилегированные акции, эмитентами которых являются российские и иностранные юридические лица.</w:t>
            </w:r>
          </w:p>
          <w:p w:rsidR="003C4C2D" w:rsidRPr="00C35ADA" w:rsidRDefault="003C4C2D" w:rsidP="003C4C2D">
            <w:pPr>
              <w:ind w:firstLine="567"/>
              <w:contextualSpacing/>
              <w:jc w:val="both"/>
              <w:rPr>
                <w:bCs/>
              </w:rPr>
            </w:pPr>
            <w:r w:rsidRPr="00C35ADA">
              <w:rPr>
                <w:bCs/>
              </w:rPr>
              <w:tab/>
              <w:t xml:space="preserve">Имущество, составляющее фонд, </w:t>
            </w:r>
            <w:r w:rsidRPr="00C35ADA">
              <w:rPr>
                <w:bCs/>
              </w:rPr>
              <w:lastRenderedPageBreak/>
              <w:t>может быть инвестировано в облигации, эмитентами которых могут быть:</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федеральные органы исполнительной власти Российской Федерации;</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 xml:space="preserve">органы исполнительной власти субъектов Российской Федерации; </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российские органы местного самоуправления;</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иностранные органы государственной власти;</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международные финансовые организации;</w:t>
            </w:r>
          </w:p>
          <w:p w:rsidR="003C4C2D" w:rsidRPr="00C35ADA" w:rsidRDefault="003C4C2D" w:rsidP="003C4C2D">
            <w:pPr>
              <w:numPr>
                <w:ilvl w:val="0"/>
                <w:numId w:val="31"/>
              </w:numPr>
              <w:tabs>
                <w:tab w:val="clear" w:pos="1260"/>
                <w:tab w:val="left" w:pos="1134"/>
              </w:tabs>
              <w:ind w:left="0" w:firstLine="567"/>
              <w:contextualSpacing/>
              <w:jc w:val="both"/>
              <w:rPr>
                <w:bCs/>
              </w:rPr>
            </w:pPr>
            <w:r w:rsidRPr="00C35ADA">
              <w:rPr>
                <w:bCs/>
              </w:rPr>
              <w:t>российские и иностранные юридические лица.</w:t>
            </w:r>
          </w:p>
          <w:p w:rsidR="003C4C2D" w:rsidRPr="00C35ADA" w:rsidRDefault="003C4C2D" w:rsidP="003C4C2D">
            <w:pPr>
              <w:ind w:firstLine="567"/>
              <w:contextualSpacing/>
              <w:jc w:val="both"/>
              <w:rPr>
                <w:bCs/>
              </w:rPr>
            </w:pPr>
            <w:r w:rsidRPr="00C35ADA">
              <w:rPr>
                <w:bCs/>
              </w:rPr>
              <w:tab/>
              <w:t>Лица, обязанные по:</w:t>
            </w:r>
          </w:p>
          <w:p w:rsidR="003C4C2D" w:rsidRPr="00C35ADA" w:rsidRDefault="003C4C2D" w:rsidP="003C4C2D">
            <w:pPr>
              <w:ind w:firstLine="567"/>
              <w:contextualSpacing/>
              <w:jc w:val="both"/>
              <w:rPr>
                <w:bCs/>
              </w:rPr>
            </w:pPr>
            <w:r w:rsidRPr="00C35ADA">
              <w:rPr>
                <w:bCs/>
              </w:rPr>
              <w:tab/>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3C4C2D" w:rsidRPr="00C35ADA" w:rsidRDefault="003C4C2D" w:rsidP="003C4C2D">
            <w:pPr>
              <w:ind w:firstLine="567"/>
              <w:contextualSpacing/>
              <w:jc w:val="both"/>
              <w:rPr>
                <w:bCs/>
              </w:rPr>
            </w:pPr>
            <w:r w:rsidRPr="00C35ADA">
              <w:rPr>
                <w:bCs/>
              </w:rPr>
              <w:tab/>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3C4C2D" w:rsidRPr="00C35ADA" w:rsidDel="00B57F5A" w:rsidRDefault="003C4C2D" w:rsidP="003C4C2D">
            <w:pPr>
              <w:ind w:firstLine="567"/>
              <w:contextualSpacing/>
              <w:jc w:val="both"/>
              <w:rPr>
                <w:bCs/>
              </w:rPr>
            </w:pPr>
            <w:r w:rsidRPr="00C35ADA">
              <w:rPr>
                <w:bCs/>
              </w:rPr>
              <w:tab/>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w:t>
            </w:r>
            <w:r w:rsidRPr="00C35ADA">
              <w:rPr>
                <w:bCs/>
              </w:rPr>
              <w:lastRenderedPageBreak/>
              <w:t>агентствами Блумберг (Bloomberg) или Томсон Рейтерс (</w:t>
            </w:r>
            <w:r w:rsidRPr="00C35ADA">
              <w:rPr>
                <w:bCs/>
                <w:lang w:val="en-US"/>
              </w:rPr>
              <w:t>Thompson</w:t>
            </w:r>
            <w:r w:rsidRPr="00C35ADA">
              <w:rPr>
                <w:bCs/>
              </w:rPr>
              <w:t xml:space="preserve"> Reuters), либо такие ценные бумаги обращаются на организованном рынке ценных бумаг.</w:t>
            </w:r>
          </w:p>
          <w:p w:rsidR="003C4C2D" w:rsidRPr="00505D00" w:rsidRDefault="003C4C2D" w:rsidP="003C4C2D">
            <w:pPr>
              <w:autoSpaceDE w:val="0"/>
              <w:autoSpaceDN w:val="0"/>
              <w:adjustRightInd w:val="0"/>
              <w:ind w:left="900"/>
              <w:jc w:val="both"/>
              <w:rPr>
                <w:rFonts w:ascii="AGOpusHR" w:hAnsi="AGOpusHR" w:cs="AGOpusHR"/>
                <w:color w:val="000000"/>
                <w:lang w:eastAsia="ru-RU"/>
              </w:rPr>
            </w:pPr>
          </w:p>
          <w:p w:rsidR="00D75430" w:rsidRPr="00C35ADA" w:rsidRDefault="00D75430" w:rsidP="00D75430">
            <w:pPr>
              <w:tabs>
                <w:tab w:val="left" w:pos="1134"/>
              </w:tabs>
              <w:contextualSpacing/>
              <w:jc w:val="both"/>
              <w:rPr>
                <w:bCs/>
              </w:rPr>
            </w:pPr>
            <w:r>
              <w:rPr>
                <w:bCs/>
              </w:rPr>
              <w:t>23.3.</w:t>
            </w:r>
            <w:r w:rsidRPr="00C35ADA">
              <w:rPr>
                <w:bCs/>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75430" w:rsidRDefault="00D75430" w:rsidP="00D75430">
            <w:pPr>
              <w:numPr>
                <w:ilvl w:val="2"/>
                <w:numId w:val="34"/>
              </w:numPr>
              <w:tabs>
                <w:tab w:val="left" w:pos="1134"/>
              </w:tabs>
              <w:ind w:left="0" w:firstLine="567"/>
              <w:contextualSpacing/>
              <w:jc w:val="both"/>
              <w:rPr>
                <w:bCs/>
              </w:rPr>
            </w:pPr>
            <w:r w:rsidRPr="00C35ADA">
              <w:rPr>
                <w:bCs/>
              </w:rPr>
              <w:t>Американская фондовая биржа (American Stock Exchange);</w:t>
            </w:r>
          </w:p>
          <w:p w:rsidR="00D75430" w:rsidRDefault="00D75430" w:rsidP="00D75430">
            <w:pPr>
              <w:numPr>
                <w:ilvl w:val="2"/>
                <w:numId w:val="34"/>
              </w:numPr>
              <w:tabs>
                <w:tab w:val="left" w:pos="1134"/>
              </w:tabs>
              <w:ind w:left="0" w:firstLine="567"/>
              <w:contextualSpacing/>
              <w:jc w:val="both"/>
              <w:rPr>
                <w:bCs/>
              </w:rPr>
            </w:pPr>
            <w:r w:rsidRPr="008C6A62">
              <w:rPr>
                <w:bCs/>
              </w:rPr>
              <w:t>Гонконгская фондовая биржа (Hong Kong Stock Exchange);</w:t>
            </w:r>
          </w:p>
          <w:p w:rsidR="00D75430" w:rsidRPr="00092BB7" w:rsidRDefault="00D75430" w:rsidP="00D75430">
            <w:pPr>
              <w:numPr>
                <w:ilvl w:val="2"/>
                <w:numId w:val="34"/>
              </w:numPr>
              <w:tabs>
                <w:tab w:val="left" w:pos="1134"/>
              </w:tabs>
              <w:ind w:left="0" w:firstLine="567"/>
              <w:contextualSpacing/>
              <w:jc w:val="both"/>
              <w:rPr>
                <w:bCs/>
                <w:lang w:val="en-US"/>
              </w:rPr>
            </w:pPr>
            <w:r w:rsidRPr="008C6A62">
              <w:rPr>
                <w:bCs/>
              </w:rPr>
              <w:t>Евронекст</w:t>
            </w:r>
            <w:r w:rsidRPr="00092BB7">
              <w:rPr>
                <w:bCs/>
                <w:lang w:val="en-US"/>
              </w:rPr>
              <w:t xml:space="preserve"> (Euronext Amsterdam, Euronext Brussels, Euronext Lisbon, Euronext Paris);</w:t>
            </w:r>
          </w:p>
          <w:p w:rsidR="00D75430" w:rsidRDefault="00D75430" w:rsidP="00D75430">
            <w:pPr>
              <w:numPr>
                <w:ilvl w:val="2"/>
                <w:numId w:val="34"/>
              </w:numPr>
              <w:tabs>
                <w:tab w:val="left" w:pos="1134"/>
              </w:tabs>
              <w:ind w:left="0" w:firstLine="567"/>
              <w:contextualSpacing/>
              <w:jc w:val="both"/>
              <w:rPr>
                <w:bCs/>
              </w:rPr>
            </w:pPr>
            <w:r w:rsidRPr="008C6A62">
              <w:rPr>
                <w:bCs/>
              </w:rPr>
              <w:t xml:space="preserve">Закрытое акционерное общество </w:t>
            </w:r>
            <w:r>
              <w:rPr>
                <w:bCs/>
              </w:rPr>
              <w:t>«</w:t>
            </w:r>
            <w:r w:rsidRPr="008C6A62">
              <w:rPr>
                <w:bCs/>
              </w:rPr>
              <w:t>Фондовая биржа ММВБ</w:t>
            </w:r>
            <w:r>
              <w:rPr>
                <w:bCs/>
              </w:rPr>
              <w:t>»</w:t>
            </w:r>
            <w:r w:rsidRPr="008C6A62">
              <w:rPr>
                <w:bCs/>
              </w:rPr>
              <w:t>;</w:t>
            </w:r>
          </w:p>
          <w:p w:rsidR="00D75430" w:rsidRDefault="00D75430" w:rsidP="00D75430">
            <w:pPr>
              <w:numPr>
                <w:ilvl w:val="2"/>
                <w:numId w:val="34"/>
              </w:numPr>
              <w:tabs>
                <w:tab w:val="left" w:pos="1134"/>
              </w:tabs>
              <w:ind w:left="0" w:firstLine="567"/>
              <w:contextualSpacing/>
              <w:jc w:val="both"/>
              <w:rPr>
                <w:bCs/>
              </w:rPr>
            </w:pPr>
            <w:r w:rsidRPr="008C6A62">
              <w:rPr>
                <w:bCs/>
              </w:rPr>
              <w:t>Ирландская фондовая биржа (Irish Stock Exchange);</w:t>
            </w:r>
          </w:p>
          <w:p w:rsidR="00D75430" w:rsidRDefault="00D75430" w:rsidP="00D75430">
            <w:pPr>
              <w:numPr>
                <w:ilvl w:val="2"/>
                <w:numId w:val="34"/>
              </w:numPr>
              <w:tabs>
                <w:tab w:val="left" w:pos="1134"/>
              </w:tabs>
              <w:ind w:left="0" w:firstLine="567"/>
              <w:contextualSpacing/>
              <w:jc w:val="both"/>
              <w:rPr>
                <w:bCs/>
              </w:rPr>
            </w:pPr>
            <w:r w:rsidRPr="008C6A62">
              <w:rPr>
                <w:bCs/>
              </w:rPr>
              <w:t>Испанская фондовая биржа (ВМЕ Spanish Exchanges);</w:t>
            </w:r>
          </w:p>
          <w:p w:rsidR="00D75430" w:rsidRDefault="00D75430" w:rsidP="00D75430">
            <w:pPr>
              <w:numPr>
                <w:ilvl w:val="2"/>
                <w:numId w:val="34"/>
              </w:numPr>
              <w:tabs>
                <w:tab w:val="left" w:pos="1134"/>
              </w:tabs>
              <w:ind w:left="0" w:firstLine="567"/>
              <w:contextualSpacing/>
              <w:jc w:val="both"/>
              <w:rPr>
                <w:bCs/>
              </w:rPr>
            </w:pPr>
            <w:r w:rsidRPr="008C6A62">
              <w:rPr>
                <w:bCs/>
              </w:rPr>
              <w:t>Итальянская фондовая биржа (Borsa Italiana);</w:t>
            </w:r>
          </w:p>
          <w:p w:rsidR="00D75430" w:rsidRDefault="00D75430" w:rsidP="00D75430">
            <w:pPr>
              <w:numPr>
                <w:ilvl w:val="2"/>
                <w:numId w:val="34"/>
              </w:numPr>
              <w:tabs>
                <w:tab w:val="left" w:pos="1134"/>
              </w:tabs>
              <w:ind w:left="0" w:firstLine="567"/>
              <w:contextualSpacing/>
              <w:jc w:val="both"/>
              <w:rPr>
                <w:bCs/>
              </w:rPr>
            </w:pPr>
            <w:r w:rsidRPr="008C6A62">
              <w:rPr>
                <w:bCs/>
              </w:rPr>
              <w:t>Корейская биржа (Korea Exchange);</w:t>
            </w:r>
          </w:p>
          <w:p w:rsidR="00D75430" w:rsidRDefault="00D75430" w:rsidP="00D75430">
            <w:pPr>
              <w:numPr>
                <w:ilvl w:val="2"/>
                <w:numId w:val="34"/>
              </w:numPr>
              <w:tabs>
                <w:tab w:val="left" w:pos="1134"/>
              </w:tabs>
              <w:ind w:left="0" w:firstLine="567"/>
              <w:contextualSpacing/>
              <w:jc w:val="both"/>
              <w:rPr>
                <w:bCs/>
              </w:rPr>
            </w:pPr>
            <w:r w:rsidRPr="008C6A62">
              <w:rPr>
                <w:bCs/>
              </w:rPr>
              <w:t>Лондонская фондовая биржа (London Stock Exchange);</w:t>
            </w:r>
          </w:p>
          <w:p w:rsidR="00D75430" w:rsidRDefault="00D75430" w:rsidP="00D75430">
            <w:pPr>
              <w:numPr>
                <w:ilvl w:val="2"/>
                <w:numId w:val="34"/>
              </w:numPr>
              <w:tabs>
                <w:tab w:val="left" w:pos="1134"/>
              </w:tabs>
              <w:ind w:left="0" w:firstLine="567"/>
              <w:contextualSpacing/>
              <w:jc w:val="both"/>
              <w:rPr>
                <w:bCs/>
              </w:rPr>
            </w:pPr>
            <w:r w:rsidRPr="008C6A62">
              <w:rPr>
                <w:bCs/>
              </w:rPr>
              <w:t>Люксембургская фондовая биржа (Luxembourg Stock Exchange)</w:t>
            </w:r>
            <w:r>
              <w:rPr>
                <w:bCs/>
              </w:rPr>
              <w:t>;</w:t>
            </w:r>
          </w:p>
          <w:p w:rsidR="00D75430" w:rsidRDefault="00D75430" w:rsidP="00D75430">
            <w:pPr>
              <w:numPr>
                <w:ilvl w:val="2"/>
                <w:numId w:val="34"/>
              </w:numPr>
              <w:tabs>
                <w:tab w:val="left" w:pos="1134"/>
              </w:tabs>
              <w:ind w:left="0" w:firstLine="567"/>
              <w:contextualSpacing/>
              <w:jc w:val="both"/>
              <w:rPr>
                <w:bCs/>
              </w:rPr>
            </w:pPr>
            <w:r w:rsidRPr="008C6A62">
              <w:rPr>
                <w:bCs/>
              </w:rPr>
              <w:t>Насдак (Nasdaq);</w:t>
            </w:r>
          </w:p>
          <w:p w:rsidR="00D75430" w:rsidRDefault="00D75430" w:rsidP="00D75430">
            <w:pPr>
              <w:numPr>
                <w:ilvl w:val="2"/>
                <w:numId w:val="34"/>
              </w:numPr>
              <w:tabs>
                <w:tab w:val="left" w:pos="1134"/>
              </w:tabs>
              <w:ind w:left="0" w:firstLine="567"/>
              <w:contextualSpacing/>
              <w:jc w:val="both"/>
              <w:rPr>
                <w:bCs/>
              </w:rPr>
            </w:pPr>
            <w:r w:rsidRPr="008C6A62">
              <w:rPr>
                <w:bCs/>
              </w:rPr>
              <w:t>Немецкая фондовая биржа (Deutsche Borse);</w:t>
            </w:r>
          </w:p>
          <w:p w:rsidR="00D75430" w:rsidRPr="00092BB7" w:rsidRDefault="00D75430" w:rsidP="00D75430">
            <w:pPr>
              <w:numPr>
                <w:ilvl w:val="2"/>
                <w:numId w:val="34"/>
              </w:numPr>
              <w:tabs>
                <w:tab w:val="left" w:pos="1134"/>
              </w:tabs>
              <w:ind w:left="0" w:firstLine="567"/>
              <w:contextualSpacing/>
              <w:jc w:val="both"/>
              <w:rPr>
                <w:bCs/>
                <w:lang w:val="en-US"/>
              </w:rPr>
            </w:pPr>
            <w:r w:rsidRPr="008C6A62">
              <w:rPr>
                <w:bCs/>
              </w:rPr>
              <w:t>Нью</w:t>
            </w:r>
            <w:r w:rsidRPr="00092BB7">
              <w:rPr>
                <w:bCs/>
                <w:lang w:val="en-US"/>
              </w:rPr>
              <w:t>-</w:t>
            </w:r>
            <w:r w:rsidRPr="008C6A62">
              <w:rPr>
                <w:bCs/>
              </w:rPr>
              <w:t>Йоркская</w:t>
            </w:r>
            <w:r w:rsidRPr="00092BB7">
              <w:rPr>
                <w:bCs/>
                <w:lang w:val="en-US"/>
              </w:rPr>
              <w:t xml:space="preserve"> </w:t>
            </w:r>
            <w:r w:rsidRPr="008C6A62">
              <w:rPr>
                <w:bCs/>
              </w:rPr>
              <w:t>фондовая</w:t>
            </w:r>
            <w:r w:rsidRPr="00092BB7">
              <w:rPr>
                <w:bCs/>
                <w:lang w:val="en-US"/>
              </w:rPr>
              <w:t xml:space="preserve"> </w:t>
            </w:r>
            <w:r w:rsidRPr="008C6A62">
              <w:rPr>
                <w:bCs/>
              </w:rPr>
              <w:t>биржа</w:t>
            </w:r>
            <w:r w:rsidRPr="00092BB7">
              <w:rPr>
                <w:bCs/>
                <w:lang w:val="en-US"/>
              </w:rPr>
              <w:t xml:space="preserve"> (New York Stock Exchange);</w:t>
            </w:r>
          </w:p>
          <w:p w:rsidR="00D75430" w:rsidRDefault="00D75430" w:rsidP="00D75430">
            <w:pPr>
              <w:numPr>
                <w:ilvl w:val="2"/>
                <w:numId w:val="34"/>
              </w:numPr>
              <w:tabs>
                <w:tab w:val="left" w:pos="1134"/>
              </w:tabs>
              <w:ind w:left="0" w:firstLine="567"/>
              <w:contextualSpacing/>
              <w:jc w:val="both"/>
              <w:rPr>
                <w:bCs/>
              </w:rPr>
            </w:pPr>
            <w:r w:rsidRPr="00D75430">
              <w:rPr>
                <w:b/>
                <w:bCs/>
              </w:rPr>
              <w:t>Открытое акционерное общество «Фондовая биржа «Российская Торговая Система»</w:t>
            </w:r>
            <w:r w:rsidRPr="008C6A62">
              <w:rPr>
                <w:bCs/>
              </w:rPr>
              <w:t>;</w:t>
            </w:r>
          </w:p>
          <w:p w:rsidR="00D75430" w:rsidRDefault="00D75430" w:rsidP="00D75430">
            <w:pPr>
              <w:numPr>
                <w:ilvl w:val="2"/>
                <w:numId w:val="34"/>
              </w:numPr>
              <w:tabs>
                <w:tab w:val="left" w:pos="1134"/>
              </w:tabs>
              <w:ind w:left="0" w:firstLine="567"/>
              <w:contextualSpacing/>
              <w:jc w:val="both"/>
              <w:rPr>
                <w:bCs/>
              </w:rPr>
            </w:pPr>
            <w:r w:rsidRPr="008C6A62">
              <w:rPr>
                <w:bCs/>
              </w:rPr>
              <w:t>Токийская фондовая биржа (Tokyo Stock Exchange Group);</w:t>
            </w:r>
          </w:p>
          <w:p w:rsidR="00D75430" w:rsidRPr="00092BB7" w:rsidRDefault="00D75430" w:rsidP="00D75430">
            <w:pPr>
              <w:numPr>
                <w:ilvl w:val="2"/>
                <w:numId w:val="34"/>
              </w:numPr>
              <w:tabs>
                <w:tab w:val="left" w:pos="1134"/>
              </w:tabs>
              <w:ind w:left="0" w:firstLine="567"/>
              <w:contextualSpacing/>
              <w:jc w:val="both"/>
              <w:rPr>
                <w:bCs/>
                <w:lang w:val="en-US"/>
              </w:rPr>
            </w:pPr>
            <w:r w:rsidRPr="008C6A62">
              <w:rPr>
                <w:bCs/>
              </w:rPr>
              <w:t>Фондовая</w:t>
            </w:r>
            <w:r w:rsidRPr="00092BB7">
              <w:rPr>
                <w:bCs/>
                <w:lang w:val="en-US"/>
              </w:rPr>
              <w:t xml:space="preserve"> </w:t>
            </w:r>
            <w:r w:rsidRPr="008C6A62">
              <w:rPr>
                <w:bCs/>
              </w:rPr>
              <w:t>биржа</w:t>
            </w:r>
            <w:r w:rsidRPr="00092BB7">
              <w:rPr>
                <w:bCs/>
                <w:lang w:val="en-US"/>
              </w:rPr>
              <w:t xml:space="preserve"> </w:t>
            </w:r>
            <w:r w:rsidRPr="008C6A62">
              <w:rPr>
                <w:bCs/>
              </w:rPr>
              <w:t>Торонто</w:t>
            </w:r>
            <w:r w:rsidRPr="00092BB7">
              <w:rPr>
                <w:bCs/>
                <w:lang w:val="en-US"/>
              </w:rPr>
              <w:t xml:space="preserve"> (Toronto Stock Exchange, TSX Group);</w:t>
            </w:r>
          </w:p>
          <w:p w:rsidR="00D75430" w:rsidRDefault="00D75430" w:rsidP="00D75430">
            <w:pPr>
              <w:numPr>
                <w:ilvl w:val="2"/>
                <w:numId w:val="34"/>
              </w:numPr>
              <w:tabs>
                <w:tab w:val="left" w:pos="1134"/>
              </w:tabs>
              <w:ind w:left="0" w:firstLine="567"/>
              <w:contextualSpacing/>
              <w:jc w:val="both"/>
              <w:rPr>
                <w:bCs/>
              </w:rPr>
            </w:pPr>
            <w:r w:rsidRPr="008C6A62">
              <w:rPr>
                <w:bCs/>
              </w:rPr>
              <w:t>Фондовая биржа Швейцарии (Swiss Exchange);</w:t>
            </w:r>
          </w:p>
          <w:p w:rsidR="00D75430" w:rsidRPr="008C6A62" w:rsidRDefault="00D75430" w:rsidP="00D75430">
            <w:pPr>
              <w:numPr>
                <w:ilvl w:val="2"/>
                <w:numId w:val="34"/>
              </w:numPr>
              <w:tabs>
                <w:tab w:val="left" w:pos="1134"/>
              </w:tabs>
              <w:ind w:left="0" w:firstLine="567"/>
              <w:contextualSpacing/>
              <w:jc w:val="both"/>
              <w:rPr>
                <w:bCs/>
              </w:rPr>
            </w:pPr>
            <w:r w:rsidRPr="008C6A62">
              <w:rPr>
                <w:bCs/>
              </w:rPr>
              <w:t>Шанхайская фондовая биржа (Shanghai Stock Exchange).</w:t>
            </w:r>
          </w:p>
          <w:p w:rsidR="00D75430" w:rsidRPr="00C35ADA" w:rsidRDefault="00D75430" w:rsidP="00D75430">
            <w:pPr>
              <w:ind w:firstLine="567"/>
              <w:contextualSpacing/>
              <w:jc w:val="both"/>
              <w:rPr>
                <w:bCs/>
              </w:rPr>
            </w:pPr>
            <w:r w:rsidRPr="00C35ADA">
              <w:rPr>
                <w:bCs/>
              </w:rPr>
              <w:t xml:space="preserve">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а также не распространяется на паи (акции) </w:t>
            </w:r>
            <w:r w:rsidRPr="00C35ADA">
              <w:rPr>
                <w:bCs/>
              </w:rPr>
              <w:lastRenderedPageBreak/>
              <w:t>иностранных инвестиционных фондов открытого типа.</w:t>
            </w:r>
          </w:p>
          <w:p w:rsidR="00D75430" w:rsidRDefault="00D75430" w:rsidP="00D75430">
            <w:pPr>
              <w:ind w:firstLine="567"/>
              <w:contextualSpacing/>
              <w:jc w:val="both"/>
              <w:rPr>
                <w:bCs/>
              </w:rPr>
            </w:pPr>
            <w:r w:rsidRPr="00C35ADA">
              <w:rPr>
                <w:bCs/>
              </w:rPr>
              <w:t>Ценные бумаги, в которые инвестируется имущество, составляющее фонд, должны быть допущены к торгам организаторов торговли на рынке ценных бумаг.</w:t>
            </w:r>
            <w:r w:rsidRPr="00C35ADA">
              <w:rPr>
                <w:bCs/>
              </w:rPr>
              <w:tab/>
            </w:r>
          </w:p>
          <w:p w:rsidR="00D75430" w:rsidRPr="00C35ADA" w:rsidRDefault="00D75430" w:rsidP="00D75430">
            <w:pPr>
              <w:ind w:firstLine="567"/>
              <w:contextualSpacing/>
              <w:jc w:val="both"/>
              <w:rPr>
                <w:bCs/>
              </w:rPr>
            </w:pPr>
            <w:r w:rsidRPr="00C35ADA">
              <w:rPr>
                <w:bCs/>
              </w:rPr>
              <w:t>Ценные бумаги, составляющие фонд, могут быть, как включенные, так и не включенные в котировальные списки фондовых бирж.</w:t>
            </w:r>
          </w:p>
          <w:p w:rsidR="00D75430" w:rsidRPr="00C35ADA" w:rsidRDefault="00D75430" w:rsidP="00D75430">
            <w:pPr>
              <w:ind w:firstLine="567"/>
              <w:contextualSpacing/>
              <w:jc w:val="both"/>
              <w:rPr>
                <w:bCs/>
              </w:rPr>
            </w:pPr>
            <w:r w:rsidRPr="00C35ADA">
              <w:rPr>
                <w:bCs/>
              </w:rPr>
              <w:t>Государственные ценные бумаги субъектов Российской Федерации и муниципальные ценные бумаги могут входить в состав активов фонда, если они допущены к торгам организатора торговли на рынке ценных бумаг.</w:t>
            </w:r>
          </w:p>
          <w:p w:rsidR="008A76B6" w:rsidRPr="008A76B6" w:rsidRDefault="008A76B6" w:rsidP="008A76B6">
            <w:pPr>
              <w:pStyle w:val="af8"/>
              <w:numPr>
                <w:ilvl w:val="0"/>
                <w:numId w:val="33"/>
              </w:numPr>
              <w:tabs>
                <w:tab w:val="left" w:pos="1134"/>
              </w:tabs>
              <w:ind w:left="89" w:firstLine="425"/>
              <w:jc w:val="both"/>
              <w:rPr>
                <w:bCs/>
              </w:rPr>
            </w:pPr>
            <w:bookmarkStart w:id="2" w:name="p_28"/>
            <w:bookmarkEnd w:id="2"/>
            <w:r w:rsidRPr="008A76B6">
              <w:rPr>
                <w:bCs/>
              </w:rPr>
              <w:t>Структура активов фонда.</w:t>
            </w:r>
          </w:p>
          <w:p w:rsidR="008A76B6" w:rsidRPr="008A76B6" w:rsidRDefault="008A76B6" w:rsidP="008A76B6">
            <w:pPr>
              <w:pStyle w:val="af8"/>
              <w:numPr>
                <w:ilvl w:val="1"/>
                <w:numId w:val="36"/>
              </w:numPr>
              <w:tabs>
                <w:tab w:val="left" w:pos="1134"/>
              </w:tabs>
              <w:ind w:left="0" w:firstLine="514"/>
              <w:jc w:val="both"/>
              <w:rPr>
                <w:bCs/>
              </w:rPr>
            </w:pPr>
            <w:r w:rsidRPr="008A76B6">
              <w:rPr>
                <w:bCs/>
              </w:rPr>
              <w:t>Структура активов фонда должна одновременно соответствовать следующим требованиям:</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денежные средства, находящиеся во вкладах в одной кредитной организации, могут составлять не более 25 процентов стоимости активов Фонда;</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 может составлять не более 15 процентов стоимости активов фонда. Требования </w:t>
            </w:r>
            <w:r w:rsidRPr="00C35ADA">
              <w:rPr>
                <w:bCs/>
              </w:rPr>
              <w:lastRenderedPageBreak/>
              <w:t>настоящего подпункта в части, касающейся на ограничения на ценные бумаги одного эмитента, не распространяются на российские и иностранные депозитарные расписки;</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оценочная стоимость неликвидных ценных бумаг может составлять не более 10 процентов стоимости активов фонда;</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23.3 настоящих Правил;</w:t>
            </w:r>
          </w:p>
          <w:p w:rsidR="008A76B6" w:rsidRPr="00C35ADA" w:rsidRDefault="008A76B6" w:rsidP="008A76B6">
            <w:pPr>
              <w:numPr>
                <w:ilvl w:val="0"/>
                <w:numId w:val="35"/>
              </w:numPr>
              <w:tabs>
                <w:tab w:val="clear" w:pos="720"/>
                <w:tab w:val="left" w:pos="1134"/>
              </w:tabs>
              <w:ind w:left="0" w:firstLine="567"/>
              <w:contextualSpacing/>
              <w:jc w:val="both"/>
              <w:rPr>
                <w:bCs/>
              </w:rPr>
            </w:pPr>
            <w:r w:rsidRPr="00C35ADA">
              <w:rPr>
                <w:bCs/>
              </w:rPr>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8A76B6" w:rsidRDefault="008A76B6" w:rsidP="008A76B6">
            <w:pPr>
              <w:numPr>
                <w:ilvl w:val="0"/>
                <w:numId w:val="35"/>
              </w:numPr>
              <w:tabs>
                <w:tab w:val="clear" w:pos="720"/>
                <w:tab w:val="left" w:pos="1134"/>
              </w:tabs>
              <w:ind w:left="0" w:firstLine="567"/>
              <w:contextualSpacing/>
              <w:jc w:val="both"/>
              <w:rPr>
                <w:bCs/>
              </w:rPr>
            </w:pPr>
            <w:r w:rsidRPr="00C35ADA">
              <w:rPr>
                <w:bCs/>
              </w:rPr>
              <w:t xml:space="preserve">оценочная стоимость </w:t>
            </w:r>
            <w:r w:rsidRPr="00C35ADA">
              <w:rPr>
                <w:bCs/>
              </w:rPr>
              <w:lastRenderedPageBreak/>
              <w:t xml:space="preserve">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 </w:t>
            </w:r>
          </w:p>
          <w:p w:rsidR="008A76B6" w:rsidRDefault="008A76B6" w:rsidP="008A76B6">
            <w:pPr>
              <w:tabs>
                <w:tab w:val="left" w:pos="1134"/>
              </w:tabs>
              <w:contextualSpacing/>
              <w:jc w:val="both"/>
              <w:rPr>
                <w:bCs/>
              </w:rPr>
            </w:pPr>
          </w:p>
          <w:p w:rsidR="008A76B6" w:rsidRPr="00C35ADA" w:rsidRDefault="008A76B6" w:rsidP="008A76B6">
            <w:pPr>
              <w:tabs>
                <w:tab w:val="left" w:pos="1134"/>
              </w:tabs>
              <w:contextualSpacing/>
              <w:jc w:val="both"/>
              <w:rPr>
                <w:bCs/>
              </w:rPr>
            </w:pPr>
            <w:r>
              <w:rPr>
                <w:bCs/>
              </w:rPr>
              <w:t>24.2.</w:t>
            </w:r>
            <w:r w:rsidRPr="00C35ADA">
              <w:rPr>
                <w:bCs/>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A76B6" w:rsidRPr="00C35ADA" w:rsidRDefault="008A76B6" w:rsidP="008A76B6">
            <w:pPr>
              <w:numPr>
                <w:ilvl w:val="0"/>
                <w:numId w:val="37"/>
              </w:numPr>
              <w:tabs>
                <w:tab w:val="clear" w:pos="720"/>
                <w:tab w:val="left" w:pos="1134"/>
              </w:tabs>
              <w:ind w:left="0" w:firstLine="567"/>
              <w:contextualSpacing/>
              <w:jc w:val="both"/>
              <w:rPr>
                <w:bCs/>
              </w:rPr>
            </w:pPr>
            <w:r w:rsidRPr="00C35ADA">
              <w:rPr>
                <w:bCs/>
              </w:rPr>
              <w:t>ценная бумага включена в котировальные списки «А» или «Б» российской фондовой биржи;</w:t>
            </w:r>
          </w:p>
          <w:p w:rsidR="008A76B6" w:rsidRPr="00C35ADA" w:rsidRDefault="008A76B6" w:rsidP="008A76B6">
            <w:pPr>
              <w:numPr>
                <w:ilvl w:val="0"/>
                <w:numId w:val="37"/>
              </w:numPr>
              <w:tabs>
                <w:tab w:val="clear" w:pos="720"/>
                <w:tab w:val="left" w:pos="1134"/>
              </w:tabs>
              <w:ind w:left="0" w:firstLine="567"/>
              <w:contextualSpacing/>
              <w:jc w:val="both"/>
              <w:rPr>
                <w:bCs/>
              </w:rPr>
            </w:pPr>
            <w:r w:rsidRPr="00C35ADA">
              <w:rPr>
                <w:bCs/>
              </w:rPr>
              <w:t>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A76B6" w:rsidRPr="00C35ADA" w:rsidRDefault="008A76B6" w:rsidP="008A76B6">
            <w:pPr>
              <w:numPr>
                <w:ilvl w:val="0"/>
                <w:numId w:val="37"/>
              </w:numPr>
              <w:tabs>
                <w:tab w:val="clear" w:pos="720"/>
                <w:tab w:val="left" w:pos="1134"/>
              </w:tabs>
              <w:ind w:left="0" w:firstLine="567"/>
              <w:contextualSpacing/>
              <w:jc w:val="both"/>
              <w:rPr>
                <w:bCs/>
              </w:rPr>
            </w:pPr>
            <w:r w:rsidRPr="00C35ADA">
              <w:rPr>
                <w:bCs/>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A76B6" w:rsidRPr="00C35ADA" w:rsidRDefault="008A76B6" w:rsidP="008A76B6">
            <w:pPr>
              <w:numPr>
                <w:ilvl w:val="0"/>
                <w:numId w:val="37"/>
              </w:numPr>
              <w:tabs>
                <w:tab w:val="clear" w:pos="720"/>
                <w:tab w:val="left" w:pos="1134"/>
              </w:tabs>
              <w:ind w:left="0" w:firstLine="567"/>
              <w:contextualSpacing/>
              <w:jc w:val="both"/>
              <w:rPr>
                <w:bCs/>
              </w:rPr>
            </w:pPr>
            <w:r w:rsidRPr="00C35ADA">
              <w:rPr>
                <w:bCs/>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A76B6" w:rsidRPr="00C35ADA" w:rsidRDefault="008A76B6" w:rsidP="008A76B6">
            <w:pPr>
              <w:numPr>
                <w:ilvl w:val="0"/>
                <w:numId w:val="37"/>
              </w:numPr>
              <w:tabs>
                <w:tab w:val="clear" w:pos="720"/>
                <w:tab w:val="left" w:pos="1134"/>
              </w:tabs>
              <w:ind w:left="0" w:firstLine="567"/>
              <w:contextualSpacing/>
              <w:jc w:val="both"/>
              <w:rPr>
                <w:bCs/>
              </w:rPr>
            </w:pPr>
            <w:r w:rsidRPr="00C35ADA">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A76B6" w:rsidRDefault="008A76B6" w:rsidP="008A76B6">
            <w:pPr>
              <w:numPr>
                <w:ilvl w:val="0"/>
                <w:numId w:val="37"/>
              </w:numPr>
              <w:tabs>
                <w:tab w:val="clear" w:pos="720"/>
                <w:tab w:val="left" w:pos="1134"/>
              </w:tabs>
              <w:ind w:left="0" w:firstLine="567"/>
              <w:contextualSpacing/>
              <w:jc w:val="both"/>
              <w:rPr>
                <w:bCs/>
              </w:rPr>
            </w:pPr>
            <w:r w:rsidRPr="00C35ADA">
              <w:t xml:space="preserve">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w:t>
            </w:r>
            <w:r w:rsidRPr="00C35ADA">
              <w:lastRenderedPageBreak/>
              <w:t>цены на продажу ценных бумаг (Thompson Reuters Composite ask) не более чем на 5 процентов.</w:t>
            </w:r>
          </w:p>
          <w:p w:rsidR="008A76B6" w:rsidRPr="008A76B6" w:rsidRDefault="00C7732A" w:rsidP="008A76B6">
            <w:pPr>
              <w:pStyle w:val="af8"/>
              <w:numPr>
                <w:ilvl w:val="0"/>
                <w:numId w:val="36"/>
              </w:numPr>
              <w:tabs>
                <w:tab w:val="left" w:pos="939"/>
              </w:tabs>
              <w:ind w:left="89" w:firstLine="425"/>
              <w:jc w:val="both"/>
              <w:rPr>
                <w:bCs/>
              </w:rPr>
            </w:pPr>
            <w:r w:rsidRPr="00505D00">
              <w:rPr>
                <w:color w:val="000000"/>
              </w:rPr>
              <w:t xml:space="preserve"> </w:t>
            </w:r>
            <w:bookmarkStart w:id="3" w:name="p_29"/>
            <w:bookmarkEnd w:id="3"/>
            <w:r w:rsidR="008A76B6" w:rsidRPr="008A76B6">
              <w:rPr>
                <w:bCs/>
              </w:rPr>
              <w:t>Описание рисков, связанных с инвестированием.</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 на нее.</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 xml:space="preserve">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w:t>
            </w:r>
            <w:r w:rsidRPr="00C35ADA">
              <w:rPr>
                <w:bCs/>
              </w:rPr>
              <w:lastRenderedPageBreak/>
              <w:t>включают, но не ограничиваются следующими рисками:</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Рыночный риск, связанный с колебаниями курсов валют, процентных ставок.</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Риск рыночной ликвидности, связанный с потенциальной невозможностью реализовать активы по благоприятным ценам.</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8A76B6" w:rsidRPr="00C35ADA" w:rsidRDefault="008A76B6" w:rsidP="008A76B6">
            <w:pPr>
              <w:numPr>
                <w:ilvl w:val="0"/>
                <w:numId w:val="38"/>
              </w:numPr>
              <w:tabs>
                <w:tab w:val="clear" w:pos="720"/>
                <w:tab w:val="num" w:pos="1134"/>
              </w:tabs>
              <w:autoSpaceDE w:val="0"/>
              <w:autoSpaceDN w:val="0"/>
              <w:ind w:left="0" w:firstLine="567"/>
              <w:contextualSpacing/>
              <w:jc w:val="both"/>
              <w:rPr>
                <w:bCs/>
              </w:rPr>
            </w:pPr>
            <w:r w:rsidRPr="00C35ADA">
              <w:rPr>
                <w:bCs/>
              </w:rPr>
              <w:t>Риск противоправных действий третьих лиц в отношении имущества, составляющего фонд.</w:t>
            </w:r>
          </w:p>
          <w:p w:rsidR="008A76B6" w:rsidRPr="00C35ADA" w:rsidRDefault="008A76B6" w:rsidP="008A76B6">
            <w:pPr>
              <w:numPr>
                <w:ilvl w:val="0"/>
                <w:numId w:val="38"/>
              </w:numPr>
              <w:tabs>
                <w:tab w:val="clear" w:pos="720"/>
                <w:tab w:val="left" w:pos="900"/>
                <w:tab w:val="num" w:pos="1134"/>
              </w:tabs>
              <w:autoSpaceDE w:val="0"/>
              <w:autoSpaceDN w:val="0"/>
              <w:ind w:left="0" w:firstLine="567"/>
              <w:contextualSpacing/>
              <w:jc w:val="both"/>
              <w:rPr>
                <w:bCs/>
              </w:rPr>
            </w:pPr>
            <w:r w:rsidRPr="00C35ADA">
              <w:rPr>
                <w:bCs/>
              </w:rPr>
              <w:t xml:space="preserve">Ценовой риск, проявляющийся в изменении цен на ценные бумаги, которые могут привести к падению стоимости </w:t>
            </w:r>
            <w:r w:rsidRPr="00C35ADA">
              <w:rPr>
                <w:bCs/>
              </w:rPr>
              <w:lastRenderedPageBreak/>
              <w:t>активов фонда</w:t>
            </w:r>
            <w:r>
              <w:rPr>
                <w:bCs/>
              </w:rPr>
              <w:t>.</w:t>
            </w:r>
          </w:p>
          <w:p w:rsidR="008A76B6" w:rsidRPr="00C35ADA" w:rsidRDefault="008A76B6" w:rsidP="008A76B6">
            <w:pPr>
              <w:ind w:firstLine="567"/>
              <w:contextualSpacing/>
              <w:jc w:val="both"/>
              <w:rPr>
                <w:bCs/>
              </w:rPr>
            </w:pPr>
            <w:r w:rsidRPr="00C35ADA">
              <w:rPr>
                <w:bCs/>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или лица, желающего приобрести инвестиционные паи.</w:t>
            </w:r>
          </w:p>
          <w:p w:rsidR="008A76B6" w:rsidRPr="00460D3D" w:rsidRDefault="008A76B6" w:rsidP="008A76B6">
            <w:pPr>
              <w:ind w:firstLine="567"/>
              <w:contextualSpacing/>
              <w:jc w:val="both"/>
              <w:rPr>
                <w:bCs/>
              </w:rPr>
            </w:pPr>
            <w:r w:rsidRPr="00C35ADA">
              <w:rPr>
                <w:bCs/>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10775F" w:rsidRPr="00505D00" w:rsidRDefault="0010775F" w:rsidP="0010775F">
            <w:pPr>
              <w:ind w:firstLine="720"/>
              <w:jc w:val="both"/>
              <w:rPr>
                <w:color w:val="000000"/>
              </w:rPr>
            </w:pPr>
            <w:r w:rsidRPr="00505D00">
              <w:rPr>
                <w:color w:val="000000"/>
              </w:rPr>
              <w:t>.</w:t>
            </w:r>
          </w:p>
          <w:p w:rsidR="00922599" w:rsidRPr="00505D00" w:rsidRDefault="00922599" w:rsidP="00922599">
            <w:pPr>
              <w:tabs>
                <w:tab w:val="num" w:pos="0"/>
              </w:tabs>
              <w:jc w:val="both"/>
            </w:pPr>
          </w:p>
          <w:p w:rsidR="00922599" w:rsidRPr="00505D00" w:rsidRDefault="00922599" w:rsidP="00922599">
            <w:pPr>
              <w:tabs>
                <w:tab w:val="num" w:pos="0"/>
              </w:tabs>
              <w:jc w:val="both"/>
            </w:pPr>
          </w:p>
        </w:tc>
        <w:tc>
          <w:tcPr>
            <w:tcW w:w="4643" w:type="dxa"/>
            <w:vAlign w:val="center"/>
          </w:tcPr>
          <w:p w:rsidR="00F807DB" w:rsidRPr="00505D00" w:rsidRDefault="00F807DB" w:rsidP="00C7732A">
            <w:pPr>
              <w:pStyle w:val="1"/>
              <w:keepNext/>
              <w:numPr>
                <w:ilvl w:val="0"/>
                <w:numId w:val="22"/>
              </w:numPr>
              <w:tabs>
                <w:tab w:val="left" w:pos="567"/>
              </w:tabs>
              <w:spacing w:before="240" w:after="60"/>
              <w:jc w:val="both"/>
              <w:rPr>
                <w:rFonts w:ascii="Times New Roman" w:hAnsi="Times New Roman" w:cs="Times New Roman"/>
              </w:rPr>
            </w:pPr>
            <w:r w:rsidRPr="00505D00">
              <w:rPr>
                <w:rFonts w:ascii="Times New Roman" w:hAnsi="Times New Roman" w:cs="Times New Roman"/>
              </w:rPr>
              <w:lastRenderedPageBreak/>
              <w:t>Инвестиционная декларация</w:t>
            </w:r>
          </w:p>
          <w:p w:rsidR="00F807DB" w:rsidRPr="00505D00" w:rsidRDefault="003057B4" w:rsidP="00922599">
            <w:pPr>
              <w:numPr>
                <w:ilvl w:val="0"/>
                <w:numId w:val="4"/>
              </w:numPr>
              <w:jc w:val="both"/>
            </w:pPr>
            <w:r w:rsidRPr="00C35ADA">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r w:rsidR="00F807DB" w:rsidRPr="00505D00">
              <w:t>.</w:t>
            </w:r>
          </w:p>
          <w:p w:rsidR="00F807DB" w:rsidRPr="003C4C2D" w:rsidRDefault="00F807DB" w:rsidP="00C7732A">
            <w:pPr>
              <w:numPr>
                <w:ilvl w:val="0"/>
                <w:numId w:val="4"/>
              </w:numPr>
              <w:tabs>
                <w:tab w:val="clear" w:pos="360"/>
                <w:tab w:val="num" w:pos="709"/>
              </w:tabs>
              <w:ind w:left="0" w:firstLine="0"/>
              <w:jc w:val="both"/>
            </w:pPr>
            <w:r w:rsidRPr="00505D00">
              <w:t>Инвестиционной политикой управляюще</w:t>
            </w:r>
            <w:r w:rsidR="00F42946" w:rsidRPr="00505D00">
              <w:t>й</w:t>
            </w:r>
            <w:r w:rsidR="001D30B4" w:rsidRPr="00505D00">
              <w:t xml:space="preserve"> компании является </w:t>
            </w:r>
            <w:r w:rsidR="001D30B4" w:rsidRPr="003C4C2D">
              <w:rPr>
                <w:b/>
              </w:rPr>
              <w:t>долгосрочное</w:t>
            </w:r>
            <w:r w:rsidRPr="00505D00">
              <w:t xml:space="preserve"> вложение средств в ценные бумаги </w:t>
            </w:r>
            <w:r w:rsidRPr="003C4C2D">
              <w:rPr>
                <w:b/>
                <w:bCs/>
              </w:rPr>
              <w:t>и краткосрочное вложение средств в имущественные права из фьючерсных и опционных договоров (контрактов).</w:t>
            </w:r>
          </w:p>
          <w:p w:rsidR="008100D2" w:rsidRPr="00505D00" w:rsidRDefault="008100D2" w:rsidP="008100D2">
            <w:pPr>
              <w:tabs>
                <w:tab w:val="num" w:pos="709"/>
              </w:tabs>
              <w:ind w:firstLine="709"/>
              <w:jc w:val="both"/>
              <w:rPr>
                <w:b/>
                <w:bCs/>
              </w:rPr>
            </w:pPr>
            <w:r w:rsidRPr="00505D00">
              <w:rPr>
                <w:b/>
                <w:bCs/>
              </w:rPr>
              <w:t>Имущественные права из фьючерсных и опционных договоров (контрактов) могут составлять активы при условии что:</w:t>
            </w:r>
          </w:p>
          <w:p w:rsidR="008100D2" w:rsidRPr="00505D00" w:rsidRDefault="008100D2" w:rsidP="008100D2">
            <w:pPr>
              <w:tabs>
                <w:tab w:val="num" w:pos="709"/>
              </w:tabs>
              <w:ind w:firstLine="709"/>
              <w:jc w:val="both"/>
              <w:rPr>
                <w:b/>
                <w:bCs/>
              </w:rPr>
            </w:pPr>
            <w:r w:rsidRPr="00505D00">
              <w:rPr>
                <w:b/>
                <w:bCs/>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100D2" w:rsidRPr="00505D00" w:rsidRDefault="008100D2" w:rsidP="008100D2">
            <w:pPr>
              <w:tabs>
                <w:tab w:val="num" w:pos="709"/>
              </w:tabs>
              <w:ind w:firstLine="709"/>
              <w:jc w:val="both"/>
              <w:rPr>
                <w:b/>
                <w:bCs/>
              </w:rPr>
            </w:pPr>
            <w:r w:rsidRPr="00505D00">
              <w:rPr>
                <w:b/>
                <w:bCs/>
              </w:rPr>
              <w:t>2) сумма величин открытой длинной позиции  по всем фьючерсным и опционным контрактам  не превышает:</w:t>
            </w:r>
          </w:p>
          <w:p w:rsidR="008100D2" w:rsidRPr="00505D00" w:rsidRDefault="008100D2" w:rsidP="008100D2">
            <w:pPr>
              <w:tabs>
                <w:tab w:val="num" w:pos="709"/>
              </w:tabs>
              <w:ind w:firstLine="709"/>
              <w:jc w:val="both"/>
              <w:rPr>
                <w:b/>
                <w:bCs/>
              </w:rPr>
            </w:pPr>
            <w:r w:rsidRPr="00505D00">
              <w:rPr>
                <w:b/>
                <w:bCs/>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100D2" w:rsidRPr="00505D00" w:rsidRDefault="008100D2" w:rsidP="008100D2">
            <w:pPr>
              <w:tabs>
                <w:tab w:val="num" w:pos="709"/>
              </w:tabs>
              <w:ind w:firstLine="709"/>
              <w:jc w:val="both"/>
              <w:rPr>
                <w:b/>
                <w:bCs/>
              </w:rPr>
            </w:pPr>
            <w:r w:rsidRPr="00505D00">
              <w:rPr>
                <w:b/>
                <w:bCs/>
              </w:rPr>
              <w:t xml:space="preserve">сумму денежных средств, включая иностранную валюту, составляющих активы Фонда, на </w:t>
            </w:r>
            <w:r w:rsidRPr="00505D00">
              <w:rPr>
                <w:b/>
                <w:bCs/>
              </w:rPr>
              <w:lastRenderedPageBreak/>
              <w:t>банковских счетах; и</w:t>
            </w:r>
          </w:p>
          <w:p w:rsidR="008100D2" w:rsidRPr="00505D00" w:rsidRDefault="008100D2" w:rsidP="008100D2">
            <w:pPr>
              <w:tabs>
                <w:tab w:val="num" w:pos="709"/>
              </w:tabs>
              <w:ind w:firstLine="709"/>
              <w:jc w:val="both"/>
              <w:rPr>
                <w:b/>
                <w:bCs/>
              </w:rPr>
            </w:pPr>
            <w:r w:rsidRPr="00505D00">
              <w:rPr>
                <w:b/>
                <w:bCs/>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100D2" w:rsidRPr="00505D00" w:rsidRDefault="008100D2" w:rsidP="008100D2">
            <w:pPr>
              <w:tabs>
                <w:tab w:val="num" w:pos="709"/>
              </w:tabs>
              <w:ind w:firstLine="709"/>
              <w:jc w:val="both"/>
              <w:rPr>
                <w:b/>
                <w:bCs/>
              </w:rPr>
            </w:pPr>
            <w:r w:rsidRPr="00505D00">
              <w:rPr>
                <w:b/>
                <w:bCs/>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100D2" w:rsidRPr="00505D00" w:rsidRDefault="008100D2" w:rsidP="008100D2">
            <w:pPr>
              <w:tabs>
                <w:tab w:val="num" w:pos="709"/>
              </w:tabs>
              <w:ind w:firstLine="709"/>
              <w:jc w:val="both"/>
              <w:rPr>
                <w:b/>
                <w:bCs/>
              </w:rPr>
            </w:pPr>
            <w:r w:rsidRPr="00505D00">
              <w:rPr>
                <w:b/>
                <w:bCs/>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807DB" w:rsidRPr="00505D00" w:rsidRDefault="008100D2" w:rsidP="008100D2">
            <w:pPr>
              <w:tabs>
                <w:tab w:val="num" w:pos="709"/>
              </w:tabs>
              <w:ind w:firstLine="709"/>
              <w:jc w:val="both"/>
              <w:rPr>
                <w:b/>
                <w:bCs/>
              </w:rPr>
            </w:pPr>
            <w:r w:rsidRPr="00505D00">
              <w:rPr>
                <w:b/>
                <w:bCs/>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sidR="00A7364F">
              <w:rPr>
                <w:b/>
                <w:bCs/>
              </w:rPr>
              <w:t>ф</w:t>
            </w:r>
            <w:r w:rsidRPr="00505D00">
              <w:rPr>
                <w:b/>
                <w:bCs/>
              </w:rPr>
              <w:t>онда, изменение цен на которые коррелирует с изменением цен на базовый актив)</w:t>
            </w:r>
            <w:r w:rsidR="00F807DB" w:rsidRPr="00505D00">
              <w:rPr>
                <w:b/>
                <w:bCs/>
              </w:rPr>
              <w:t>.</w:t>
            </w:r>
          </w:p>
          <w:p w:rsidR="00F807DB" w:rsidRPr="00505D00" w:rsidRDefault="00F807DB" w:rsidP="00C7732A">
            <w:pPr>
              <w:pStyle w:val="af8"/>
              <w:numPr>
                <w:ilvl w:val="0"/>
                <w:numId w:val="4"/>
              </w:numPr>
              <w:tabs>
                <w:tab w:val="num" w:pos="1000"/>
              </w:tabs>
              <w:jc w:val="both"/>
            </w:pPr>
            <w:r w:rsidRPr="00505D00">
              <w:t>Объекты инвестирования, их состав и описание.</w:t>
            </w:r>
          </w:p>
          <w:p w:rsidR="009B6ED3" w:rsidRPr="00505D00" w:rsidRDefault="009B6ED3" w:rsidP="003C4C2D">
            <w:pPr>
              <w:pStyle w:val="af8"/>
              <w:numPr>
                <w:ilvl w:val="1"/>
                <w:numId w:val="4"/>
              </w:numPr>
              <w:tabs>
                <w:tab w:val="clear" w:pos="792"/>
                <w:tab w:val="num" w:pos="34"/>
                <w:tab w:val="left" w:pos="884"/>
              </w:tabs>
              <w:spacing w:before="45" w:after="45"/>
              <w:ind w:left="34" w:firstLine="326"/>
              <w:jc w:val="both"/>
              <w:rPr>
                <w:color w:val="000000"/>
              </w:rPr>
            </w:pPr>
            <w:r w:rsidRPr="00505D00">
              <w:rPr>
                <w:color w:val="000000"/>
              </w:rPr>
              <w:t>Имущество, составляющее</w:t>
            </w:r>
            <w:r w:rsidR="003C4C2D">
              <w:rPr>
                <w:color w:val="000000"/>
              </w:rPr>
              <w:t xml:space="preserve"> </w:t>
            </w:r>
            <w:r w:rsidR="00934F33">
              <w:rPr>
                <w:color w:val="000000"/>
              </w:rPr>
              <w:t>фонд, может быть инвестировано в:</w:t>
            </w:r>
          </w:p>
          <w:p w:rsidR="003C4C2D" w:rsidRPr="00C35ADA" w:rsidRDefault="003C4C2D" w:rsidP="003C4C2D">
            <w:pPr>
              <w:numPr>
                <w:ilvl w:val="0"/>
                <w:numId w:val="29"/>
              </w:numPr>
              <w:tabs>
                <w:tab w:val="left" w:pos="884"/>
                <w:tab w:val="num" w:pos="1134"/>
              </w:tabs>
              <w:ind w:left="34" w:firstLine="425"/>
              <w:contextualSpacing/>
              <w:jc w:val="both"/>
              <w:rPr>
                <w:bCs/>
              </w:rPr>
            </w:pPr>
            <w:r w:rsidRPr="00C35ADA">
              <w:rPr>
                <w:bCs/>
              </w:rPr>
              <w:t>денежные средства, в том числе иностранную валюту, на счетах и во вкладах в кредитных организациях;</w:t>
            </w:r>
          </w:p>
          <w:p w:rsidR="003C4C2D" w:rsidRPr="00C35ADA" w:rsidRDefault="003C4C2D" w:rsidP="003C4C2D">
            <w:pPr>
              <w:numPr>
                <w:ilvl w:val="0"/>
                <w:numId w:val="29"/>
              </w:numPr>
              <w:tabs>
                <w:tab w:val="left" w:pos="884"/>
                <w:tab w:val="num" w:pos="1134"/>
              </w:tabs>
              <w:ind w:left="34" w:firstLine="425"/>
              <w:contextualSpacing/>
              <w:jc w:val="both"/>
              <w:rPr>
                <w:bCs/>
              </w:rPr>
            </w:pPr>
            <w:r w:rsidRPr="00C35ADA">
              <w:rPr>
                <w:bCs/>
              </w:rPr>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3C4C2D" w:rsidRPr="00C35ADA" w:rsidRDefault="003C4C2D" w:rsidP="003C4C2D">
            <w:pPr>
              <w:numPr>
                <w:ilvl w:val="0"/>
                <w:numId w:val="29"/>
              </w:numPr>
              <w:tabs>
                <w:tab w:val="left" w:pos="884"/>
                <w:tab w:val="num" w:pos="1134"/>
              </w:tabs>
              <w:ind w:left="34" w:firstLine="425"/>
              <w:contextualSpacing/>
              <w:jc w:val="both"/>
              <w:rPr>
                <w:bCs/>
              </w:rPr>
            </w:pPr>
            <w:r w:rsidRPr="00C35ADA">
              <w:rPr>
                <w:bCs/>
              </w:rPr>
              <w:lastRenderedPageBreak/>
              <w:t>полностью оплаченные акции иностранных акционерных обществ;</w:t>
            </w:r>
          </w:p>
          <w:p w:rsidR="003C4C2D" w:rsidRPr="00C35ADA" w:rsidRDefault="003C4C2D" w:rsidP="003C4C2D">
            <w:pPr>
              <w:numPr>
                <w:ilvl w:val="0"/>
                <w:numId w:val="29"/>
              </w:numPr>
              <w:tabs>
                <w:tab w:val="left" w:pos="884"/>
                <w:tab w:val="num" w:pos="1134"/>
              </w:tabs>
              <w:ind w:left="34" w:firstLine="425"/>
              <w:contextualSpacing/>
              <w:jc w:val="both"/>
              <w:rPr>
                <w:bCs/>
              </w:rPr>
            </w:pPr>
            <w:r w:rsidRPr="00C35ADA">
              <w:rPr>
                <w:bCs/>
              </w:rPr>
              <w:t>долговые инструменты, включая:</w:t>
            </w:r>
          </w:p>
          <w:p w:rsidR="003C4C2D" w:rsidRPr="00C35ADA" w:rsidRDefault="003C4C2D" w:rsidP="003C4C2D">
            <w:pPr>
              <w:numPr>
                <w:ilvl w:val="1"/>
                <w:numId w:val="30"/>
              </w:numPr>
              <w:tabs>
                <w:tab w:val="left" w:pos="884"/>
                <w:tab w:val="left" w:pos="1309"/>
              </w:tabs>
              <w:ind w:left="459" w:firstLine="425"/>
              <w:contextualSpacing/>
              <w:jc w:val="both"/>
              <w:rPr>
                <w:bCs/>
              </w:rPr>
            </w:pPr>
            <w:r w:rsidRPr="00C35ADA">
              <w:rPr>
                <w:bCs/>
              </w:rPr>
              <w:t>облигации российских хозяйственных обществ</w:t>
            </w:r>
            <w:r w:rsidRPr="00C35ADA">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w:t>
            </w:r>
            <w:r w:rsidRPr="00C35ADA">
              <w:rPr>
                <w:bCs/>
              </w:rPr>
              <w:t xml:space="preserve"> в качестве проспекта эмиссии ценных бумаг);</w:t>
            </w:r>
          </w:p>
          <w:p w:rsidR="003C4C2D" w:rsidRPr="00C35ADA" w:rsidRDefault="003C4C2D" w:rsidP="003C4C2D">
            <w:pPr>
              <w:numPr>
                <w:ilvl w:val="1"/>
                <w:numId w:val="30"/>
              </w:numPr>
              <w:tabs>
                <w:tab w:val="left" w:pos="1309"/>
              </w:tabs>
              <w:ind w:left="459" w:firstLine="425"/>
              <w:contextualSpacing/>
              <w:jc w:val="both"/>
              <w:rPr>
                <w:bCs/>
              </w:rPr>
            </w:pPr>
            <w:r w:rsidRPr="00C35ADA">
              <w:rPr>
                <w:bCs/>
              </w:rPr>
              <w:t>биржевые облигации российских хозяйственных обществ;</w:t>
            </w:r>
          </w:p>
          <w:p w:rsidR="003C4C2D" w:rsidRPr="00C35ADA" w:rsidRDefault="003C4C2D" w:rsidP="003C4C2D">
            <w:pPr>
              <w:numPr>
                <w:ilvl w:val="1"/>
                <w:numId w:val="30"/>
              </w:numPr>
              <w:tabs>
                <w:tab w:val="left" w:pos="1309"/>
              </w:tabs>
              <w:ind w:left="459" w:firstLine="425"/>
              <w:contextualSpacing/>
              <w:jc w:val="both"/>
              <w:rPr>
                <w:bCs/>
              </w:rPr>
            </w:pPr>
            <w:r w:rsidRPr="00C35ADA">
              <w:rPr>
                <w:bCs/>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C4C2D" w:rsidRPr="00C35ADA" w:rsidRDefault="003C4C2D" w:rsidP="003C4C2D">
            <w:pPr>
              <w:numPr>
                <w:ilvl w:val="1"/>
                <w:numId w:val="30"/>
              </w:numPr>
              <w:tabs>
                <w:tab w:val="left" w:pos="1309"/>
              </w:tabs>
              <w:ind w:left="459" w:firstLine="425"/>
              <w:contextualSpacing/>
              <w:jc w:val="both"/>
              <w:rPr>
                <w:bCs/>
              </w:rPr>
            </w:pPr>
            <w:r w:rsidRPr="00C35ADA">
              <w:rPr>
                <w:bCs/>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3C4C2D" w:rsidRPr="00C35ADA" w:rsidRDefault="003C4C2D" w:rsidP="003C4C2D">
            <w:pPr>
              <w:numPr>
                <w:ilvl w:val="1"/>
                <w:numId w:val="30"/>
              </w:numPr>
              <w:tabs>
                <w:tab w:val="left" w:pos="1309"/>
              </w:tabs>
              <w:ind w:left="459" w:firstLine="425"/>
              <w:contextualSpacing/>
              <w:jc w:val="both"/>
              <w:rPr>
                <w:bCs/>
              </w:rPr>
            </w:pPr>
            <w:r w:rsidRPr="00C35ADA">
              <w:rPr>
                <w:bCs/>
              </w:rPr>
              <w:t>российские и иностранные депозитарные расписки на ценные бумаги, предусмотренные подпунктами «а», «б», «в» и «г» настоящего пункта;</w:t>
            </w:r>
          </w:p>
          <w:p w:rsidR="003C4C2D" w:rsidRDefault="003C4C2D" w:rsidP="003C4C2D">
            <w:pPr>
              <w:numPr>
                <w:ilvl w:val="0"/>
                <w:numId w:val="29"/>
              </w:numPr>
              <w:tabs>
                <w:tab w:val="num" w:pos="1134"/>
              </w:tabs>
              <w:contextualSpacing/>
              <w:jc w:val="both"/>
              <w:rPr>
                <w:bCs/>
              </w:rPr>
            </w:pPr>
            <w:r w:rsidRPr="00C35ADA">
              <w:rPr>
                <w:bCs/>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облигаций или фондов денежного рынка;</w:t>
            </w:r>
          </w:p>
          <w:p w:rsidR="003C4C2D" w:rsidRDefault="003C4C2D" w:rsidP="003C4C2D">
            <w:pPr>
              <w:numPr>
                <w:ilvl w:val="0"/>
                <w:numId w:val="29"/>
              </w:numPr>
              <w:tabs>
                <w:tab w:val="num" w:pos="1134"/>
              </w:tabs>
              <w:contextualSpacing/>
              <w:jc w:val="both"/>
              <w:rPr>
                <w:bCs/>
              </w:rPr>
            </w:pPr>
            <w:r w:rsidRPr="00335478">
              <w:rPr>
                <w:bCs/>
              </w:rPr>
              <w:t xml:space="preserve">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w:t>
            </w:r>
            <w:r w:rsidRPr="00335478">
              <w:rPr>
                <w:bCs/>
              </w:rPr>
              <w:lastRenderedPageBreak/>
              <w:t xml:space="preserve">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23.3 настоящих Правил, – значение </w:t>
            </w:r>
            <w:r>
              <w:rPr>
                <w:bCs/>
              </w:rPr>
              <w:t>«С», пятая буква - значение «S»;</w:t>
            </w:r>
          </w:p>
          <w:p w:rsidR="00377C0E" w:rsidRPr="003C4C2D" w:rsidRDefault="00D04127" w:rsidP="003C4C2D">
            <w:pPr>
              <w:numPr>
                <w:ilvl w:val="0"/>
                <w:numId w:val="29"/>
              </w:numPr>
              <w:tabs>
                <w:tab w:val="num" w:pos="1134"/>
              </w:tabs>
              <w:contextualSpacing/>
              <w:jc w:val="both"/>
              <w:rPr>
                <w:bCs/>
              </w:rPr>
            </w:pPr>
            <w:r w:rsidRPr="003C4C2D">
              <w:rPr>
                <w:b/>
                <w:bCs/>
              </w:rPr>
              <w:t>имущественные права из фьючерсных и опционных договоров (контрактов), базовым активом которых является имущество (индекс), предусмотренное пунктом 23.</w:t>
            </w:r>
            <w:r w:rsidR="00F065AD">
              <w:rPr>
                <w:b/>
                <w:bCs/>
              </w:rPr>
              <w:t>4</w:t>
            </w:r>
            <w:r w:rsidRPr="003C4C2D">
              <w:rPr>
                <w:b/>
                <w:bCs/>
              </w:rPr>
              <w:t xml:space="preserve"> настоящих Правил.</w:t>
            </w:r>
          </w:p>
          <w:p w:rsidR="00D75430" w:rsidRPr="00ED54AD" w:rsidRDefault="00D75430" w:rsidP="00962B54">
            <w:pPr>
              <w:pStyle w:val="af8"/>
              <w:numPr>
                <w:ilvl w:val="1"/>
                <w:numId w:val="4"/>
              </w:numPr>
              <w:tabs>
                <w:tab w:val="clear" w:pos="792"/>
                <w:tab w:val="num" w:pos="34"/>
                <w:tab w:val="left" w:pos="1134"/>
              </w:tabs>
              <w:ind w:left="34" w:firstLine="567"/>
              <w:jc w:val="both"/>
              <w:rPr>
                <w:bCs/>
              </w:rPr>
            </w:pPr>
            <w:r w:rsidRPr="00ED54AD">
              <w:rPr>
                <w:bCs/>
              </w:rPr>
              <w:t>Имущество, составляющее фонд, может быть инвестировано в обыкновенные и привилегированные акции, эмитентами которых являются российские и иностранные юридические лица.</w:t>
            </w:r>
          </w:p>
          <w:p w:rsidR="00D75430" w:rsidRPr="00C35ADA" w:rsidRDefault="00D75430" w:rsidP="00D75430">
            <w:pPr>
              <w:ind w:firstLine="567"/>
              <w:contextualSpacing/>
              <w:jc w:val="both"/>
              <w:rPr>
                <w:bCs/>
              </w:rPr>
            </w:pPr>
            <w:r w:rsidRPr="00C35ADA">
              <w:rPr>
                <w:bCs/>
              </w:rPr>
              <w:tab/>
              <w:t>Имущество, составляющее фонд, может быть инвестировано в облигации, эмитентами которых могут быть:</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федеральные органы исполнительной власти Российской Федерации;</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 xml:space="preserve">органы исполнительной власти субъектов Российской Федерации; </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российские органы местного самоуправления;</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иностранные органы государственной власти;</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международные финансовые организации;</w:t>
            </w:r>
          </w:p>
          <w:p w:rsidR="00D75430" w:rsidRPr="00C35ADA" w:rsidRDefault="00D75430" w:rsidP="00962B54">
            <w:pPr>
              <w:numPr>
                <w:ilvl w:val="0"/>
                <w:numId w:val="31"/>
              </w:numPr>
              <w:tabs>
                <w:tab w:val="clear" w:pos="1260"/>
                <w:tab w:val="left" w:pos="884"/>
              </w:tabs>
              <w:ind w:left="0" w:firstLine="567"/>
              <w:contextualSpacing/>
              <w:jc w:val="both"/>
              <w:rPr>
                <w:bCs/>
              </w:rPr>
            </w:pPr>
            <w:r w:rsidRPr="00C35ADA">
              <w:rPr>
                <w:bCs/>
              </w:rPr>
              <w:t>российские и иностранные юридические лица.</w:t>
            </w:r>
          </w:p>
          <w:p w:rsidR="00D75430" w:rsidRPr="00C35ADA" w:rsidRDefault="00D75430" w:rsidP="00D75430">
            <w:pPr>
              <w:ind w:firstLine="567"/>
              <w:contextualSpacing/>
              <w:jc w:val="both"/>
              <w:rPr>
                <w:bCs/>
              </w:rPr>
            </w:pPr>
            <w:r w:rsidRPr="00C35ADA">
              <w:rPr>
                <w:bCs/>
              </w:rPr>
              <w:tab/>
              <w:t>Лица, обязанные по:</w:t>
            </w:r>
          </w:p>
          <w:p w:rsidR="00D75430" w:rsidRPr="00C35ADA" w:rsidRDefault="00D75430" w:rsidP="00D75430">
            <w:pPr>
              <w:ind w:firstLine="567"/>
              <w:contextualSpacing/>
              <w:jc w:val="both"/>
              <w:rPr>
                <w:bCs/>
              </w:rPr>
            </w:pPr>
            <w:r w:rsidRPr="00C35ADA">
              <w:rPr>
                <w:bCs/>
              </w:rPr>
              <w:tab/>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w:t>
            </w:r>
            <w:r w:rsidRPr="00C35ADA">
              <w:rPr>
                <w:bCs/>
              </w:rPr>
              <w:lastRenderedPageBreak/>
              <w:t>Российской Федерации;</w:t>
            </w:r>
          </w:p>
          <w:p w:rsidR="00D75430" w:rsidRPr="00C35ADA" w:rsidRDefault="00D75430" w:rsidP="00D75430">
            <w:pPr>
              <w:ind w:firstLine="567"/>
              <w:contextualSpacing/>
              <w:jc w:val="both"/>
              <w:rPr>
                <w:bCs/>
              </w:rPr>
            </w:pPr>
            <w:r w:rsidRPr="00C35ADA">
              <w:rPr>
                <w:bCs/>
              </w:rPr>
              <w:tab/>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D75430" w:rsidRPr="00C35ADA" w:rsidDel="00B57F5A" w:rsidRDefault="00D75430" w:rsidP="00D75430">
            <w:pPr>
              <w:ind w:firstLine="567"/>
              <w:contextualSpacing/>
              <w:jc w:val="both"/>
              <w:rPr>
                <w:bCs/>
              </w:rPr>
            </w:pPr>
            <w:r w:rsidRPr="00C35ADA">
              <w:rPr>
                <w:bCs/>
              </w:rPr>
              <w:tab/>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C35ADA">
              <w:rPr>
                <w:bCs/>
                <w:lang w:val="en-US"/>
              </w:rPr>
              <w:t>Thompson</w:t>
            </w:r>
            <w:r w:rsidRPr="00C35ADA">
              <w:rPr>
                <w:bCs/>
              </w:rPr>
              <w:t xml:space="preserve"> Reuters), либо такие ценные бумаги обращаются на организованном рынке ценных бумаг.</w:t>
            </w:r>
          </w:p>
          <w:p w:rsidR="003041A5" w:rsidRDefault="00934F33" w:rsidP="003041A5">
            <w:pPr>
              <w:tabs>
                <w:tab w:val="left" w:pos="1134"/>
              </w:tabs>
              <w:ind w:left="34" w:firstLine="533"/>
              <w:contextualSpacing/>
              <w:jc w:val="both"/>
              <w:rPr>
                <w:bCs/>
              </w:rPr>
            </w:pPr>
            <w:r>
              <w:rPr>
                <w:rFonts w:ascii="AGOpusHR" w:hAnsi="AGOpusHR" w:cs="AGOpusHR"/>
                <w:color w:val="000000"/>
              </w:rPr>
              <w:t xml:space="preserve">23.3. </w:t>
            </w:r>
            <w:r w:rsidR="00D75430" w:rsidRPr="00C35ADA">
              <w:rPr>
                <w:bCs/>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75430" w:rsidRPr="003041A5" w:rsidRDefault="00D75430" w:rsidP="003041A5">
            <w:pPr>
              <w:pStyle w:val="af8"/>
              <w:numPr>
                <w:ilvl w:val="0"/>
                <w:numId w:val="41"/>
              </w:numPr>
              <w:tabs>
                <w:tab w:val="left" w:pos="317"/>
                <w:tab w:val="left" w:pos="742"/>
              </w:tabs>
              <w:ind w:left="34" w:firstLine="425"/>
              <w:jc w:val="both"/>
              <w:rPr>
                <w:bCs/>
              </w:rPr>
            </w:pPr>
            <w:r w:rsidRPr="003041A5">
              <w:rPr>
                <w:bCs/>
              </w:rPr>
              <w:t>Американская фондовая биржа (American Stock Exchange);</w:t>
            </w:r>
          </w:p>
          <w:p w:rsidR="003041A5" w:rsidRDefault="00D75430" w:rsidP="003041A5">
            <w:pPr>
              <w:pStyle w:val="af8"/>
              <w:numPr>
                <w:ilvl w:val="0"/>
                <w:numId w:val="41"/>
              </w:numPr>
              <w:tabs>
                <w:tab w:val="left" w:pos="317"/>
                <w:tab w:val="left" w:pos="742"/>
              </w:tabs>
              <w:ind w:left="34" w:firstLine="425"/>
              <w:jc w:val="both"/>
              <w:rPr>
                <w:bCs/>
              </w:rPr>
            </w:pPr>
            <w:r w:rsidRPr="003041A5">
              <w:rPr>
                <w:bCs/>
              </w:rPr>
              <w:t>Гонконгская фондовая биржа (Hong Kong Stock Exchange);</w:t>
            </w:r>
          </w:p>
          <w:p w:rsidR="003041A5" w:rsidRPr="003041A5" w:rsidRDefault="00D75430" w:rsidP="003041A5">
            <w:pPr>
              <w:pStyle w:val="af8"/>
              <w:numPr>
                <w:ilvl w:val="0"/>
                <w:numId w:val="41"/>
              </w:numPr>
              <w:tabs>
                <w:tab w:val="left" w:pos="317"/>
                <w:tab w:val="left" w:pos="742"/>
              </w:tabs>
              <w:ind w:left="34" w:firstLine="425"/>
              <w:jc w:val="both"/>
              <w:rPr>
                <w:bCs/>
                <w:lang w:val="en-US"/>
              </w:rPr>
            </w:pPr>
            <w:r w:rsidRPr="003041A5">
              <w:rPr>
                <w:bCs/>
              </w:rPr>
              <w:t>Евронекст</w:t>
            </w:r>
            <w:r w:rsidRPr="003041A5">
              <w:rPr>
                <w:bCs/>
                <w:lang w:val="en-US"/>
              </w:rPr>
              <w:t xml:space="preserve"> (Euronext Amsterdam, Euronext Brussels, Euronext Lisbon, Euronext Paris);</w:t>
            </w:r>
          </w:p>
          <w:p w:rsidR="003041A5" w:rsidRDefault="00D75430" w:rsidP="003041A5">
            <w:pPr>
              <w:pStyle w:val="af8"/>
              <w:numPr>
                <w:ilvl w:val="0"/>
                <w:numId w:val="41"/>
              </w:numPr>
              <w:tabs>
                <w:tab w:val="left" w:pos="317"/>
                <w:tab w:val="left" w:pos="742"/>
              </w:tabs>
              <w:ind w:left="34" w:firstLine="425"/>
              <w:jc w:val="both"/>
              <w:rPr>
                <w:bCs/>
              </w:rPr>
            </w:pPr>
            <w:r w:rsidRPr="003041A5">
              <w:rPr>
                <w:bCs/>
              </w:rPr>
              <w:t>Закрытое акционерное общество «Фондовая биржа ММВБ»;</w:t>
            </w:r>
          </w:p>
          <w:p w:rsidR="003041A5" w:rsidRDefault="00D75430" w:rsidP="003041A5">
            <w:pPr>
              <w:pStyle w:val="af8"/>
              <w:numPr>
                <w:ilvl w:val="0"/>
                <w:numId w:val="41"/>
              </w:numPr>
              <w:tabs>
                <w:tab w:val="left" w:pos="317"/>
                <w:tab w:val="left" w:pos="742"/>
              </w:tabs>
              <w:ind w:left="34" w:firstLine="425"/>
              <w:jc w:val="both"/>
              <w:rPr>
                <w:bCs/>
              </w:rPr>
            </w:pPr>
            <w:r w:rsidRPr="003041A5">
              <w:rPr>
                <w:bCs/>
              </w:rPr>
              <w:t>Ирландская фондовая биржа (Irish Stock Exchange);</w:t>
            </w:r>
          </w:p>
          <w:p w:rsidR="003041A5" w:rsidRDefault="00D75430" w:rsidP="003041A5">
            <w:pPr>
              <w:pStyle w:val="af8"/>
              <w:numPr>
                <w:ilvl w:val="0"/>
                <w:numId w:val="41"/>
              </w:numPr>
              <w:tabs>
                <w:tab w:val="left" w:pos="317"/>
                <w:tab w:val="left" w:pos="742"/>
              </w:tabs>
              <w:ind w:left="34" w:firstLine="425"/>
              <w:jc w:val="both"/>
              <w:rPr>
                <w:bCs/>
              </w:rPr>
            </w:pPr>
            <w:r w:rsidRPr="003041A5">
              <w:rPr>
                <w:bCs/>
              </w:rPr>
              <w:t>Испанская фондовая биржа (ВМЕ Spanish Exchanges);</w:t>
            </w:r>
          </w:p>
          <w:p w:rsidR="003041A5" w:rsidRDefault="00D75430" w:rsidP="003041A5">
            <w:pPr>
              <w:pStyle w:val="af8"/>
              <w:numPr>
                <w:ilvl w:val="0"/>
                <w:numId w:val="41"/>
              </w:numPr>
              <w:tabs>
                <w:tab w:val="left" w:pos="317"/>
                <w:tab w:val="left" w:pos="742"/>
              </w:tabs>
              <w:ind w:left="34" w:firstLine="425"/>
              <w:jc w:val="both"/>
              <w:rPr>
                <w:bCs/>
              </w:rPr>
            </w:pPr>
            <w:r w:rsidRPr="003041A5">
              <w:rPr>
                <w:bCs/>
              </w:rPr>
              <w:t>Итальянская фондовая биржа (Borsa Italiana);</w:t>
            </w:r>
          </w:p>
          <w:p w:rsidR="003041A5" w:rsidRDefault="00D75430" w:rsidP="003041A5">
            <w:pPr>
              <w:pStyle w:val="af8"/>
              <w:numPr>
                <w:ilvl w:val="0"/>
                <w:numId w:val="41"/>
              </w:numPr>
              <w:tabs>
                <w:tab w:val="left" w:pos="317"/>
                <w:tab w:val="left" w:pos="742"/>
              </w:tabs>
              <w:ind w:left="34" w:firstLine="425"/>
              <w:jc w:val="both"/>
              <w:rPr>
                <w:bCs/>
              </w:rPr>
            </w:pPr>
            <w:r w:rsidRPr="003041A5">
              <w:rPr>
                <w:bCs/>
              </w:rPr>
              <w:t>Корейская биржа (Korea Exchange);</w:t>
            </w:r>
          </w:p>
          <w:p w:rsidR="003041A5" w:rsidRDefault="00D75430" w:rsidP="003041A5">
            <w:pPr>
              <w:pStyle w:val="af8"/>
              <w:numPr>
                <w:ilvl w:val="0"/>
                <w:numId w:val="41"/>
              </w:numPr>
              <w:tabs>
                <w:tab w:val="left" w:pos="317"/>
                <w:tab w:val="left" w:pos="742"/>
              </w:tabs>
              <w:ind w:left="34" w:firstLine="425"/>
              <w:jc w:val="both"/>
              <w:rPr>
                <w:bCs/>
              </w:rPr>
            </w:pPr>
            <w:r w:rsidRPr="003041A5">
              <w:rPr>
                <w:bCs/>
              </w:rPr>
              <w:lastRenderedPageBreak/>
              <w:t>Лондонская фондовая биржа (London Stock Exchange);</w:t>
            </w:r>
          </w:p>
          <w:p w:rsidR="003041A5" w:rsidRDefault="00D75430" w:rsidP="003041A5">
            <w:pPr>
              <w:pStyle w:val="af8"/>
              <w:numPr>
                <w:ilvl w:val="0"/>
                <w:numId w:val="41"/>
              </w:numPr>
              <w:tabs>
                <w:tab w:val="left" w:pos="317"/>
                <w:tab w:val="left" w:pos="742"/>
                <w:tab w:val="left" w:pos="884"/>
              </w:tabs>
              <w:ind w:left="34" w:firstLine="425"/>
              <w:jc w:val="both"/>
              <w:rPr>
                <w:bCs/>
              </w:rPr>
            </w:pPr>
            <w:r w:rsidRPr="003041A5">
              <w:rPr>
                <w:bCs/>
              </w:rPr>
              <w:t>Люксембургская фондовая биржа (Luxembourg Stock Exchange);</w:t>
            </w:r>
          </w:p>
          <w:p w:rsidR="003041A5" w:rsidRDefault="00D75430" w:rsidP="003041A5">
            <w:pPr>
              <w:pStyle w:val="af8"/>
              <w:numPr>
                <w:ilvl w:val="0"/>
                <w:numId w:val="41"/>
              </w:numPr>
              <w:tabs>
                <w:tab w:val="left" w:pos="317"/>
                <w:tab w:val="left" w:pos="742"/>
                <w:tab w:val="left" w:pos="884"/>
              </w:tabs>
              <w:ind w:left="34" w:firstLine="425"/>
              <w:jc w:val="both"/>
              <w:rPr>
                <w:bCs/>
              </w:rPr>
            </w:pPr>
            <w:r w:rsidRPr="003041A5">
              <w:rPr>
                <w:bCs/>
              </w:rPr>
              <w:t>Насдак (Nasdaq);</w:t>
            </w:r>
          </w:p>
          <w:p w:rsidR="003041A5" w:rsidRDefault="00D75430" w:rsidP="003041A5">
            <w:pPr>
              <w:pStyle w:val="af8"/>
              <w:numPr>
                <w:ilvl w:val="0"/>
                <w:numId w:val="41"/>
              </w:numPr>
              <w:tabs>
                <w:tab w:val="left" w:pos="317"/>
                <w:tab w:val="left" w:pos="742"/>
                <w:tab w:val="left" w:pos="884"/>
              </w:tabs>
              <w:ind w:left="34" w:firstLine="425"/>
              <w:jc w:val="both"/>
              <w:rPr>
                <w:bCs/>
              </w:rPr>
            </w:pPr>
            <w:r w:rsidRPr="003041A5">
              <w:rPr>
                <w:bCs/>
              </w:rPr>
              <w:t>Немецкая фондовая биржа (Deutsche Borse);</w:t>
            </w:r>
          </w:p>
          <w:p w:rsidR="003041A5" w:rsidRPr="003041A5" w:rsidRDefault="00D75430" w:rsidP="003041A5">
            <w:pPr>
              <w:pStyle w:val="af8"/>
              <w:numPr>
                <w:ilvl w:val="0"/>
                <w:numId w:val="41"/>
              </w:numPr>
              <w:tabs>
                <w:tab w:val="left" w:pos="317"/>
                <w:tab w:val="left" w:pos="742"/>
                <w:tab w:val="left" w:pos="884"/>
              </w:tabs>
              <w:ind w:left="34" w:firstLine="425"/>
              <w:jc w:val="both"/>
              <w:rPr>
                <w:bCs/>
                <w:lang w:val="en-US"/>
              </w:rPr>
            </w:pPr>
            <w:r w:rsidRPr="003041A5">
              <w:rPr>
                <w:bCs/>
              </w:rPr>
              <w:t>Нью</w:t>
            </w:r>
            <w:r w:rsidRPr="003041A5">
              <w:rPr>
                <w:bCs/>
                <w:lang w:val="en-US"/>
              </w:rPr>
              <w:t>-</w:t>
            </w:r>
            <w:r w:rsidRPr="003041A5">
              <w:rPr>
                <w:bCs/>
              </w:rPr>
              <w:t>Йоркская</w:t>
            </w:r>
            <w:r w:rsidRPr="003041A5">
              <w:rPr>
                <w:bCs/>
                <w:lang w:val="en-US"/>
              </w:rPr>
              <w:t xml:space="preserve"> </w:t>
            </w:r>
            <w:r w:rsidRPr="003041A5">
              <w:rPr>
                <w:bCs/>
              </w:rPr>
              <w:t>фондовая</w:t>
            </w:r>
            <w:r w:rsidRPr="003041A5">
              <w:rPr>
                <w:bCs/>
                <w:lang w:val="en-US"/>
              </w:rPr>
              <w:t xml:space="preserve"> </w:t>
            </w:r>
            <w:r w:rsidRPr="003041A5">
              <w:rPr>
                <w:bCs/>
              </w:rPr>
              <w:t>биржа</w:t>
            </w:r>
            <w:r w:rsidRPr="003041A5">
              <w:rPr>
                <w:bCs/>
                <w:lang w:val="en-US"/>
              </w:rPr>
              <w:t xml:space="preserve"> (New York Stock Exchange);</w:t>
            </w:r>
          </w:p>
          <w:p w:rsidR="003041A5" w:rsidRPr="003041A5" w:rsidRDefault="00D75430" w:rsidP="003041A5">
            <w:pPr>
              <w:pStyle w:val="af8"/>
              <w:numPr>
                <w:ilvl w:val="0"/>
                <w:numId w:val="41"/>
              </w:numPr>
              <w:tabs>
                <w:tab w:val="left" w:pos="317"/>
                <w:tab w:val="left" w:pos="742"/>
                <w:tab w:val="left" w:pos="884"/>
              </w:tabs>
              <w:ind w:left="34" w:firstLine="425"/>
              <w:jc w:val="both"/>
              <w:rPr>
                <w:bCs/>
                <w:lang w:val="en-US"/>
              </w:rPr>
            </w:pPr>
            <w:r w:rsidRPr="003041A5">
              <w:rPr>
                <w:bCs/>
              </w:rPr>
              <w:t>Токийская</w:t>
            </w:r>
            <w:r w:rsidRPr="003041A5">
              <w:rPr>
                <w:bCs/>
                <w:lang w:val="en-US"/>
              </w:rPr>
              <w:t xml:space="preserve"> </w:t>
            </w:r>
            <w:r w:rsidRPr="003041A5">
              <w:rPr>
                <w:bCs/>
              </w:rPr>
              <w:t>фондовая</w:t>
            </w:r>
            <w:r w:rsidRPr="003041A5">
              <w:rPr>
                <w:bCs/>
                <w:lang w:val="en-US"/>
              </w:rPr>
              <w:t xml:space="preserve"> </w:t>
            </w:r>
            <w:r w:rsidRPr="003041A5">
              <w:rPr>
                <w:bCs/>
              </w:rPr>
              <w:t>биржа</w:t>
            </w:r>
            <w:r w:rsidRPr="003041A5">
              <w:rPr>
                <w:bCs/>
                <w:lang w:val="en-US"/>
              </w:rPr>
              <w:t xml:space="preserve"> (Tokyo Stock Exchange Group);</w:t>
            </w:r>
          </w:p>
          <w:p w:rsidR="003041A5" w:rsidRPr="003041A5" w:rsidRDefault="00D75430" w:rsidP="003041A5">
            <w:pPr>
              <w:pStyle w:val="af8"/>
              <w:numPr>
                <w:ilvl w:val="0"/>
                <w:numId w:val="41"/>
              </w:numPr>
              <w:tabs>
                <w:tab w:val="left" w:pos="317"/>
                <w:tab w:val="left" w:pos="742"/>
                <w:tab w:val="left" w:pos="884"/>
              </w:tabs>
              <w:ind w:left="34" w:firstLine="425"/>
              <w:jc w:val="both"/>
              <w:rPr>
                <w:bCs/>
                <w:lang w:val="en-US"/>
              </w:rPr>
            </w:pPr>
            <w:r w:rsidRPr="003041A5">
              <w:rPr>
                <w:bCs/>
              </w:rPr>
              <w:t>Фондовая</w:t>
            </w:r>
            <w:r w:rsidRPr="003041A5">
              <w:rPr>
                <w:bCs/>
                <w:lang w:val="en-US"/>
              </w:rPr>
              <w:t xml:space="preserve"> </w:t>
            </w:r>
            <w:r w:rsidRPr="003041A5">
              <w:rPr>
                <w:bCs/>
              </w:rPr>
              <w:t>биржа</w:t>
            </w:r>
            <w:r w:rsidRPr="003041A5">
              <w:rPr>
                <w:bCs/>
                <w:lang w:val="en-US"/>
              </w:rPr>
              <w:t xml:space="preserve"> </w:t>
            </w:r>
            <w:r w:rsidRPr="003041A5">
              <w:rPr>
                <w:bCs/>
              </w:rPr>
              <w:t>Торонто</w:t>
            </w:r>
            <w:r w:rsidRPr="003041A5">
              <w:rPr>
                <w:bCs/>
                <w:lang w:val="en-US"/>
              </w:rPr>
              <w:t xml:space="preserve"> (Toronto Stock Exchange, TSX Group);</w:t>
            </w:r>
          </w:p>
          <w:p w:rsidR="003041A5" w:rsidRDefault="00D75430" w:rsidP="003041A5">
            <w:pPr>
              <w:pStyle w:val="af8"/>
              <w:numPr>
                <w:ilvl w:val="0"/>
                <w:numId w:val="41"/>
              </w:numPr>
              <w:tabs>
                <w:tab w:val="left" w:pos="317"/>
                <w:tab w:val="left" w:pos="742"/>
                <w:tab w:val="left" w:pos="884"/>
              </w:tabs>
              <w:ind w:left="34" w:firstLine="425"/>
              <w:jc w:val="both"/>
              <w:rPr>
                <w:bCs/>
              </w:rPr>
            </w:pPr>
            <w:r w:rsidRPr="003041A5">
              <w:rPr>
                <w:bCs/>
              </w:rPr>
              <w:t>Фондовая биржа Швейцарии (Swiss Exchange);</w:t>
            </w:r>
          </w:p>
          <w:p w:rsidR="00D75430" w:rsidRPr="003041A5" w:rsidRDefault="00D75430" w:rsidP="003041A5">
            <w:pPr>
              <w:pStyle w:val="af8"/>
              <w:numPr>
                <w:ilvl w:val="0"/>
                <w:numId w:val="41"/>
              </w:numPr>
              <w:tabs>
                <w:tab w:val="left" w:pos="317"/>
                <w:tab w:val="left" w:pos="742"/>
                <w:tab w:val="left" w:pos="884"/>
              </w:tabs>
              <w:ind w:left="34" w:firstLine="425"/>
              <w:jc w:val="both"/>
              <w:rPr>
                <w:bCs/>
              </w:rPr>
            </w:pPr>
            <w:r w:rsidRPr="003041A5">
              <w:rPr>
                <w:bCs/>
              </w:rPr>
              <w:t>Шанхайская фондовая биржа (Shanghai Stock Exchange).</w:t>
            </w:r>
          </w:p>
          <w:p w:rsidR="00D75430" w:rsidRPr="00C35ADA" w:rsidRDefault="00D75430" w:rsidP="00D75430">
            <w:pPr>
              <w:ind w:firstLine="567"/>
              <w:contextualSpacing/>
              <w:jc w:val="both"/>
              <w:rPr>
                <w:bCs/>
              </w:rPr>
            </w:pPr>
            <w:r w:rsidRPr="00C35ADA">
              <w:rPr>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а также не распространяется на паи (акции) иностранных инвестиционных фондов открытого типа.</w:t>
            </w:r>
          </w:p>
          <w:p w:rsidR="00D75430" w:rsidRDefault="00D75430" w:rsidP="00D75430">
            <w:pPr>
              <w:ind w:firstLine="567"/>
              <w:contextualSpacing/>
              <w:jc w:val="both"/>
              <w:rPr>
                <w:bCs/>
              </w:rPr>
            </w:pPr>
            <w:r w:rsidRPr="00C35ADA">
              <w:rPr>
                <w:bCs/>
              </w:rPr>
              <w:t>Ценные бумаги, в которые инвестируется имущество, составляющее фонд, должны быть допущены к торгам организаторов торговли на рынке ценных бумаг.</w:t>
            </w:r>
            <w:r w:rsidRPr="00C35ADA">
              <w:rPr>
                <w:bCs/>
              </w:rPr>
              <w:tab/>
            </w:r>
          </w:p>
          <w:p w:rsidR="00D75430" w:rsidRPr="00C35ADA" w:rsidRDefault="00D75430" w:rsidP="00D75430">
            <w:pPr>
              <w:ind w:firstLine="567"/>
              <w:contextualSpacing/>
              <w:jc w:val="both"/>
              <w:rPr>
                <w:bCs/>
              </w:rPr>
            </w:pPr>
            <w:r w:rsidRPr="00C35ADA">
              <w:rPr>
                <w:bCs/>
              </w:rPr>
              <w:t>Ценные бумаги, составляющие фонд, могут быть, как включенные, так и не включенные в котировальные списки фондовых бирж.</w:t>
            </w:r>
          </w:p>
          <w:p w:rsidR="00D75430" w:rsidRPr="00C35ADA" w:rsidRDefault="00D75430" w:rsidP="00D75430">
            <w:pPr>
              <w:ind w:firstLine="567"/>
              <w:contextualSpacing/>
              <w:jc w:val="both"/>
              <w:rPr>
                <w:bCs/>
              </w:rPr>
            </w:pPr>
            <w:r w:rsidRPr="00C35ADA">
              <w:rPr>
                <w:bCs/>
              </w:rPr>
              <w:t>Государственные ценные бумаги субъектов Российской Федерации и муниципальные ценные бумаги могут входить в состав активов фонда, если они допущены к торгам организатора торговли на рынке ценных бумаг.</w:t>
            </w:r>
          </w:p>
          <w:p w:rsidR="00F807DB" w:rsidRPr="00505D00" w:rsidRDefault="00ED54AD" w:rsidP="00922599">
            <w:pPr>
              <w:tabs>
                <w:tab w:val="num" w:pos="709"/>
              </w:tabs>
              <w:ind w:firstLine="709"/>
              <w:jc w:val="both"/>
              <w:rPr>
                <w:b/>
                <w:bCs/>
              </w:rPr>
            </w:pPr>
            <w:r>
              <w:rPr>
                <w:b/>
                <w:bCs/>
              </w:rPr>
              <w:t>23.4</w:t>
            </w:r>
            <w:r w:rsidR="00F807DB" w:rsidRPr="00505D00">
              <w:rPr>
                <w:b/>
                <w:bCs/>
              </w:rPr>
              <w:t>.  Под базовым активом фьючерсных и опционных договоров (контра</w:t>
            </w:r>
            <w:r w:rsidR="00FA7177">
              <w:rPr>
                <w:b/>
                <w:bCs/>
              </w:rPr>
              <w:t>ктов), указанных в подпункте 7</w:t>
            </w:r>
            <w:r w:rsidR="00D04127" w:rsidRPr="00505D00">
              <w:rPr>
                <w:b/>
                <w:bCs/>
              </w:rPr>
              <w:t xml:space="preserve"> пункта 23.1</w:t>
            </w:r>
            <w:r w:rsidR="00F807DB" w:rsidRPr="00505D00">
              <w:rPr>
                <w:b/>
                <w:bCs/>
              </w:rPr>
              <w:t xml:space="preserve"> настоящих Правил понимаются:</w:t>
            </w:r>
          </w:p>
          <w:p w:rsidR="00F807DB" w:rsidRPr="00505D00" w:rsidRDefault="00F807DB" w:rsidP="00922599">
            <w:pPr>
              <w:tabs>
                <w:tab w:val="num" w:pos="709"/>
              </w:tabs>
              <w:ind w:firstLine="709"/>
              <w:jc w:val="both"/>
              <w:rPr>
                <w:b/>
                <w:bCs/>
              </w:rPr>
            </w:pPr>
            <w:r w:rsidRPr="00505D00">
              <w:rPr>
                <w:b/>
                <w:bCs/>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D04127" w:rsidRPr="00505D00">
              <w:rPr>
                <w:b/>
                <w:bCs/>
              </w:rPr>
              <w:t>23.1</w:t>
            </w:r>
            <w:r w:rsidRPr="00505D00">
              <w:rPr>
                <w:b/>
                <w:bCs/>
              </w:rPr>
              <w:t xml:space="preserve">. настоящих Правил.  </w:t>
            </w:r>
          </w:p>
          <w:p w:rsidR="00F807DB" w:rsidRPr="00505D00" w:rsidRDefault="00F807DB" w:rsidP="00922599">
            <w:pPr>
              <w:tabs>
                <w:tab w:val="num" w:pos="709"/>
              </w:tabs>
              <w:ind w:firstLine="709"/>
              <w:jc w:val="both"/>
              <w:rPr>
                <w:b/>
                <w:bCs/>
              </w:rPr>
            </w:pPr>
            <w:r w:rsidRPr="00505D00">
              <w:rPr>
                <w:b/>
                <w:bCs/>
              </w:rPr>
              <w:t>б) имущество, указан</w:t>
            </w:r>
            <w:r w:rsidR="00D04127" w:rsidRPr="00505D00">
              <w:rPr>
                <w:b/>
                <w:bCs/>
              </w:rPr>
              <w:t xml:space="preserve">ное в подпунктах </w:t>
            </w:r>
            <w:r w:rsidR="00E86923" w:rsidRPr="00FA2819">
              <w:rPr>
                <w:b/>
                <w:bCs/>
              </w:rPr>
              <w:t>1-6 пункта 23.1</w:t>
            </w:r>
            <w:r w:rsidRPr="00FA2819">
              <w:rPr>
                <w:b/>
                <w:bCs/>
              </w:rPr>
              <w:t>.</w:t>
            </w:r>
            <w:r w:rsidRPr="00505D00">
              <w:rPr>
                <w:b/>
                <w:bCs/>
              </w:rPr>
              <w:t xml:space="preserve"> настоящих Правил.</w:t>
            </w:r>
          </w:p>
          <w:p w:rsidR="008A76B6" w:rsidRDefault="00F807DB" w:rsidP="008A76B6">
            <w:pPr>
              <w:tabs>
                <w:tab w:val="num" w:pos="709"/>
              </w:tabs>
              <w:ind w:firstLine="709"/>
              <w:jc w:val="both"/>
              <w:rPr>
                <w:b/>
                <w:bCs/>
              </w:rPr>
            </w:pPr>
            <w:r w:rsidRPr="00505D00">
              <w:rPr>
                <w:b/>
                <w:bCs/>
              </w:rPr>
              <w:t xml:space="preserve">в) имущественные права из фьючерсных договоров (контрактов), базовым  активом которых является </w:t>
            </w:r>
            <w:r w:rsidRPr="00505D00">
              <w:rPr>
                <w:b/>
                <w:bCs/>
              </w:rPr>
              <w:lastRenderedPageBreak/>
              <w:t>имущество или индекс, предусмотренные подпунктами «а», «б» настоящего пункта.</w:t>
            </w:r>
          </w:p>
          <w:p w:rsidR="008A76B6" w:rsidRPr="008A76B6" w:rsidRDefault="008A76B6" w:rsidP="008A76B6">
            <w:pPr>
              <w:tabs>
                <w:tab w:val="num" w:pos="709"/>
              </w:tabs>
              <w:ind w:firstLine="601"/>
              <w:jc w:val="both"/>
              <w:rPr>
                <w:b/>
                <w:bCs/>
              </w:rPr>
            </w:pPr>
            <w:r w:rsidRPr="008A76B6">
              <w:rPr>
                <w:bCs/>
              </w:rPr>
              <w:t>24.Структура активов фонда.</w:t>
            </w:r>
          </w:p>
          <w:p w:rsidR="008A76B6" w:rsidRPr="00C35ADA" w:rsidRDefault="008A76B6" w:rsidP="008A76B6">
            <w:pPr>
              <w:tabs>
                <w:tab w:val="left" w:pos="1134"/>
              </w:tabs>
              <w:ind w:left="34" w:firstLine="425"/>
              <w:contextualSpacing/>
              <w:jc w:val="both"/>
              <w:rPr>
                <w:bCs/>
              </w:rPr>
            </w:pPr>
            <w:r>
              <w:rPr>
                <w:bCs/>
              </w:rPr>
              <w:t>24.1.</w:t>
            </w:r>
            <w:r w:rsidRPr="00C35ADA">
              <w:rPr>
                <w:bCs/>
              </w:rPr>
              <w:t>Структура активов фонда должна одновременно соответствовать следующим требованиям:</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 xml:space="preserve">денежные средства, находящиеся во вкладах в одной кредитной организации, могут составлять не более 25 процентов стоимости активов </w:t>
            </w:r>
            <w:r w:rsidR="009D34C5">
              <w:rPr>
                <w:bCs/>
              </w:rPr>
              <w:t>ф</w:t>
            </w:r>
            <w:r w:rsidRPr="00C35ADA">
              <w:rPr>
                <w:bCs/>
              </w:rPr>
              <w:t>онда;</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 может составлять не более 15 процентов стоимости активов фонда. Требования настоящего подпункта в части, касающейся на ограничения на ценные бумаги одного эмитента, не распространяются на российские и иностранные депозитарные расписки;</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 xml:space="preserve">количество инвестиционных паев </w:t>
            </w:r>
            <w:r w:rsidRPr="00C35ADA">
              <w:rPr>
                <w:bCs/>
              </w:rPr>
              <w:lastRenderedPageBreak/>
              <w:t>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оценочная стоимость неликвидных ценных бумаг может составлять не более 10 процентов стоимости активов фонда;</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23.3 настоящих Правил;</w:t>
            </w:r>
          </w:p>
          <w:p w:rsidR="008A76B6" w:rsidRPr="00C35ADA" w:rsidRDefault="008A76B6" w:rsidP="009B16DF">
            <w:pPr>
              <w:numPr>
                <w:ilvl w:val="0"/>
                <w:numId w:val="35"/>
              </w:numPr>
              <w:tabs>
                <w:tab w:val="clear" w:pos="720"/>
                <w:tab w:val="left" w:pos="884"/>
              </w:tabs>
              <w:ind w:left="0" w:firstLine="567"/>
              <w:contextualSpacing/>
              <w:jc w:val="both"/>
              <w:rPr>
                <w:bCs/>
              </w:rPr>
            </w:pPr>
            <w:r w:rsidRPr="00C35ADA">
              <w:rPr>
                <w:bCs/>
              </w:rPr>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8A76B6" w:rsidRDefault="008A76B6" w:rsidP="009B16DF">
            <w:pPr>
              <w:numPr>
                <w:ilvl w:val="0"/>
                <w:numId w:val="35"/>
              </w:numPr>
              <w:tabs>
                <w:tab w:val="clear" w:pos="720"/>
                <w:tab w:val="left" w:pos="884"/>
              </w:tabs>
              <w:ind w:left="0" w:firstLine="567"/>
              <w:contextualSpacing/>
              <w:jc w:val="both"/>
              <w:rPr>
                <w:bCs/>
              </w:rPr>
            </w:pPr>
            <w:r w:rsidRPr="00C35ADA">
              <w:rPr>
                <w:bCs/>
              </w:rPr>
              <w:t xml:space="preserve">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 </w:t>
            </w:r>
          </w:p>
          <w:p w:rsidR="008A76B6" w:rsidRPr="008A76B6" w:rsidRDefault="008A76B6" w:rsidP="00DF4C92">
            <w:pPr>
              <w:pStyle w:val="af8"/>
              <w:numPr>
                <w:ilvl w:val="1"/>
                <w:numId w:val="33"/>
              </w:numPr>
              <w:tabs>
                <w:tab w:val="left" w:pos="1134"/>
              </w:tabs>
              <w:ind w:left="34" w:firstLine="567"/>
              <w:jc w:val="both"/>
              <w:rPr>
                <w:bCs/>
              </w:rPr>
            </w:pPr>
            <w:r w:rsidRPr="008A76B6">
              <w:rPr>
                <w:bCs/>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A76B6" w:rsidRPr="00C35ADA" w:rsidRDefault="008A76B6" w:rsidP="00DF4C92">
            <w:pPr>
              <w:numPr>
                <w:ilvl w:val="0"/>
                <w:numId w:val="37"/>
              </w:numPr>
              <w:tabs>
                <w:tab w:val="clear" w:pos="720"/>
                <w:tab w:val="left" w:pos="884"/>
              </w:tabs>
              <w:ind w:left="0" w:firstLine="567"/>
              <w:contextualSpacing/>
              <w:jc w:val="both"/>
              <w:rPr>
                <w:bCs/>
              </w:rPr>
            </w:pPr>
            <w:r w:rsidRPr="00C35ADA">
              <w:rPr>
                <w:bCs/>
              </w:rPr>
              <w:t>ценная бумага включена в котировальные списки «А» или «Б» российской фондовой биржи;</w:t>
            </w:r>
          </w:p>
          <w:p w:rsidR="008A76B6" w:rsidRPr="00C35ADA" w:rsidRDefault="008A76B6" w:rsidP="00DF4C92">
            <w:pPr>
              <w:numPr>
                <w:ilvl w:val="0"/>
                <w:numId w:val="37"/>
              </w:numPr>
              <w:tabs>
                <w:tab w:val="clear" w:pos="720"/>
                <w:tab w:val="left" w:pos="884"/>
              </w:tabs>
              <w:ind w:left="0" w:firstLine="567"/>
              <w:contextualSpacing/>
              <w:jc w:val="both"/>
              <w:rPr>
                <w:bCs/>
              </w:rPr>
            </w:pPr>
            <w:r w:rsidRPr="00C35ADA">
              <w:rPr>
                <w:bCs/>
              </w:rPr>
              <w:t xml:space="preserve">объем торгов по ценной бумаге за </w:t>
            </w:r>
            <w:r w:rsidRPr="00C35ADA">
              <w:rPr>
                <w:bCs/>
              </w:rPr>
              <w:lastRenderedPageBreak/>
              <w:t>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A76B6" w:rsidRPr="00C35ADA" w:rsidRDefault="008A76B6" w:rsidP="00DF4C92">
            <w:pPr>
              <w:numPr>
                <w:ilvl w:val="0"/>
                <w:numId w:val="37"/>
              </w:numPr>
              <w:tabs>
                <w:tab w:val="clear" w:pos="720"/>
                <w:tab w:val="left" w:pos="884"/>
              </w:tabs>
              <w:ind w:left="0" w:firstLine="567"/>
              <w:contextualSpacing/>
              <w:jc w:val="both"/>
              <w:rPr>
                <w:bCs/>
              </w:rPr>
            </w:pPr>
            <w:r w:rsidRPr="00C35ADA">
              <w:rPr>
                <w:bCs/>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A76B6" w:rsidRPr="00C35ADA" w:rsidRDefault="008A76B6" w:rsidP="00DF4C92">
            <w:pPr>
              <w:numPr>
                <w:ilvl w:val="0"/>
                <w:numId w:val="37"/>
              </w:numPr>
              <w:tabs>
                <w:tab w:val="clear" w:pos="720"/>
                <w:tab w:val="left" w:pos="884"/>
              </w:tabs>
              <w:ind w:left="0" w:firstLine="567"/>
              <w:contextualSpacing/>
              <w:jc w:val="both"/>
              <w:rPr>
                <w:bCs/>
              </w:rPr>
            </w:pPr>
            <w:r w:rsidRPr="00C35ADA">
              <w:rPr>
                <w:bCs/>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A76B6" w:rsidRPr="00C35ADA" w:rsidRDefault="008A76B6" w:rsidP="00DF4C92">
            <w:pPr>
              <w:numPr>
                <w:ilvl w:val="0"/>
                <w:numId w:val="37"/>
              </w:numPr>
              <w:tabs>
                <w:tab w:val="clear" w:pos="720"/>
                <w:tab w:val="left" w:pos="884"/>
              </w:tabs>
              <w:ind w:left="0" w:firstLine="567"/>
              <w:contextualSpacing/>
              <w:jc w:val="both"/>
              <w:rPr>
                <w:bCs/>
              </w:rPr>
            </w:pPr>
            <w:r w:rsidRPr="00C35ADA">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A76B6" w:rsidRDefault="008A76B6" w:rsidP="00DF4C92">
            <w:pPr>
              <w:numPr>
                <w:ilvl w:val="0"/>
                <w:numId w:val="37"/>
              </w:numPr>
              <w:tabs>
                <w:tab w:val="clear" w:pos="720"/>
                <w:tab w:val="left" w:pos="884"/>
              </w:tabs>
              <w:ind w:left="0" w:firstLine="567"/>
              <w:contextualSpacing/>
              <w:jc w:val="both"/>
              <w:rPr>
                <w:bCs/>
              </w:rPr>
            </w:pPr>
            <w:r w:rsidRPr="00C35ADA">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F807DB" w:rsidRPr="00505D00" w:rsidRDefault="008A76B6" w:rsidP="00922599">
            <w:pPr>
              <w:tabs>
                <w:tab w:val="num" w:pos="709"/>
              </w:tabs>
              <w:ind w:firstLine="709"/>
              <w:jc w:val="both"/>
              <w:rPr>
                <w:b/>
                <w:bCs/>
              </w:rPr>
            </w:pPr>
            <w:r>
              <w:rPr>
                <w:b/>
                <w:bCs/>
              </w:rPr>
              <w:t>24.3</w:t>
            </w:r>
            <w:r w:rsidR="00F807DB" w:rsidRPr="00505D00">
              <w:rPr>
                <w:b/>
                <w:bCs/>
              </w:rPr>
              <w:t xml:space="preserve">.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F807DB" w:rsidRPr="00505D00" w:rsidRDefault="00F807DB" w:rsidP="00922599">
            <w:pPr>
              <w:tabs>
                <w:tab w:val="num" w:pos="709"/>
              </w:tabs>
              <w:ind w:firstLine="709"/>
              <w:jc w:val="both"/>
              <w:rPr>
                <w:b/>
                <w:bCs/>
              </w:rPr>
            </w:pPr>
            <w:r w:rsidRPr="00505D00">
              <w:rPr>
                <w:b/>
                <w:bCs/>
              </w:rPr>
              <w:lastRenderedPageBreak/>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807DB" w:rsidRPr="00505D00" w:rsidRDefault="00F807DB" w:rsidP="00922599">
            <w:pPr>
              <w:tabs>
                <w:tab w:val="num" w:pos="709"/>
              </w:tabs>
              <w:ind w:firstLine="709"/>
              <w:jc w:val="both"/>
              <w:rPr>
                <w:b/>
                <w:bCs/>
              </w:rPr>
            </w:pPr>
            <w:r w:rsidRPr="00505D00">
              <w:rPr>
                <w:b/>
                <w:bCs/>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w:t>
            </w:r>
            <w:r w:rsidR="00E86923" w:rsidRPr="00FA2819">
              <w:rPr>
                <w:b/>
                <w:bCs/>
              </w:rPr>
              <w:t xml:space="preserve">превышать </w:t>
            </w:r>
            <w:r w:rsidR="005F490E" w:rsidRPr="00FA2819">
              <w:rPr>
                <w:b/>
                <w:bCs/>
              </w:rPr>
              <w:t>20</w:t>
            </w:r>
            <w:r w:rsidR="00E86923" w:rsidRPr="00FA2819">
              <w:rPr>
                <w:b/>
                <w:bCs/>
              </w:rPr>
              <w:t xml:space="preserve">  процентов стоимости</w:t>
            </w:r>
            <w:r w:rsidRPr="00505D00">
              <w:rPr>
                <w:b/>
                <w:bCs/>
              </w:rPr>
              <w:t xml:space="preserve"> активов фонда.</w:t>
            </w:r>
          </w:p>
          <w:p w:rsidR="00F807DB" w:rsidRPr="00505D00" w:rsidRDefault="00F807DB" w:rsidP="00922599">
            <w:pPr>
              <w:tabs>
                <w:tab w:val="num" w:pos="709"/>
              </w:tabs>
              <w:ind w:firstLine="709"/>
              <w:jc w:val="both"/>
              <w:rPr>
                <w:b/>
                <w:bCs/>
              </w:rPr>
            </w:pPr>
            <w:r w:rsidRPr="00505D00">
              <w:rPr>
                <w:b/>
                <w:bCs/>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807DB" w:rsidRPr="00505D00" w:rsidRDefault="00F807DB" w:rsidP="00922599">
            <w:pPr>
              <w:tabs>
                <w:tab w:val="num" w:pos="709"/>
              </w:tabs>
              <w:ind w:firstLine="709"/>
              <w:jc w:val="both"/>
              <w:rPr>
                <w:b/>
                <w:bCs/>
              </w:rPr>
            </w:pPr>
            <w:r w:rsidRPr="00505D00">
              <w:rPr>
                <w:b/>
                <w:bCs/>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w:t>
            </w:r>
            <w:r w:rsidRPr="00505D00">
              <w:rPr>
                <w:b/>
                <w:bCs/>
              </w:rPr>
              <w:lastRenderedPageBreak/>
              <w:t xml:space="preserve">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w:t>
            </w:r>
            <w:r w:rsidR="00E86923" w:rsidRPr="00FA2819">
              <w:rPr>
                <w:b/>
                <w:bCs/>
              </w:rPr>
              <w:t xml:space="preserve">не более </w:t>
            </w:r>
            <w:r w:rsidR="005F490E" w:rsidRPr="00FA2819">
              <w:rPr>
                <w:b/>
                <w:bCs/>
              </w:rPr>
              <w:t>20</w:t>
            </w:r>
            <w:r w:rsidR="00E86923" w:rsidRPr="00FA2819">
              <w:rPr>
                <w:b/>
                <w:bCs/>
              </w:rPr>
              <w:t xml:space="preserve"> процентов</w:t>
            </w:r>
            <w:r w:rsidRPr="00505D00">
              <w:rPr>
                <w:b/>
                <w:bCs/>
              </w:rPr>
              <w:t xml:space="preserve"> стоимости активов Фонда.</w:t>
            </w:r>
          </w:p>
          <w:p w:rsidR="00F807DB" w:rsidRDefault="00F807DB" w:rsidP="00922599">
            <w:pPr>
              <w:tabs>
                <w:tab w:val="num" w:pos="709"/>
              </w:tabs>
              <w:ind w:firstLine="709"/>
              <w:jc w:val="both"/>
              <w:rPr>
                <w:b/>
                <w:bCs/>
              </w:rPr>
            </w:pPr>
            <w:r w:rsidRPr="00505D00">
              <w:rPr>
                <w:b/>
                <w:bCs/>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w:t>
            </w:r>
            <w:r w:rsidR="00C33B0B" w:rsidRPr="00505D00">
              <w:rPr>
                <w:b/>
                <w:bCs/>
              </w:rPr>
              <w:t>облигации,</w:t>
            </w:r>
            <w:r w:rsidRPr="00505D00">
              <w:rPr>
                <w:b/>
                <w:bCs/>
              </w:rPr>
              <w:t xml:space="preserve"> то величина открытой короткой позиции по таким договорам (контрактам) может составлять не более 30  процентов стоимости активов фонда.</w:t>
            </w:r>
          </w:p>
          <w:p w:rsidR="008A76B6" w:rsidRPr="008A76B6" w:rsidRDefault="008A76B6" w:rsidP="00DF4C92">
            <w:pPr>
              <w:pStyle w:val="af8"/>
              <w:numPr>
                <w:ilvl w:val="0"/>
                <w:numId w:val="33"/>
              </w:numPr>
              <w:tabs>
                <w:tab w:val="left" w:pos="939"/>
              </w:tabs>
              <w:ind w:left="89" w:firstLine="425"/>
              <w:jc w:val="both"/>
              <w:rPr>
                <w:bCs/>
              </w:rPr>
            </w:pPr>
            <w:r w:rsidRPr="008A76B6">
              <w:rPr>
                <w:bCs/>
              </w:rPr>
              <w:t>Описание рисков, связанных с инвестированием.</w:t>
            </w:r>
          </w:p>
          <w:p w:rsidR="008A76B6" w:rsidRPr="00C35ADA" w:rsidRDefault="008A76B6" w:rsidP="008A76B6">
            <w:pPr>
              <w:widowControl w:val="0"/>
              <w:autoSpaceDE w:val="0"/>
              <w:autoSpaceDN w:val="0"/>
              <w:adjustRightInd w:val="0"/>
              <w:ind w:right="-31" w:firstLine="567"/>
              <w:contextualSpacing/>
              <w:jc w:val="both"/>
              <w:rPr>
                <w:bCs/>
              </w:rPr>
            </w:pPr>
            <w:r w:rsidRPr="00C35ADA">
              <w:rPr>
                <w:bCs/>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 на нее.</w:t>
            </w:r>
          </w:p>
          <w:p w:rsidR="00F807DB" w:rsidRPr="00505D00" w:rsidRDefault="00F807DB" w:rsidP="00922599">
            <w:pPr>
              <w:tabs>
                <w:tab w:val="num" w:pos="709"/>
              </w:tabs>
              <w:ind w:firstLine="709"/>
              <w:jc w:val="both"/>
              <w:rPr>
                <w:b/>
                <w:bCs/>
              </w:rPr>
            </w:pPr>
            <w:r w:rsidRPr="00505D00">
              <w:rPr>
                <w:b/>
                <w:bCs/>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807DB" w:rsidRPr="00505D00" w:rsidRDefault="00F807DB" w:rsidP="00922599">
            <w:pPr>
              <w:tabs>
                <w:tab w:val="num" w:pos="709"/>
              </w:tabs>
              <w:ind w:firstLine="709"/>
              <w:jc w:val="both"/>
              <w:rPr>
                <w:b/>
                <w:bCs/>
              </w:rPr>
            </w:pPr>
            <w:r w:rsidRPr="00505D00">
              <w:rPr>
                <w:b/>
                <w:bCs/>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w:t>
            </w:r>
            <w:r w:rsidRPr="00505D00">
              <w:rPr>
                <w:b/>
                <w:bCs/>
              </w:rPr>
              <w:lastRenderedPageBreak/>
              <w:t xml:space="preserve">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807DB" w:rsidRPr="00505D00" w:rsidRDefault="00F807DB" w:rsidP="00922599">
            <w:pPr>
              <w:tabs>
                <w:tab w:val="num" w:pos="709"/>
              </w:tabs>
              <w:ind w:firstLine="709"/>
              <w:jc w:val="both"/>
            </w:pPr>
            <w:r w:rsidRPr="00505D00">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w:t>
            </w:r>
            <w:r w:rsidR="0010775F" w:rsidRPr="00505D00">
              <w:t>ься не иначе как предположения.</w:t>
            </w:r>
          </w:p>
          <w:p w:rsidR="00817434" w:rsidRPr="00C35ADA" w:rsidRDefault="00817434" w:rsidP="00817434">
            <w:pPr>
              <w:widowControl w:val="0"/>
              <w:autoSpaceDE w:val="0"/>
              <w:autoSpaceDN w:val="0"/>
              <w:adjustRightInd w:val="0"/>
              <w:ind w:right="-31" w:firstLine="567"/>
              <w:contextualSpacing/>
              <w:jc w:val="both"/>
              <w:rPr>
                <w:bCs/>
              </w:rPr>
            </w:pPr>
            <w:r w:rsidRPr="00C35ADA">
              <w:rPr>
                <w:bCs/>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rsidR="00817434" w:rsidRPr="00C35ADA" w:rsidRDefault="00817434" w:rsidP="00817434">
            <w:pPr>
              <w:widowControl w:val="0"/>
              <w:autoSpaceDE w:val="0"/>
              <w:autoSpaceDN w:val="0"/>
              <w:adjustRightInd w:val="0"/>
              <w:ind w:right="-31" w:firstLine="567"/>
              <w:contextualSpacing/>
              <w:jc w:val="both"/>
              <w:rPr>
                <w:bCs/>
              </w:rPr>
            </w:pPr>
            <w:r w:rsidRPr="00C35ADA">
              <w:rPr>
                <w:bCs/>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17434" w:rsidRPr="00C35ADA" w:rsidRDefault="00817434" w:rsidP="00817434">
            <w:pPr>
              <w:widowControl w:val="0"/>
              <w:autoSpaceDE w:val="0"/>
              <w:autoSpaceDN w:val="0"/>
              <w:adjustRightInd w:val="0"/>
              <w:ind w:right="-31" w:firstLine="567"/>
              <w:contextualSpacing/>
              <w:jc w:val="both"/>
              <w:rPr>
                <w:bCs/>
              </w:rPr>
            </w:pPr>
            <w:r w:rsidRPr="00C35ADA">
              <w:rPr>
                <w:bC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817434" w:rsidRPr="00C35ADA" w:rsidRDefault="00817434" w:rsidP="00817434">
            <w:pPr>
              <w:widowControl w:val="0"/>
              <w:autoSpaceDE w:val="0"/>
              <w:autoSpaceDN w:val="0"/>
              <w:adjustRightInd w:val="0"/>
              <w:ind w:right="-31" w:firstLine="567"/>
              <w:contextualSpacing/>
              <w:jc w:val="both"/>
              <w:rPr>
                <w:bCs/>
              </w:rPr>
            </w:pPr>
            <w:r w:rsidRPr="00C35ADA">
              <w:rPr>
                <w:bCs/>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 xml:space="preserve">Политические и экономические </w:t>
            </w:r>
            <w:r w:rsidRPr="00C35ADA">
              <w:rPr>
                <w:bCs/>
              </w:rPr>
              <w:lastRenderedPageBreak/>
              <w:t xml:space="preserve">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 xml:space="preserve">Рыночный риск, связанный с колебаниями </w:t>
            </w:r>
            <w:r>
              <w:rPr>
                <w:bCs/>
              </w:rPr>
              <w:t>курсов валют, процентных ставок,</w:t>
            </w:r>
            <w:r w:rsidRPr="00505D00">
              <w:rPr>
                <w:b/>
                <w:bCs/>
              </w:rPr>
              <w:t xml:space="preserve"> цен финансовых инструментов</w:t>
            </w:r>
            <w:r>
              <w:rPr>
                <w:b/>
                <w:bCs/>
              </w:rPr>
              <w:t>.</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Риск рыночной ликвидности, связанный с потенциальной невозможностью реализовать активы по благоприятным ценам.</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817434" w:rsidRPr="00C35ADA" w:rsidRDefault="00817434" w:rsidP="00817434">
            <w:pPr>
              <w:numPr>
                <w:ilvl w:val="0"/>
                <w:numId w:val="38"/>
              </w:numPr>
              <w:tabs>
                <w:tab w:val="clear" w:pos="720"/>
                <w:tab w:val="num" w:pos="1134"/>
              </w:tabs>
              <w:autoSpaceDE w:val="0"/>
              <w:autoSpaceDN w:val="0"/>
              <w:ind w:left="0" w:firstLine="567"/>
              <w:contextualSpacing/>
              <w:jc w:val="both"/>
              <w:rPr>
                <w:bCs/>
              </w:rPr>
            </w:pPr>
            <w:r w:rsidRPr="00C35ADA">
              <w:rPr>
                <w:bCs/>
              </w:rPr>
              <w:t>Риск противоправных действий третьих лиц в отношении имущества, составляющего фонд.</w:t>
            </w:r>
          </w:p>
          <w:p w:rsidR="00817434" w:rsidRPr="00C35ADA" w:rsidRDefault="00817434" w:rsidP="00817434">
            <w:pPr>
              <w:numPr>
                <w:ilvl w:val="0"/>
                <w:numId w:val="38"/>
              </w:numPr>
              <w:tabs>
                <w:tab w:val="clear" w:pos="720"/>
                <w:tab w:val="left" w:pos="900"/>
                <w:tab w:val="num" w:pos="1134"/>
              </w:tabs>
              <w:autoSpaceDE w:val="0"/>
              <w:autoSpaceDN w:val="0"/>
              <w:ind w:left="0" w:firstLine="567"/>
              <w:contextualSpacing/>
              <w:jc w:val="both"/>
              <w:rPr>
                <w:bCs/>
              </w:rPr>
            </w:pPr>
            <w:r w:rsidRPr="00C35ADA">
              <w:rPr>
                <w:bCs/>
              </w:rPr>
              <w:t>Ценовой риск, проявляющийся в изменении цен на ценные бумаги</w:t>
            </w:r>
            <w:r w:rsidRPr="00505D00">
              <w:rPr>
                <w:b/>
                <w:bCs/>
              </w:rPr>
              <w:t xml:space="preserve"> и финансовые инструменты</w:t>
            </w:r>
            <w:r w:rsidRPr="00C35ADA">
              <w:rPr>
                <w:bCs/>
              </w:rPr>
              <w:t xml:space="preserve">, которые </w:t>
            </w:r>
            <w:r w:rsidRPr="00C35ADA">
              <w:rPr>
                <w:bCs/>
              </w:rPr>
              <w:lastRenderedPageBreak/>
              <w:t>могут привести к падению стоимости активов фонда</w:t>
            </w:r>
            <w:r>
              <w:rPr>
                <w:bCs/>
              </w:rPr>
              <w:t>.</w:t>
            </w:r>
          </w:p>
          <w:p w:rsidR="00817434" w:rsidRPr="00C35ADA" w:rsidRDefault="00817434" w:rsidP="00817434">
            <w:pPr>
              <w:ind w:firstLine="567"/>
              <w:contextualSpacing/>
              <w:jc w:val="both"/>
              <w:rPr>
                <w:bCs/>
              </w:rPr>
            </w:pPr>
            <w:r w:rsidRPr="00C35ADA">
              <w:rPr>
                <w:bCs/>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или лица, желающего приобрести инвестиционные паи.</w:t>
            </w:r>
          </w:p>
          <w:p w:rsidR="00817434" w:rsidRPr="00460D3D" w:rsidRDefault="00817434" w:rsidP="00817434">
            <w:pPr>
              <w:ind w:firstLine="567"/>
              <w:contextualSpacing/>
              <w:jc w:val="both"/>
              <w:rPr>
                <w:bCs/>
              </w:rPr>
            </w:pPr>
            <w:r w:rsidRPr="00C35ADA">
              <w:rPr>
                <w:bCs/>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F807DB" w:rsidRPr="00505D00" w:rsidRDefault="00F807DB" w:rsidP="0010775F">
            <w:pPr>
              <w:spacing w:before="45" w:after="45"/>
              <w:ind w:firstLine="720"/>
              <w:jc w:val="both"/>
              <w:rPr>
                <w:color w:val="000000"/>
              </w:rPr>
            </w:pPr>
          </w:p>
        </w:tc>
      </w:tr>
      <w:tr w:rsidR="00F807DB" w:rsidRPr="000A1894" w:rsidTr="00AF5759">
        <w:trPr>
          <w:trHeight w:val="278"/>
        </w:trPr>
        <w:tc>
          <w:tcPr>
            <w:tcW w:w="4733" w:type="dxa"/>
          </w:tcPr>
          <w:p w:rsidR="00FA2819" w:rsidRDefault="00250427">
            <w:pPr>
              <w:pStyle w:val="af8"/>
              <w:tabs>
                <w:tab w:val="left" w:pos="1134"/>
              </w:tabs>
              <w:autoSpaceDE w:val="0"/>
              <w:autoSpaceDN w:val="0"/>
              <w:adjustRightInd w:val="0"/>
              <w:ind w:left="480"/>
              <w:jc w:val="both"/>
              <w:rPr>
                <w:rFonts w:ascii="Arial" w:hAnsi="Arial" w:cs="Arial"/>
                <w:sz w:val="16"/>
                <w:szCs w:val="16"/>
                <w:lang w:val="en-US"/>
              </w:rPr>
            </w:pPr>
            <w:r>
              <w:rPr>
                <w:lang w:val="en-US"/>
              </w:rPr>
              <w:lastRenderedPageBreak/>
              <w:t>27.</w:t>
            </w:r>
            <w:r w:rsidR="002F41A9" w:rsidRPr="009C65F1">
              <w:t>Управляющая компания:</w:t>
            </w:r>
          </w:p>
          <w:p w:rsidR="002F41A9" w:rsidRPr="009C65F1" w:rsidRDefault="002F41A9" w:rsidP="002F41A9">
            <w:pPr>
              <w:numPr>
                <w:ilvl w:val="2"/>
                <w:numId w:val="39"/>
              </w:numPr>
              <w:tabs>
                <w:tab w:val="left" w:pos="1134"/>
              </w:tabs>
              <w:autoSpaceDE w:val="0"/>
              <w:autoSpaceDN w:val="0"/>
              <w:adjustRightInd w:val="0"/>
              <w:ind w:left="0" w:firstLine="567"/>
              <w:jc w:val="both"/>
            </w:pPr>
            <w:r w:rsidRPr="009C65F1">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F41A9" w:rsidRDefault="002F41A9" w:rsidP="002F41A9">
            <w:pPr>
              <w:numPr>
                <w:ilvl w:val="2"/>
                <w:numId w:val="39"/>
              </w:numPr>
              <w:tabs>
                <w:tab w:val="left" w:pos="1134"/>
              </w:tabs>
              <w:autoSpaceDE w:val="0"/>
              <w:autoSpaceDN w:val="0"/>
              <w:adjustRightInd w:val="0"/>
              <w:ind w:left="0" w:firstLine="567"/>
              <w:jc w:val="both"/>
            </w:pPr>
            <w:r w:rsidRPr="009C65F1">
              <w:t>предъявляет иски и выступает ответчиком по искам в суде в связи с осуществлением деятельности по доверительному управлению фондом;</w:t>
            </w:r>
          </w:p>
          <w:p w:rsidR="002F41A9" w:rsidRDefault="002F41A9" w:rsidP="002F41A9">
            <w:pPr>
              <w:numPr>
                <w:ilvl w:val="2"/>
                <w:numId w:val="39"/>
              </w:numPr>
              <w:tabs>
                <w:tab w:val="left" w:pos="1134"/>
              </w:tabs>
              <w:autoSpaceDE w:val="0"/>
              <w:autoSpaceDN w:val="0"/>
              <w:adjustRightInd w:val="0"/>
              <w:ind w:left="0" w:firstLine="567"/>
              <w:jc w:val="both"/>
            </w:pPr>
            <w:r w:rsidRPr="009C65F1">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2F41A9" w:rsidRDefault="002F41A9" w:rsidP="002F41A9">
            <w:pPr>
              <w:numPr>
                <w:ilvl w:val="2"/>
                <w:numId w:val="39"/>
              </w:numPr>
              <w:tabs>
                <w:tab w:val="left" w:pos="1134"/>
              </w:tabs>
              <w:autoSpaceDE w:val="0"/>
              <w:autoSpaceDN w:val="0"/>
              <w:adjustRightInd w:val="0"/>
              <w:ind w:left="0" w:firstLine="567"/>
              <w:jc w:val="both"/>
            </w:pPr>
            <w:r w:rsidRPr="009C65F1">
              <w:t xml:space="preserve">вправе принять решение о </w:t>
            </w:r>
            <w:r w:rsidRPr="009C65F1">
              <w:lastRenderedPageBreak/>
              <w:t>прекращении фонда;</w:t>
            </w:r>
          </w:p>
          <w:p w:rsidR="002F41A9" w:rsidRPr="009C65F1" w:rsidRDefault="002F41A9" w:rsidP="002F41A9">
            <w:pPr>
              <w:numPr>
                <w:ilvl w:val="2"/>
                <w:numId w:val="39"/>
              </w:numPr>
              <w:tabs>
                <w:tab w:val="left" w:pos="1134"/>
              </w:tabs>
              <w:autoSpaceDE w:val="0"/>
              <w:autoSpaceDN w:val="0"/>
              <w:adjustRightInd w:val="0"/>
              <w:ind w:left="0" w:firstLine="567"/>
              <w:jc w:val="both"/>
            </w:pPr>
            <w:r w:rsidRPr="009C65F1">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807DB" w:rsidRPr="00505D00" w:rsidRDefault="00F807DB" w:rsidP="002F41A9">
            <w:pPr>
              <w:tabs>
                <w:tab w:val="left" w:pos="1134"/>
              </w:tabs>
              <w:autoSpaceDE w:val="0"/>
              <w:autoSpaceDN w:val="0"/>
              <w:adjustRightInd w:val="0"/>
              <w:ind w:left="567"/>
              <w:jc w:val="both"/>
              <w:rPr>
                <w:color w:val="000000"/>
              </w:rPr>
            </w:pPr>
          </w:p>
        </w:tc>
        <w:tc>
          <w:tcPr>
            <w:tcW w:w="4643" w:type="dxa"/>
          </w:tcPr>
          <w:p w:rsidR="00F807DB" w:rsidRPr="00505D00" w:rsidRDefault="00F807DB" w:rsidP="00F807DB">
            <w:pPr>
              <w:numPr>
                <w:ilvl w:val="0"/>
                <w:numId w:val="25"/>
              </w:numPr>
              <w:jc w:val="both"/>
            </w:pPr>
            <w:r w:rsidRPr="00505D00">
              <w:lastRenderedPageBreak/>
              <w:t>Управляющая компания:</w:t>
            </w:r>
          </w:p>
          <w:p w:rsidR="00F807DB" w:rsidRPr="00505D00" w:rsidRDefault="00F807DB" w:rsidP="00922599">
            <w:pPr>
              <w:tabs>
                <w:tab w:val="num" w:pos="709"/>
              </w:tabs>
              <w:jc w:val="both"/>
            </w:pPr>
            <w:bookmarkStart w:id="4" w:name="p_32"/>
            <w:bookmarkEnd w:id="4"/>
            <w:r w:rsidRPr="00505D00">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807DB" w:rsidRPr="00505D00" w:rsidRDefault="00F807DB" w:rsidP="00922599">
            <w:pPr>
              <w:tabs>
                <w:tab w:val="num" w:pos="709"/>
              </w:tabs>
              <w:jc w:val="both"/>
            </w:pPr>
            <w:r w:rsidRPr="00505D00">
              <w:t>2) предъявляет иски и выступает ответчиком по искам в суде в связи с осуществлением деятельности по доверительному управлению фондом;</w:t>
            </w:r>
          </w:p>
          <w:p w:rsidR="00F807DB" w:rsidRPr="00505D00" w:rsidRDefault="00F807DB" w:rsidP="00922599">
            <w:pPr>
              <w:tabs>
                <w:tab w:val="num" w:pos="709"/>
              </w:tabs>
              <w:jc w:val="both"/>
            </w:pPr>
            <w:r w:rsidRPr="00505D00">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505D00" w:rsidRDefault="00F807DB" w:rsidP="00922599">
            <w:pPr>
              <w:tabs>
                <w:tab w:val="num" w:pos="709"/>
              </w:tabs>
              <w:jc w:val="both"/>
            </w:pPr>
            <w:r w:rsidRPr="00505D00">
              <w:t xml:space="preserve"> 4) вправе принять решение о </w:t>
            </w:r>
            <w:r w:rsidRPr="00505D00">
              <w:lastRenderedPageBreak/>
              <w:t>прекращении фонда;</w:t>
            </w:r>
          </w:p>
          <w:p w:rsidR="00F807DB" w:rsidRPr="00505D00" w:rsidRDefault="00F807DB" w:rsidP="00922599">
            <w:pPr>
              <w:tabs>
                <w:tab w:val="num" w:pos="709"/>
              </w:tabs>
              <w:jc w:val="both"/>
            </w:pPr>
            <w:r w:rsidRPr="00505D00">
              <w:t xml:space="preserve">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p>
          <w:p w:rsidR="00F807DB" w:rsidRPr="00505D00" w:rsidRDefault="00F807DB" w:rsidP="00AB3033">
            <w:pPr>
              <w:tabs>
                <w:tab w:val="num" w:pos="709"/>
              </w:tabs>
              <w:jc w:val="both"/>
              <w:rPr>
                <w:b/>
                <w:bCs/>
              </w:rPr>
            </w:pPr>
            <w:r w:rsidRPr="00505D00">
              <w:rPr>
                <w:b/>
                <w:bCs/>
              </w:rPr>
              <w:t>6)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F807DB" w:rsidRPr="00505D00" w:rsidRDefault="00F807DB" w:rsidP="00922599">
            <w:pPr>
              <w:tabs>
                <w:tab w:val="num" w:pos="709"/>
              </w:tabs>
              <w:ind w:firstLine="709"/>
              <w:jc w:val="both"/>
              <w:rPr>
                <w:b/>
                <w:bCs/>
              </w:rPr>
            </w:pPr>
            <w:r w:rsidRPr="00505D00">
              <w:rPr>
                <w:b/>
                <w:bCs/>
              </w:rPr>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 или валюту;</w:t>
            </w:r>
          </w:p>
          <w:p w:rsidR="00F807DB" w:rsidRPr="00505D00" w:rsidRDefault="00F807DB" w:rsidP="00AB3033">
            <w:pPr>
              <w:tabs>
                <w:tab w:val="num" w:pos="709"/>
              </w:tabs>
              <w:ind w:firstLine="709"/>
              <w:jc w:val="both"/>
              <w:rPr>
                <w:b/>
                <w:bCs/>
              </w:rPr>
            </w:pPr>
            <w:r w:rsidRPr="00505D00">
              <w:rPr>
                <w:b/>
                <w:bCs/>
              </w:rPr>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tc>
      </w:tr>
      <w:tr w:rsidR="004948C3" w:rsidRPr="000A1894" w:rsidTr="00AF5759">
        <w:trPr>
          <w:trHeight w:val="219"/>
        </w:trPr>
        <w:tc>
          <w:tcPr>
            <w:tcW w:w="4733" w:type="dxa"/>
          </w:tcPr>
          <w:p w:rsidR="004948C3" w:rsidRPr="00505D00" w:rsidRDefault="004948C3" w:rsidP="004948C3">
            <w:pPr>
              <w:ind w:firstLine="720"/>
              <w:jc w:val="both"/>
              <w:rPr>
                <w:color w:val="000000"/>
              </w:rPr>
            </w:pPr>
            <w:r w:rsidRPr="00505D00">
              <w:rPr>
                <w:color w:val="000000"/>
              </w:rPr>
              <w:lastRenderedPageBreak/>
              <w:t>29. Управляющая компания не вправе:</w:t>
            </w:r>
          </w:p>
          <w:p w:rsidR="004948C3" w:rsidRPr="00505D00" w:rsidRDefault="00934F33" w:rsidP="005F6728">
            <w:pPr>
              <w:spacing w:before="45" w:after="45"/>
              <w:ind w:firstLine="514"/>
              <w:jc w:val="both"/>
              <w:rPr>
                <w:color w:val="000000"/>
              </w:rPr>
            </w:pPr>
            <w:r>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4948C3" w:rsidRPr="00505D00" w:rsidRDefault="00934F33" w:rsidP="005F6728">
            <w:pPr>
              <w:spacing w:before="45" w:after="45"/>
              <w:ind w:firstLine="514"/>
              <w:jc w:val="both"/>
              <w:rPr>
                <w:color w:val="000000"/>
              </w:rPr>
            </w:pPr>
            <w:r>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4948C3" w:rsidRPr="00505D00" w:rsidRDefault="00934F33" w:rsidP="005F6728">
            <w:pPr>
              <w:spacing w:before="45" w:after="45"/>
              <w:ind w:firstLine="514"/>
              <w:jc w:val="both"/>
              <w:rPr>
                <w:color w:val="000000"/>
              </w:rPr>
            </w:pPr>
            <w:r>
              <w:rPr>
                <w:color w:val="000000"/>
              </w:rPr>
              <w:t xml:space="preserve">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w:t>
            </w:r>
            <w:r>
              <w:rPr>
                <w:color w:val="000000"/>
              </w:rPr>
              <w:lastRenderedPageBreak/>
              <w:t>обязательств третьих лиц;</w:t>
            </w:r>
          </w:p>
          <w:p w:rsidR="004948C3" w:rsidRPr="00505D00" w:rsidRDefault="00934F33" w:rsidP="005F6728">
            <w:pPr>
              <w:spacing w:before="45" w:after="45"/>
              <w:ind w:firstLine="514"/>
              <w:jc w:val="both"/>
              <w:rPr>
                <w:color w:val="000000"/>
              </w:rPr>
            </w:pPr>
            <w:r>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948C3" w:rsidRPr="00505D00" w:rsidRDefault="00934F33" w:rsidP="005F6728">
            <w:pPr>
              <w:spacing w:before="45" w:after="45"/>
              <w:ind w:firstLine="514"/>
              <w:jc w:val="both"/>
              <w:rPr>
                <w:color w:val="000000"/>
              </w:rPr>
            </w:pPr>
            <w:r>
              <w:rPr>
                <w:color w:val="000000"/>
              </w:rPr>
              <w:t>5) совершать следующие сделки или давать поручения на совершение следующих сделок:</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безвозмездному отчуждению имущества, составляющего фонд;</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w:t>
            </w:r>
            <w:r>
              <w:rPr>
                <w:color w:val="000000"/>
              </w:rPr>
              <w:lastRenderedPageBreak/>
              <w:t xml:space="preserve">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репо, подлежащие исполнению за счет имущества фонда;</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 xml:space="preserve">сделки по приобретению в состав фонда имущества, принадлежащего управляющей компании, ее участникам, основным и преобладающим </w:t>
            </w:r>
            <w:r>
              <w:rPr>
                <w:color w:val="000000"/>
              </w:rPr>
              <w:lastRenderedPageBreak/>
              <w:t>хозяйственным обществам ее участников, ее дочерним и зависимым обществам, либо по отчуждению имущества, составляющего фонд, указанным лицам;</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 </w:t>
            </w:r>
          </w:p>
          <w:p w:rsidR="004948C3" w:rsidRPr="00505D00" w:rsidRDefault="00934F33" w:rsidP="005F6728">
            <w:pPr>
              <w:numPr>
                <w:ilvl w:val="0"/>
                <w:numId w:val="1"/>
              </w:numPr>
              <w:tabs>
                <w:tab w:val="clear" w:pos="1287"/>
                <w:tab w:val="num" w:pos="-53"/>
              </w:tabs>
              <w:spacing w:before="45" w:after="45" w:line="360" w:lineRule="atLeast"/>
              <w:ind w:left="0" w:firstLine="514"/>
              <w:jc w:val="both"/>
              <w:rPr>
                <w:color w:val="000000"/>
              </w:rPr>
            </w:pPr>
            <w:r>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4643" w:type="dxa"/>
          </w:tcPr>
          <w:p w:rsidR="004948C3" w:rsidRPr="00505D00" w:rsidRDefault="00934F33" w:rsidP="004948C3">
            <w:pPr>
              <w:spacing w:before="45" w:after="45"/>
              <w:ind w:firstLine="720"/>
              <w:jc w:val="both"/>
              <w:rPr>
                <w:color w:val="000000"/>
              </w:rPr>
            </w:pPr>
            <w:r>
              <w:rPr>
                <w:color w:val="000000"/>
              </w:rPr>
              <w:lastRenderedPageBreak/>
              <w:t>29. Управляющая компания не вправе:</w:t>
            </w:r>
          </w:p>
          <w:p w:rsidR="004948C3" w:rsidRPr="00505D00" w:rsidRDefault="00934F33" w:rsidP="005F6728">
            <w:pPr>
              <w:spacing w:before="45" w:after="45"/>
              <w:ind w:left="175" w:firstLine="425"/>
              <w:jc w:val="both"/>
              <w:rPr>
                <w:color w:val="000000"/>
              </w:rPr>
            </w:pPr>
            <w:r>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4948C3" w:rsidRPr="00505D00" w:rsidRDefault="00934F33" w:rsidP="005F6728">
            <w:pPr>
              <w:spacing w:before="45" w:after="45"/>
              <w:ind w:left="175" w:firstLine="425"/>
              <w:jc w:val="both"/>
              <w:rPr>
                <w:color w:val="000000"/>
              </w:rPr>
            </w:pPr>
            <w:r>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4948C3" w:rsidRPr="00505D00" w:rsidRDefault="00934F33" w:rsidP="005F6728">
            <w:pPr>
              <w:spacing w:before="45" w:after="45"/>
              <w:ind w:left="175" w:firstLine="425"/>
              <w:jc w:val="both"/>
              <w:rPr>
                <w:color w:val="000000"/>
              </w:rPr>
            </w:pPr>
            <w:r>
              <w:rPr>
                <w:color w:val="000000"/>
              </w:rPr>
              <w:t xml:space="preserve">3) использовать имущество, составляющее фонд, для обеспечения исполнения собственных обязательств, </w:t>
            </w:r>
            <w:r>
              <w:rPr>
                <w:color w:val="000000"/>
              </w:rPr>
              <w:lastRenderedPageBreak/>
              <w:t>не связанных с доверительным управлением фондом, или для обеспечения исполнения обязательств третьих лиц;</w:t>
            </w:r>
          </w:p>
          <w:p w:rsidR="004948C3" w:rsidRPr="00505D00" w:rsidRDefault="00934F33" w:rsidP="005F6728">
            <w:pPr>
              <w:spacing w:before="45" w:after="45"/>
              <w:ind w:left="175" w:firstLine="425"/>
              <w:jc w:val="both"/>
              <w:rPr>
                <w:color w:val="000000"/>
              </w:rPr>
            </w:pPr>
            <w:r>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948C3" w:rsidRPr="00505D00" w:rsidRDefault="00934F33" w:rsidP="005F6728">
            <w:pPr>
              <w:spacing w:before="45" w:after="45"/>
              <w:ind w:left="175" w:firstLine="425"/>
              <w:jc w:val="both"/>
              <w:rPr>
                <w:color w:val="000000"/>
              </w:rPr>
            </w:pPr>
            <w:r>
              <w:rPr>
                <w:color w:val="000000"/>
              </w:rPr>
              <w:t>5) совершать следующие сделки или давать поручения на совершение следующих сделок:</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сделки по безвозмездному отчуждению имущества, составляющего фонд;</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договоры займа или кредитные договоры, возврат денежных средств по которым осуществляется за счет </w:t>
            </w:r>
            <w:r>
              <w:rPr>
                <w:color w:val="000000"/>
              </w:rPr>
              <w:lastRenderedPageBreak/>
              <w:t xml:space="preserve">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4948C3" w:rsidRPr="00505D00" w:rsidRDefault="00934F33" w:rsidP="005F6728">
            <w:pPr>
              <w:numPr>
                <w:ilvl w:val="0"/>
                <w:numId w:val="1"/>
              </w:numPr>
              <w:tabs>
                <w:tab w:val="clear" w:pos="1287"/>
                <w:tab w:val="num" w:pos="175"/>
              </w:tabs>
              <w:spacing w:before="45" w:after="45" w:line="360" w:lineRule="atLeast"/>
              <w:ind w:left="175" w:firstLine="284"/>
              <w:jc w:val="both"/>
              <w:rPr>
                <w:color w:val="000000"/>
              </w:rPr>
            </w:pPr>
            <w:r>
              <w:rPr>
                <w:color w:val="000000"/>
              </w:rPr>
              <w:t>сделки репо, подлежащие исполнению за счет имущества фонда.</w:t>
            </w:r>
          </w:p>
          <w:p w:rsidR="00AD36B4" w:rsidRPr="00505D00" w:rsidRDefault="00934F33" w:rsidP="00AD36B4">
            <w:pPr>
              <w:pStyle w:val="ab"/>
              <w:tabs>
                <w:tab w:val="left" w:pos="2931"/>
              </w:tabs>
              <w:spacing w:before="45" w:line="274" w:lineRule="exact"/>
              <w:ind w:left="40" w:right="40" w:firstLine="540"/>
              <w:rPr>
                <w:rStyle w:val="TimesNewRoman"/>
              </w:rPr>
            </w:pPr>
            <w:r>
              <w:rPr>
                <w:rStyle w:val="TimesNewRoman"/>
              </w:rPr>
              <w:t>Если иное не предусмотрено нормативными 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w:t>
            </w:r>
          </w:p>
          <w:p w:rsidR="00AD36B4" w:rsidRPr="00505D00" w:rsidRDefault="00934F33" w:rsidP="00AD36B4">
            <w:pPr>
              <w:pStyle w:val="50"/>
              <w:shd w:val="clear" w:color="auto" w:fill="auto"/>
              <w:tabs>
                <w:tab w:val="left" w:pos="1034"/>
              </w:tabs>
              <w:spacing w:before="45" w:after="45" w:line="274" w:lineRule="exact"/>
              <w:ind w:left="40" w:right="40" w:firstLine="540"/>
            </w:pPr>
            <w:r>
              <w:t>а)</w:t>
            </w:r>
            <w:r>
              <w:tab/>
              <w:t>сделка репо заключается на торгах организатора торговли на рынке ценных бумаг;</w:t>
            </w:r>
          </w:p>
          <w:p w:rsidR="00AD36B4" w:rsidRPr="00505D00" w:rsidRDefault="00934F33" w:rsidP="00AD36B4">
            <w:pPr>
              <w:pStyle w:val="50"/>
              <w:shd w:val="clear" w:color="auto" w:fill="auto"/>
              <w:tabs>
                <w:tab w:val="left" w:pos="1113"/>
                <w:tab w:val="left" w:pos="3150"/>
              </w:tabs>
              <w:spacing w:before="45" w:after="45" w:line="274" w:lineRule="exact"/>
              <w:ind w:left="40" w:right="40" w:firstLine="540"/>
            </w:pPr>
            <w:r>
              <w:t>б)</w:t>
            </w:r>
            <w:r>
              <w:tab/>
              <w:t>сумма первой части репо, предусматривающей</w:t>
            </w:r>
            <w:r>
              <w:tab/>
              <w:t xml:space="preserve">приобретение ценных бумаг в состав имущества </w:t>
            </w:r>
            <w:r w:rsidR="00A7364F">
              <w:t>ф</w:t>
            </w:r>
            <w:r>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w:t>
            </w:r>
            <w:r>
              <w:lastRenderedPageBreak/>
              <w:t>продаже (покупке) ценных бумаг, а второй частью репо обязательство, возникшее из сделки по последующей покупке (продаже) ценных бумаг;</w:t>
            </w:r>
          </w:p>
          <w:p w:rsidR="00AD36B4" w:rsidRPr="00505D00" w:rsidRDefault="00934F33" w:rsidP="00AD36B4">
            <w:pPr>
              <w:pStyle w:val="50"/>
              <w:shd w:val="clear" w:color="auto" w:fill="auto"/>
              <w:tabs>
                <w:tab w:val="left" w:pos="1091"/>
              </w:tabs>
              <w:spacing w:before="45" w:after="45" w:line="274" w:lineRule="exact"/>
              <w:ind w:left="40" w:right="40" w:firstLine="540"/>
            </w:pPr>
            <w:r>
              <w:t>в)</w:t>
            </w:r>
            <w:r>
              <w:tab/>
              <w:t xml:space="preserve">сумма первой части репо, предусматривающей продажу ценных бумаг из имущества </w:t>
            </w:r>
            <w:r w:rsidR="004019B1">
              <w:t>ф</w:t>
            </w:r>
            <w:r>
              <w:t>онда, превышает сумму второй части репо;</w:t>
            </w:r>
          </w:p>
          <w:p w:rsidR="00AD36B4" w:rsidRPr="00505D00" w:rsidRDefault="00934F33" w:rsidP="00AD36B4">
            <w:pPr>
              <w:pStyle w:val="ab"/>
              <w:spacing w:line="240" w:lineRule="exact"/>
              <w:ind w:left="40"/>
              <w:rPr>
                <w:sz w:val="24"/>
                <w:szCs w:val="24"/>
              </w:rPr>
            </w:pPr>
            <w:r>
              <w:rPr>
                <w:rFonts w:ascii="Times New Roman" w:hAnsi="Times New Roman" w:cs="Times New Roman"/>
                <w:b/>
                <w:bCs/>
                <w:sz w:val="24"/>
                <w:szCs w:val="24"/>
              </w:rPr>
              <w:t>г)</w:t>
            </w:r>
            <w:r w:rsidR="00AD36B4" w:rsidRPr="00505D00">
              <w:rPr>
                <w:sz w:val="24"/>
                <w:szCs w:val="24"/>
              </w:rPr>
              <w:tab/>
            </w:r>
            <w:r w:rsidR="00AD36B4" w:rsidRPr="00505D00">
              <w:rPr>
                <w:rFonts w:ascii="Times New Roman" w:hAnsi="Times New Roman" w:cs="Times New Roman"/>
                <w:b/>
                <w:bCs/>
                <w:sz w:val="24"/>
                <w:szCs w:val="24"/>
              </w:rPr>
              <w:t>общее количество ценных бумаг (общая су</w:t>
            </w:r>
            <w:r>
              <w:rPr>
                <w:rFonts w:ascii="Times New Roman" w:hAnsi="Times New Roman" w:cs="Times New Roman"/>
                <w:b/>
                <w:bCs/>
                <w:sz w:val="24"/>
                <w:szCs w:val="24"/>
              </w:rPr>
              <w:t xml:space="preserve">мма денежных средств), составляющих имущество </w:t>
            </w:r>
            <w:r w:rsidR="004019B1">
              <w:rPr>
                <w:rFonts w:ascii="Times New Roman" w:hAnsi="Times New Roman" w:cs="Times New Roman"/>
                <w:b/>
                <w:bCs/>
                <w:sz w:val="24"/>
                <w:szCs w:val="24"/>
              </w:rPr>
              <w:t>ф</w:t>
            </w:r>
            <w:r>
              <w:rPr>
                <w:rFonts w:ascii="Times New Roman" w:hAnsi="Times New Roman" w:cs="Times New Roman"/>
                <w:b/>
                <w:bCs/>
                <w:sz w:val="24"/>
                <w:szCs w:val="24"/>
              </w:rPr>
              <w:t xml:space="preserve">онда, с учетом ценных бумаг (денежных средств), приобретенных (полученных) в состав имущества </w:t>
            </w:r>
            <w:r w:rsidR="004019B1">
              <w:rPr>
                <w:rFonts w:ascii="Times New Roman" w:hAnsi="Times New Roman" w:cs="Times New Roman"/>
                <w:b/>
                <w:bCs/>
                <w:sz w:val="24"/>
                <w:szCs w:val="24"/>
              </w:rPr>
              <w:t>ф</w:t>
            </w:r>
            <w:r>
              <w:rPr>
                <w:rFonts w:ascii="Times New Roman" w:hAnsi="Times New Roman" w:cs="Times New Roman"/>
                <w:b/>
                <w:bCs/>
                <w:sz w:val="24"/>
                <w:szCs w:val="24"/>
              </w:rPr>
              <w:t>онда по первой части репо, до прекращения второй части репо не может составлять менее количества ценных бумаг (суммы денежных средств), приобретенных</w:t>
            </w:r>
            <w:r w:rsidR="00AD36B4" w:rsidRPr="00505D00">
              <w:rPr>
                <w:rFonts w:ascii="Times New Roman" w:hAnsi="Times New Roman" w:cs="Times New Roman"/>
                <w:sz w:val="24"/>
                <w:szCs w:val="24"/>
              </w:rPr>
              <w:t xml:space="preserve"> </w:t>
            </w:r>
            <w:r w:rsidR="00AD36B4" w:rsidRPr="00505D00">
              <w:rPr>
                <w:rFonts w:ascii="Times New Roman" w:hAnsi="Times New Roman" w:cs="Times New Roman"/>
                <w:b/>
                <w:bCs/>
                <w:sz w:val="24"/>
                <w:szCs w:val="24"/>
              </w:rPr>
              <w:t>(полученных) по первой части репо</w:t>
            </w:r>
            <w:r w:rsidR="00AD36B4" w:rsidRPr="00505D00">
              <w:rPr>
                <w:rStyle w:val="5"/>
              </w:rPr>
              <w:t>;</w:t>
            </w:r>
          </w:p>
          <w:p w:rsidR="00AD36B4" w:rsidRPr="00505D00" w:rsidRDefault="00AD36B4" w:rsidP="00AD36B4">
            <w:pPr>
              <w:pStyle w:val="50"/>
              <w:shd w:val="clear" w:color="auto" w:fill="auto"/>
              <w:tabs>
                <w:tab w:val="left" w:pos="949"/>
              </w:tabs>
              <w:spacing w:line="274" w:lineRule="exact"/>
              <w:ind w:left="20" w:right="20" w:firstLine="560"/>
            </w:pPr>
            <w:r w:rsidRPr="00505D00">
              <w:t>д)</w:t>
            </w:r>
            <w:r w:rsidRPr="00505D00">
              <w:tab/>
              <w:t>срок исполнения второй части репо не превышает 30 дней с даты заключения сделки репо;</w:t>
            </w:r>
          </w:p>
          <w:p w:rsidR="00AD36B4" w:rsidRPr="00505D00" w:rsidRDefault="00934F33" w:rsidP="00AD36B4">
            <w:pPr>
              <w:pStyle w:val="50"/>
              <w:shd w:val="clear" w:color="auto" w:fill="auto"/>
              <w:tabs>
                <w:tab w:val="left" w:pos="942"/>
              </w:tabs>
              <w:spacing w:before="45" w:after="45" w:line="274" w:lineRule="exact"/>
              <w:ind w:left="20" w:right="20" w:firstLine="560"/>
            </w:pPr>
            <w:r>
              <w:t>е)</w:t>
            </w:r>
            <w: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AD36B4" w:rsidRPr="00505D00" w:rsidRDefault="00934F33" w:rsidP="00AD36B4">
            <w:pPr>
              <w:pStyle w:val="50"/>
              <w:shd w:val="clear" w:color="auto" w:fill="auto"/>
              <w:tabs>
                <w:tab w:val="left" w:pos="996"/>
              </w:tabs>
              <w:spacing w:before="45" w:after="45" w:line="274" w:lineRule="exact"/>
              <w:ind w:left="20" w:right="20" w:firstLine="560"/>
            </w:pPr>
            <w:r>
              <w:t>ж)</w:t>
            </w:r>
            <w: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AD36B4" w:rsidRPr="00505D00" w:rsidRDefault="00934F33" w:rsidP="00AD36B4">
            <w:pPr>
              <w:pStyle w:val="50"/>
              <w:shd w:val="clear" w:color="auto" w:fill="auto"/>
              <w:tabs>
                <w:tab w:val="left" w:pos="934"/>
              </w:tabs>
              <w:spacing w:before="45" w:after="77" w:line="274" w:lineRule="exact"/>
              <w:ind w:left="20" w:right="20" w:firstLine="560"/>
            </w:pPr>
            <w:r>
              <w:t>з)</w:t>
            </w:r>
            <w: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lastRenderedPageBreak/>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 </w:t>
            </w:r>
          </w:p>
          <w:p w:rsidR="004948C3" w:rsidRPr="00505D00" w:rsidRDefault="00934F33" w:rsidP="005F6728">
            <w:pPr>
              <w:numPr>
                <w:ilvl w:val="0"/>
                <w:numId w:val="1"/>
              </w:numPr>
              <w:tabs>
                <w:tab w:val="clear" w:pos="1287"/>
                <w:tab w:val="num" w:pos="33"/>
              </w:tabs>
              <w:spacing w:before="45" w:after="45" w:line="360" w:lineRule="atLeast"/>
              <w:ind w:left="175" w:firstLine="284"/>
              <w:jc w:val="both"/>
              <w:rPr>
                <w:color w:val="000000"/>
              </w:rPr>
            </w:pPr>
            <w:r w:rsidRPr="00934F33">
              <w:rPr>
                <w:color w:val="000000"/>
              </w:rPr>
              <w:t xml:space="preserve">сделки по приобретению в состав фонда ценных бумаг, выпущенных </w:t>
            </w:r>
            <w:r w:rsidRPr="00934F33">
              <w:rPr>
                <w:color w:val="000000"/>
              </w:rPr>
              <w:lastRenderedPageBreak/>
              <w:t>(выданных)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F807DB" w:rsidRPr="000A1894" w:rsidTr="00AF5759">
        <w:trPr>
          <w:trHeight w:val="219"/>
        </w:trPr>
        <w:tc>
          <w:tcPr>
            <w:tcW w:w="4733" w:type="dxa"/>
          </w:tcPr>
          <w:p w:rsidR="00F807DB" w:rsidRPr="00505D00" w:rsidRDefault="00F807DB" w:rsidP="00922599">
            <w:pPr>
              <w:spacing w:before="45" w:after="45"/>
              <w:ind w:firstLine="540"/>
              <w:jc w:val="both"/>
              <w:outlineLvl w:val="1"/>
            </w:pPr>
            <w:r w:rsidRPr="00505D00">
              <w:lastRenderedPageBreak/>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w:t>
            </w:r>
            <w:r w:rsidR="00934F33" w:rsidRPr="00934F33">
              <w:t>ко принадлежащим ей имуществом. Долги, возникшие по таким обязательствам, не могут погашаться за счет имущества, составляющего фонд.</w:t>
            </w:r>
          </w:p>
          <w:p w:rsidR="00F807DB" w:rsidRPr="00505D00" w:rsidRDefault="00F807DB" w:rsidP="00922599">
            <w:pPr>
              <w:jc w:val="both"/>
            </w:pPr>
          </w:p>
        </w:tc>
        <w:tc>
          <w:tcPr>
            <w:tcW w:w="4643" w:type="dxa"/>
          </w:tcPr>
          <w:p w:rsidR="00F807DB" w:rsidRPr="00505D00" w:rsidRDefault="00934F33" w:rsidP="00922599">
            <w:pPr>
              <w:ind w:firstLine="540"/>
              <w:jc w:val="both"/>
              <w:outlineLvl w:val="1"/>
            </w:pPr>
            <w:r w:rsidRPr="00934F33">
              <w:t xml:space="preserve">32. По сделкам, совершенным в нарушение требований </w:t>
            </w:r>
            <w:r>
              <w:rPr>
                <w:b/>
                <w:bCs/>
              </w:rPr>
              <w:t xml:space="preserve">подпункта 6 пункта 27, </w:t>
            </w:r>
            <w:r w:rsidRPr="00934F33">
              <w:t>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505D00" w:rsidRDefault="00F807DB" w:rsidP="00922599">
            <w:pPr>
              <w:pStyle w:val="ConsPlusNormal"/>
              <w:ind w:firstLine="540"/>
              <w:jc w:val="both"/>
              <w:rPr>
                <w:rFonts w:ascii="Times New Roman" w:hAnsi="Times New Roman" w:cs="Times New Roman"/>
                <w:sz w:val="24"/>
                <w:szCs w:val="24"/>
              </w:rPr>
            </w:pPr>
          </w:p>
        </w:tc>
      </w:tr>
      <w:tr w:rsidR="00863E9D" w:rsidRPr="000A1894" w:rsidTr="00283B3E">
        <w:trPr>
          <w:trHeight w:val="8003"/>
        </w:trPr>
        <w:tc>
          <w:tcPr>
            <w:tcW w:w="4733" w:type="dxa"/>
          </w:tcPr>
          <w:p w:rsidR="00863E9D" w:rsidRPr="00505D00" w:rsidRDefault="00863E9D" w:rsidP="00863E9D">
            <w:pPr>
              <w:pStyle w:val="Style11"/>
              <w:widowControl/>
              <w:tabs>
                <w:tab w:val="left" w:pos="898"/>
              </w:tabs>
              <w:spacing w:before="5" w:line="269" w:lineRule="exact"/>
              <w:ind w:left="360" w:firstLine="0"/>
              <w:rPr>
                <w:rStyle w:val="FontStyle42"/>
                <w:sz w:val="24"/>
                <w:szCs w:val="24"/>
              </w:rPr>
            </w:pPr>
            <w:r w:rsidRPr="00505D00">
              <w:rPr>
                <w:color w:val="000000"/>
              </w:rPr>
              <w:t>40. </w:t>
            </w:r>
            <w:r w:rsidRPr="00505D00">
              <w:rPr>
                <w:rStyle w:val="FontStyle42"/>
                <w:sz w:val="24"/>
                <w:szCs w:val="24"/>
              </w:rPr>
              <w:t>Способы получения выписок из реестра владельцев инвести</w:t>
            </w:r>
            <w:r w:rsidR="00934F33" w:rsidRPr="00934F33">
              <w:rPr>
                <w:rStyle w:val="FontStyle42"/>
                <w:sz w:val="24"/>
                <w:szCs w:val="24"/>
              </w:rPr>
              <w:t>ционных паев.</w:t>
            </w:r>
          </w:p>
          <w:p w:rsidR="00863E9D" w:rsidRPr="00505D00" w:rsidRDefault="00934F33" w:rsidP="00863E9D">
            <w:pPr>
              <w:ind w:firstLine="540"/>
              <w:jc w:val="both"/>
            </w:pPr>
            <w:r w:rsidRPr="00934F33">
              <w:t xml:space="preserve">Выписка, предоставляемая в соответствии с правилами, установленными федеральным органом исполнительной власти по рынку ценных бумаг, в электронно-цифровой форме, направляется заявителю в электронно-цифровой форме с электронной </w:t>
            </w:r>
            <w:r w:rsidRPr="002F41A9">
              <w:rPr>
                <w:b/>
              </w:rPr>
              <w:t>цифровой</w:t>
            </w:r>
            <w:r w:rsidRPr="00934F33">
              <w:t xml:space="preserve"> подписью регистратора.</w:t>
            </w:r>
          </w:p>
          <w:p w:rsidR="00863E9D" w:rsidRPr="00505D00" w:rsidRDefault="00934F33" w:rsidP="00863E9D">
            <w:pPr>
              <w:ind w:firstLine="540"/>
              <w:jc w:val="both"/>
            </w:pPr>
            <w:r w:rsidRPr="00934F33">
              <w:t>Выписка, предоставляемая в соответствии с правилами, установленными федеральным органом исполнительной власти по рынку ценных бумаг,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63E9D" w:rsidRPr="00505D00" w:rsidRDefault="00934F33" w:rsidP="00283B3E">
            <w:pPr>
              <w:jc w:val="both"/>
              <w:outlineLvl w:val="1"/>
            </w:pPr>
            <w:r w:rsidRPr="00934F33">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bookmarkStart w:id="5" w:name="p_25"/>
            <w:bookmarkStart w:id="6" w:name="p_44"/>
            <w:bookmarkStart w:id="7" w:name="p_45"/>
            <w:bookmarkStart w:id="8" w:name="p_200"/>
            <w:bookmarkEnd w:id="5"/>
            <w:bookmarkEnd w:id="6"/>
            <w:bookmarkEnd w:id="7"/>
            <w:bookmarkEnd w:id="8"/>
          </w:p>
        </w:tc>
        <w:tc>
          <w:tcPr>
            <w:tcW w:w="4643" w:type="dxa"/>
          </w:tcPr>
          <w:p w:rsidR="00863E9D" w:rsidRPr="00505D00" w:rsidRDefault="00934F33" w:rsidP="00863E9D">
            <w:pPr>
              <w:pStyle w:val="Style11"/>
              <w:widowControl/>
              <w:tabs>
                <w:tab w:val="left" w:pos="898"/>
              </w:tabs>
              <w:spacing w:before="5" w:after="45" w:line="269" w:lineRule="exact"/>
              <w:ind w:left="360" w:firstLine="0"/>
              <w:rPr>
                <w:rStyle w:val="FontStyle42"/>
                <w:sz w:val="24"/>
                <w:szCs w:val="24"/>
              </w:rPr>
            </w:pPr>
            <w:r w:rsidRPr="00934F33">
              <w:rPr>
                <w:color w:val="000000"/>
              </w:rPr>
              <w:t>40. </w:t>
            </w:r>
            <w:r w:rsidRPr="00934F33">
              <w:rPr>
                <w:rStyle w:val="FontStyle42"/>
                <w:sz w:val="24"/>
                <w:szCs w:val="24"/>
              </w:rPr>
              <w:t>Способы получения выписок из реестра владельцев инвестиционных паев.</w:t>
            </w:r>
          </w:p>
          <w:p w:rsidR="00863E9D" w:rsidRPr="00505D00" w:rsidRDefault="00934F33" w:rsidP="00863E9D">
            <w:pPr>
              <w:spacing w:before="45" w:after="45"/>
              <w:ind w:firstLine="540"/>
              <w:jc w:val="both"/>
            </w:pPr>
            <w:r w:rsidRPr="00934F33">
              <w:t>Выписка, предоставляемая в соответствии с правилами, установленными федеральным органом исполнительной власти по рынку ценных бумаг, в электронно-цифровой форме, направляется заявителю в электронно-цифровой форме с электронной  подписью регистратора.</w:t>
            </w:r>
          </w:p>
          <w:p w:rsidR="00863E9D" w:rsidRPr="00505D00" w:rsidRDefault="00934F33" w:rsidP="00863E9D">
            <w:pPr>
              <w:spacing w:before="45" w:after="45"/>
              <w:ind w:firstLine="540"/>
              <w:jc w:val="both"/>
            </w:pPr>
            <w:r w:rsidRPr="00934F33">
              <w:t>Выписка, предоставляемая в соответствии с правилами, установленными федеральным органом исполнительной власти по рынку ценных бумаг,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63E9D" w:rsidRPr="00505D00" w:rsidRDefault="00934F33" w:rsidP="00283B3E">
            <w:pPr>
              <w:jc w:val="both"/>
            </w:pPr>
            <w:r w:rsidRPr="00934F33">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F807DB" w:rsidRPr="000A1894" w:rsidTr="00AF5759">
        <w:trPr>
          <w:trHeight w:val="351"/>
        </w:trPr>
        <w:tc>
          <w:tcPr>
            <w:tcW w:w="4733" w:type="dxa"/>
          </w:tcPr>
          <w:p w:rsidR="001D52A9" w:rsidRDefault="001D52A9" w:rsidP="001D52A9">
            <w:pPr>
              <w:tabs>
                <w:tab w:val="left" w:pos="1134"/>
              </w:tabs>
              <w:ind w:left="89" w:firstLine="478"/>
              <w:contextualSpacing/>
              <w:jc w:val="both"/>
            </w:pPr>
            <w:r>
              <w:t xml:space="preserve">77. </w:t>
            </w:r>
            <w:r w:rsidRPr="00C35ADA">
              <w:t>При подаче заявки на погашение инвестиционных паев управл</w:t>
            </w:r>
            <w:r>
              <w:t>яющей компании фонда или агенту</w:t>
            </w:r>
            <w:r w:rsidRPr="00C35ADA">
              <w:t xml:space="preserve"> по выдаче и погашению инвестиционных паев фонда расчетная стоимость инвестиционного пая уменьшается на скидку в размере 0,3 (три десятых) процента (с учетом НДС) от </w:t>
            </w:r>
            <w:r w:rsidRPr="00C35ADA">
              <w:lastRenderedPageBreak/>
              <w:t>расчетной стоимости инвестиционного пая.</w:t>
            </w:r>
          </w:p>
          <w:p w:rsidR="00FE1DB3" w:rsidRPr="00505D00" w:rsidRDefault="00FE1DB3" w:rsidP="00AB3033">
            <w:pPr>
              <w:autoSpaceDE w:val="0"/>
              <w:autoSpaceDN w:val="0"/>
              <w:adjustRightInd w:val="0"/>
              <w:ind w:firstLine="708"/>
              <w:jc w:val="both"/>
              <w:rPr>
                <w:color w:val="000000"/>
              </w:rPr>
            </w:pPr>
          </w:p>
        </w:tc>
        <w:tc>
          <w:tcPr>
            <w:tcW w:w="4643" w:type="dxa"/>
          </w:tcPr>
          <w:p w:rsidR="00F807DB" w:rsidRPr="001D52A9" w:rsidRDefault="00934F33" w:rsidP="00922599">
            <w:pPr>
              <w:autoSpaceDE w:val="0"/>
              <w:autoSpaceDN w:val="0"/>
              <w:adjustRightInd w:val="0"/>
              <w:ind w:hanging="24"/>
              <w:jc w:val="both"/>
              <w:rPr>
                <w:b/>
                <w:color w:val="000000"/>
              </w:rPr>
            </w:pPr>
            <w:r w:rsidRPr="00934F33">
              <w:rPr>
                <w:color w:val="000000"/>
              </w:rPr>
              <w:lastRenderedPageBreak/>
              <w:t xml:space="preserve">77. При подаче заявки на погашение инвестиционных паев фонда </w:t>
            </w:r>
            <w:r w:rsidRPr="00934F33">
              <w:rPr>
                <w:bCs/>
                <w:color w:val="000000"/>
              </w:rPr>
              <w:t>управляющей компании или агенту по выдаче и погашению инвестиционных паев фонда</w:t>
            </w:r>
            <w:r w:rsidRPr="00934F33">
              <w:rPr>
                <w:color w:val="000000"/>
              </w:rPr>
              <w:t xml:space="preserve">, </w:t>
            </w:r>
            <w:r w:rsidRPr="001D52A9">
              <w:rPr>
                <w:b/>
                <w:color w:val="000000"/>
              </w:rPr>
              <w:t>скидка, на которую уменьшается расчетная стоимость инвестиционного пая, составляет:</w:t>
            </w:r>
          </w:p>
          <w:p w:rsidR="00F807DB" w:rsidRPr="00505D00" w:rsidRDefault="00934F33" w:rsidP="00922599">
            <w:pPr>
              <w:numPr>
                <w:ilvl w:val="0"/>
                <w:numId w:val="13"/>
              </w:numPr>
              <w:tabs>
                <w:tab w:val="clear" w:pos="1428"/>
                <w:tab w:val="num" w:pos="0"/>
              </w:tabs>
              <w:autoSpaceDE w:val="0"/>
              <w:autoSpaceDN w:val="0"/>
              <w:adjustRightInd w:val="0"/>
              <w:ind w:left="543" w:hanging="543"/>
              <w:jc w:val="both"/>
              <w:rPr>
                <w:b/>
                <w:bCs/>
                <w:color w:val="000000"/>
              </w:rPr>
            </w:pPr>
            <w:r w:rsidRPr="00934F33">
              <w:rPr>
                <w:b/>
                <w:bCs/>
                <w:color w:val="000000"/>
              </w:rPr>
              <w:lastRenderedPageBreak/>
              <w:t>2 % (два)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w:t>
            </w:r>
            <w:r w:rsidRPr="00934F33">
              <w:rPr>
                <w:b/>
                <w:bCs/>
                <w:color w:val="000000"/>
              </w:rPr>
              <w:t>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934F33" w:rsidP="00922599">
            <w:pPr>
              <w:numPr>
                <w:ilvl w:val="0"/>
                <w:numId w:val="13"/>
              </w:numPr>
              <w:tabs>
                <w:tab w:val="clear" w:pos="1428"/>
                <w:tab w:val="num" w:pos="0"/>
              </w:tabs>
              <w:autoSpaceDE w:val="0"/>
              <w:autoSpaceDN w:val="0"/>
              <w:adjustRightInd w:val="0"/>
              <w:ind w:left="543" w:hanging="543"/>
              <w:jc w:val="both"/>
              <w:rPr>
                <w:b/>
                <w:bCs/>
                <w:color w:val="000000"/>
              </w:rPr>
            </w:pPr>
            <w:r w:rsidRPr="00934F33">
              <w:rPr>
                <w:b/>
                <w:bCs/>
                <w:color w:val="000000"/>
              </w:rPr>
              <w:t>1,5 % (одна целая пять десятых)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807DB" w:rsidP="00922599">
            <w:pPr>
              <w:numPr>
                <w:ilvl w:val="0"/>
                <w:numId w:val="13"/>
              </w:numPr>
              <w:tabs>
                <w:tab w:val="clear" w:pos="1428"/>
                <w:tab w:val="num" w:pos="0"/>
              </w:tabs>
              <w:autoSpaceDE w:val="0"/>
              <w:autoSpaceDN w:val="0"/>
              <w:adjustRightInd w:val="0"/>
              <w:ind w:left="543" w:hanging="543"/>
              <w:jc w:val="both"/>
              <w:rPr>
                <w:b/>
                <w:bCs/>
                <w:color w:val="000000"/>
              </w:rPr>
            </w:pPr>
            <w:r w:rsidRPr="00505D00">
              <w:rPr>
                <w:b/>
                <w:bCs/>
                <w:color w:val="000000"/>
              </w:rPr>
              <w:t>1 % (один) процент (</w:t>
            </w:r>
            <w:r w:rsidRPr="00505D00">
              <w:rPr>
                <w:b/>
                <w:bCs/>
              </w:rPr>
              <w:t>без учета</w:t>
            </w:r>
            <w:r w:rsidRPr="00505D00">
              <w:rPr>
                <w:b/>
                <w:bCs/>
                <w:color w:val="000000"/>
              </w:rPr>
              <w:t xml:space="preserve"> налога на добавленную стоимость) от расчетной стоимости инвестиционно</w:t>
            </w:r>
            <w:r w:rsidR="00934F33" w:rsidRPr="00934F33">
              <w:rPr>
                <w:b/>
                <w:bCs/>
                <w:color w:val="000000"/>
              </w:rPr>
              <w:t>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934F33" w:rsidP="00922599">
            <w:pPr>
              <w:numPr>
                <w:ilvl w:val="0"/>
                <w:numId w:val="13"/>
              </w:numPr>
              <w:tabs>
                <w:tab w:val="clear" w:pos="1428"/>
                <w:tab w:val="num" w:pos="0"/>
              </w:tabs>
              <w:autoSpaceDE w:val="0"/>
              <w:autoSpaceDN w:val="0"/>
              <w:adjustRightInd w:val="0"/>
              <w:ind w:left="543" w:hanging="543"/>
              <w:jc w:val="both"/>
              <w:rPr>
                <w:b/>
                <w:bCs/>
                <w:color w:val="000000"/>
              </w:rPr>
            </w:pPr>
            <w:r w:rsidRPr="00934F33">
              <w:rPr>
                <w:b/>
                <w:bCs/>
                <w:color w:val="000000"/>
              </w:rPr>
              <w:t>0,5 % (ноль целых и пять десятых)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w:t>
            </w:r>
            <w:r w:rsidRPr="00934F33">
              <w:rPr>
                <w:b/>
                <w:bCs/>
                <w:color w:val="000000"/>
              </w:rPr>
              <w:t xml:space="preserve">осуществляется в срок равный или более 732 (семьсот тридцати двум) дням, но менее или равный  1096 (одна тысяча девяносто шести) дням со дня </w:t>
            </w:r>
            <w:r w:rsidRPr="00934F33">
              <w:rPr>
                <w:b/>
                <w:bCs/>
                <w:color w:val="000000"/>
              </w:rPr>
              <w:lastRenderedPageBreak/>
              <w:t>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934F33" w:rsidP="00922599">
            <w:pPr>
              <w:numPr>
                <w:ilvl w:val="0"/>
                <w:numId w:val="13"/>
              </w:numPr>
              <w:tabs>
                <w:tab w:val="clear" w:pos="1428"/>
                <w:tab w:val="num" w:pos="0"/>
              </w:tabs>
              <w:autoSpaceDE w:val="0"/>
              <w:autoSpaceDN w:val="0"/>
              <w:adjustRightInd w:val="0"/>
              <w:ind w:left="543" w:hanging="543"/>
              <w:jc w:val="both"/>
              <w:rPr>
                <w:b/>
                <w:bCs/>
                <w:color w:val="000000"/>
              </w:rPr>
            </w:pPr>
            <w:r w:rsidRPr="00934F33">
              <w:rPr>
                <w:b/>
                <w:bCs/>
                <w:color w:val="000000"/>
              </w:rPr>
              <w:t>скидка не взимается в случае, если погашение осуществляется в срок равный или более 1097 (одна тысяча девяносто семи)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1D52A9" w:rsidRDefault="00934F33" w:rsidP="00922599">
            <w:pPr>
              <w:tabs>
                <w:tab w:val="num" w:pos="0"/>
              </w:tabs>
              <w:autoSpaceDE w:val="0"/>
              <w:autoSpaceDN w:val="0"/>
              <w:adjustRightInd w:val="0"/>
              <w:ind w:left="543" w:hanging="543"/>
              <w:jc w:val="both"/>
              <w:rPr>
                <w:b/>
              </w:rPr>
            </w:pPr>
            <w:r w:rsidRPr="00934F33">
              <w:rPr>
                <w:color w:val="000000"/>
              </w:rPr>
              <w:t xml:space="preserve">         </w:t>
            </w:r>
            <w:r w:rsidRPr="001D52A9">
              <w:rPr>
                <w:b/>
                <w:color w:val="000000"/>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F807DB" w:rsidRPr="000A1894" w:rsidTr="00AF5759">
        <w:trPr>
          <w:trHeight w:val="351"/>
        </w:trPr>
        <w:tc>
          <w:tcPr>
            <w:tcW w:w="4733" w:type="dxa"/>
          </w:tcPr>
          <w:p w:rsidR="00FE1DB3" w:rsidRPr="001D52A9" w:rsidRDefault="001D52A9" w:rsidP="001D52A9">
            <w:pPr>
              <w:tabs>
                <w:tab w:val="left" w:pos="1134"/>
              </w:tabs>
              <w:autoSpaceDE w:val="0"/>
              <w:autoSpaceDN w:val="0"/>
              <w:adjustRightInd w:val="0"/>
              <w:ind w:firstLine="372"/>
              <w:jc w:val="both"/>
            </w:pPr>
            <w:r>
              <w:lastRenderedPageBreak/>
              <w:t xml:space="preserve">85. </w:t>
            </w:r>
            <w:r w:rsidRPr="009C65F1">
              <w:t xml:space="preserve">За счет имущества, составляющего фонд, выплачиваются вознаграждения управляющей компании </w:t>
            </w:r>
            <w:r>
              <w:t xml:space="preserve">- </w:t>
            </w:r>
            <w:r w:rsidRPr="009C65F1">
              <w:t xml:space="preserve">в размере </w:t>
            </w:r>
            <w:r>
              <w:t>не  более 1,75 (одна целая семьдесят пять сотых) процентов среднегодовой стоимости чистых активов фонда (с учетом НДС)</w:t>
            </w:r>
            <w:r w:rsidRPr="009C65F1">
              <w:t xml:space="preserve">, а также специализированному депозитарию, регистратору, аудитору </w:t>
            </w:r>
            <w:r>
              <w:t xml:space="preserve">- </w:t>
            </w:r>
            <w:r w:rsidRPr="009C65F1">
              <w:t xml:space="preserve">в размере не более </w:t>
            </w:r>
            <w:r>
              <w:t>1,9 (одна целая девять десятых) процентов среднегодовой стоимости чистых активов фонда (с учетом НДС)</w:t>
            </w:r>
            <w:r w:rsidRPr="009C65F1">
              <w:t>.</w:t>
            </w:r>
          </w:p>
        </w:tc>
        <w:tc>
          <w:tcPr>
            <w:tcW w:w="4643" w:type="dxa"/>
          </w:tcPr>
          <w:p w:rsidR="00F807DB" w:rsidRPr="00505D00" w:rsidRDefault="00934F33" w:rsidP="00922599">
            <w:pPr>
              <w:tabs>
                <w:tab w:val="left" w:pos="-24"/>
              </w:tabs>
              <w:jc w:val="both"/>
              <w:rPr>
                <w:color w:val="000000"/>
              </w:rPr>
            </w:pPr>
            <w:r w:rsidRPr="00934F33">
              <w:rPr>
                <w:color w:val="000000"/>
              </w:rPr>
              <w:t xml:space="preserve">85. За счет имущества, составляющего фонд, выплачиваются вознаграждения: управляющей компании в размере </w:t>
            </w:r>
            <w:r w:rsidR="001D52A9">
              <w:rPr>
                <w:b/>
                <w:bCs/>
                <w:color w:val="000000"/>
              </w:rPr>
              <w:t>1</w:t>
            </w:r>
            <w:r w:rsidRPr="00934F33">
              <w:rPr>
                <w:b/>
                <w:bCs/>
                <w:color w:val="000000"/>
              </w:rPr>
              <w:t xml:space="preserve"> % (</w:t>
            </w:r>
            <w:r w:rsidR="001D52A9">
              <w:rPr>
                <w:b/>
                <w:bCs/>
                <w:color w:val="000000"/>
              </w:rPr>
              <w:t>один</w:t>
            </w:r>
            <w:r w:rsidRPr="00934F33">
              <w:rPr>
                <w:b/>
                <w:bCs/>
                <w:color w:val="000000"/>
              </w:rPr>
              <w:t>) процент среднегодовой стоимости чистых активов фонда,</w:t>
            </w:r>
            <w:r w:rsidRPr="00934F33">
              <w:rPr>
                <w:color w:val="000000"/>
              </w:rPr>
              <w:t xml:space="preserve"> а также специализированному депозитарию, регистратору, аудитору в размере не более </w:t>
            </w:r>
            <w:r w:rsidR="001D52A9">
              <w:t>1,9 (одна целая девять десятых)</w:t>
            </w:r>
            <w:r w:rsidRPr="00934F33">
              <w:rPr>
                <w:color w:val="000000"/>
              </w:rPr>
              <w:t xml:space="preserve"> процента среднегодовой стоимости чистых активов фонда.</w:t>
            </w:r>
          </w:p>
          <w:p w:rsidR="00FA2819" w:rsidRDefault="00FA2819" w:rsidP="003E6B2B">
            <w:pPr>
              <w:widowControl w:val="0"/>
              <w:tabs>
                <w:tab w:val="left" w:pos="540"/>
                <w:tab w:val="left" w:pos="900"/>
                <w:tab w:val="left" w:pos="960"/>
              </w:tabs>
              <w:adjustRightInd w:val="0"/>
              <w:spacing w:afterLines="60" w:line="228" w:lineRule="auto"/>
              <w:jc w:val="both"/>
            </w:pPr>
          </w:p>
        </w:tc>
      </w:tr>
      <w:tr w:rsidR="00F807DB" w:rsidRPr="000A1894" w:rsidTr="00AF5759">
        <w:trPr>
          <w:trHeight w:val="351"/>
        </w:trPr>
        <w:tc>
          <w:tcPr>
            <w:tcW w:w="4733" w:type="dxa"/>
          </w:tcPr>
          <w:p w:rsidR="00F807DB" w:rsidRPr="005631DF" w:rsidRDefault="005631DF" w:rsidP="005631DF">
            <w:pPr>
              <w:tabs>
                <w:tab w:val="left" w:pos="1134"/>
              </w:tabs>
              <w:autoSpaceDE w:val="0"/>
              <w:autoSpaceDN w:val="0"/>
              <w:adjustRightInd w:val="0"/>
              <w:ind w:left="89" w:firstLine="283"/>
              <w:jc w:val="both"/>
            </w:pPr>
            <w:r>
              <w:t xml:space="preserve">89. </w:t>
            </w:r>
            <w:r w:rsidRPr="009C65F1">
              <w:t xml:space="preserve">Расходы, не предусмотренные пунктом </w:t>
            </w:r>
            <w:r>
              <w:t>8</w:t>
            </w:r>
            <w:r w:rsidRPr="001F492A">
              <w:t>8</w:t>
            </w:r>
            <w:r w:rsidRPr="009C65F1">
              <w:t xml:space="preserve"> настоящих Правил, а также вознаграждения в части превышения размеров, указанных в пункте </w:t>
            </w:r>
            <w:r>
              <w:t>8</w:t>
            </w:r>
            <w:r w:rsidRPr="001F492A">
              <w:t>5</w:t>
            </w:r>
            <w:r w:rsidRPr="009C65F1">
              <w:t xml:space="preserve"> настоящих Правил, или </w:t>
            </w:r>
            <w:r>
              <w:t xml:space="preserve">3,65 (три целых шестьдесят пять сотых) </w:t>
            </w:r>
            <w:r w:rsidRPr="009C65F1">
              <w:t>процент</w:t>
            </w:r>
            <w:r>
              <w:t>а (с учетом НДС)</w:t>
            </w:r>
            <w:r w:rsidRPr="009C65F1">
              <w:t xml:space="preserve"> среднегодовой стоимости чистых активов фонда, выплачиваются управляющей компанией за счет своих собственных средств.</w:t>
            </w:r>
          </w:p>
        </w:tc>
        <w:tc>
          <w:tcPr>
            <w:tcW w:w="4643" w:type="dxa"/>
          </w:tcPr>
          <w:p w:rsidR="00F807DB" w:rsidRPr="00505D00" w:rsidRDefault="00934F33" w:rsidP="00467E59">
            <w:pPr>
              <w:jc w:val="both"/>
              <w:rPr>
                <w:b/>
                <w:bCs/>
                <w:color w:val="000000"/>
              </w:rPr>
            </w:pPr>
            <w:r w:rsidRPr="00934F33">
              <w:rPr>
                <w:color w:val="000000"/>
              </w:rPr>
              <w:t xml:space="preserve">89. Расходы, не предусмотренные пунктом 88 настоящих Правил, а  также вознаграждения в части превышения размеров, указанных в пункте 85 настоящих Правил, или </w:t>
            </w:r>
            <w:r w:rsidR="005631DF">
              <w:rPr>
                <w:b/>
                <w:bCs/>
                <w:color w:val="000000"/>
              </w:rPr>
              <w:t>2,9 % (Две целых девять десятых</w:t>
            </w:r>
            <w:r w:rsidRPr="00934F33">
              <w:rPr>
                <w:b/>
                <w:bCs/>
                <w:color w:val="000000"/>
              </w:rPr>
              <w:t>) процента  среднегодовой стоимости чистых активов фонда, выплачиваются управляющей компанией за счет своих собственных средств.</w:t>
            </w:r>
          </w:p>
        </w:tc>
      </w:tr>
    </w:tbl>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tbl>
      <w:tblPr>
        <w:tblW w:w="0" w:type="auto"/>
        <w:tblLook w:val="01E0"/>
      </w:tblPr>
      <w:tblGrid>
        <w:gridCol w:w="4819"/>
        <w:gridCol w:w="4752"/>
      </w:tblGrid>
      <w:tr w:rsidR="009E1BA1" w:rsidRPr="000A1894">
        <w:tc>
          <w:tcPr>
            <w:tcW w:w="5140" w:type="dxa"/>
          </w:tcPr>
          <w:p w:rsidR="009E1BA1" w:rsidRPr="000A1894" w:rsidRDefault="009E1BA1" w:rsidP="004D5C09">
            <w:pPr>
              <w:rPr>
                <w:b/>
                <w:bCs/>
              </w:rPr>
            </w:pPr>
            <w:r w:rsidRPr="000A1894">
              <w:rPr>
                <w:b/>
                <w:bCs/>
              </w:rPr>
              <w:t>Генеральный директор</w:t>
            </w:r>
          </w:p>
          <w:p w:rsidR="009E1BA1" w:rsidRPr="000A1894" w:rsidRDefault="009E1BA1" w:rsidP="004D5C09">
            <w:r w:rsidRPr="000A1894">
              <w:rPr>
                <w:b/>
                <w:bCs/>
              </w:rPr>
              <w:t>ООО «УК ПРОМСВЯЗЬ»</w:t>
            </w:r>
          </w:p>
        </w:tc>
        <w:tc>
          <w:tcPr>
            <w:tcW w:w="5141" w:type="dxa"/>
          </w:tcPr>
          <w:p w:rsidR="009E1BA1" w:rsidRPr="000A1894" w:rsidRDefault="009E1BA1" w:rsidP="004D5C09">
            <w:pPr>
              <w:rPr>
                <w:b/>
                <w:bCs/>
              </w:rPr>
            </w:pPr>
          </w:p>
          <w:p w:rsidR="009E1BA1" w:rsidRPr="000A1894" w:rsidRDefault="009E1BA1" w:rsidP="009E1BA1">
            <w:pPr>
              <w:jc w:val="right"/>
            </w:pPr>
            <w:r w:rsidRPr="000A1894">
              <w:rPr>
                <w:b/>
                <w:bCs/>
              </w:rPr>
              <w:t>А.В. Рыбаков</w:t>
            </w:r>
          </w:p>
        </w:tc>
      </w:tr>
    </w:tbl>
    <w:p w:rsidR="009E1BA1" w:rsidRPr="000A1894" w:rsidRDefault="009E1BA1" w:rsidP="009E1BA1">
      <w:pPr>
        <w:pStyle w:val="fieldcomment"/>
        <w:rPr>
          <w:rFonts w:ascii="Times New Roman" w:hAnsi="Times New Roman" w:cs="Times New Roman"/>
          <w:sz w:val="24"/>
          <w:szCs w:val="24"/>
          <w:lang w:val="ru-RU"/>
        </w:rPr>
      </w:pPr>
    </w:p>
    <w:p w:rsidR="00B1204C" w:rsidRPr="00DA4DE7" w:rsidRDefault="00B1204C" w:rsidP="00DA4DE7">
      <w:pPr>
        <w:pStyle w:val="fieldcomment"/>
        <w:rPr>
          <w:rFonts w:ascii="Times New Roman" w:hAnsi="Times New Roman" w:cs="Times New Roman"/>
          <w:sz w:val="24"/>
          <w:szCs w:val="24"/>
          <w:lang w:val="ru-RU"/>
        </w:rPr>
      </w:pPr>
    </w:p>
    <w:sectPr w:rsidR="00B1204C" w:rsidRPr="00DA4DE7" w:rsidSect="00283B3E">
      <w:footerReference w:type="default" r:id="rId11"/>
      <w:pgSz w:w="11906" w:h="16838"/>
      <w:pgMar w:top="360" w:right="850" w:bottom="719" w:left="1701" w:header="708" w:footer="40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ED" w:rsidRDefault="000728ED">
      <w:r>
        <w:separator/>
      </w:r>
    </w:p>
  </w:endnote>
  <w:endnote w:type="continuationSeparator" w:id="0">
    <w:p w:rsidR="000728ED" w:rsidRDefault="00072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21. Целью инвестиционной полити">
    <w:altName w:val="Times New Roman"/>
    <w:panose1 w:val="00000000000000000000"/>
    <w:charset w:val="00"/>
    <w:family w:val="roman"/>
    <w:notTrueType/>
    <w:pitch w:val="default"/>
    <w:sig w:usb0="00000000" w:usb1="00000000" w:usb2="00000000" w:usb3="00000000" w:csb0="00000000" w:csb1="00000000"/>
  </w:font>
  <w:font w:name="AGOpusHR">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ED" w:rsidRDefault="004140AD" w:rsidP="00C02F8A">
    <w:pPr>
      <w:pStyle w:val="a4"/>
      <w:framePr w:wrap="auto" w:vAnchor="text" w:hAnchor="margin" w:xAlign="right" w:y="1"/>
      <w:rPr>
        <w:rStyle w:val="a6"/>
      </w:rPr>
    </w:pPr>
    <w:r>
      <w:rPr>
        <w:rStyle w:val="a6"/>
      </w:rPr>
      <w:fldChar w:fldCharType="begin"/>
    </w:r>
    <w:r w:rsidR="000728ED">
      <w:rPr>
        <w:rStyle w:val="a6"/>
      </w:rPr>
      <w:instrText xml:space="preserve">PAGE  </w:instrText>
    </w:r>
    <w:r>
      <w:rPr>
        <w:rStyle w:val="a6"/>
      </w:rPr>
      <w:fldChar w:fldCharType="separate"/>
    </w:r>
    <w:r w:rsidR="003E6B2B">
      <w:rPr>
        <w:rStyle w:val="a6"/>
        <w:noProof/>
      </w:rPr>
      <w:t>1</w:t>
    </w:r>
    <w:r>
      <w:rPr>
        <w:rStyle w:val="a6"/>
      </w:rPr>
      <w:fldChar w:fldCharType="end"/>
    </w:r>
  </w:p>
  <w:p w:rsidR="000728ED" w:rsidRDefault="000728ED" w:rsidP="00FA253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ED" w:rsidRDefault="000728ED">
      <w:r>
        <w:separator/>
      </w:r>
    </w:p>
  </w:footnote>
  <w:footnote w:type="continuationSeparator" w:id="0">
    <w:p w:rsidR="000728ED" w:rsidRDefault="0007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651"/>
    <w:multiLevelType w:val="hybridMultilevel"/>
    <w:tmpl w:val="266A18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46B2"/>
    <w:multiLevelType w:val="hybridMultilevel"/>
    <w:tmpl w:val="A00ECE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172F2B"/>
    <w:multiLevelType w:val="hybridMultilevel"/>
    <w:tmpl w:val="06D2080E"/>
    <w:lvl w:ilvl="0" w:tplc="04190001">
      <w:start w:val="1"/>
      <w:numFmt w:val="bullet"/>
      <w:lvlText w:val=""/>
      <w:lvlJc w:val="left"/>
      <w:pPr>
        <w:tabs>
          <w:tab w:val="num" w:pos="720"/>
        </w:tabs>
        <w:ind w:left="720" w:hanging="360"/>
      </w:pPr>
      <w:rPr>
        <w:rFonts w:ascii="Symbol" w:hAnsi="Symbol" w:hint="default"/>
      </w:rPr>
    </w:lvl>
    <w:lvl w:ilvl="1" w:tplc="4A96CEF0">
      <w:start w:val="1"/>
      <w:numFmt w:val="russianLower"/>
      <w:lvlText w:val="%2)"/>
      <w:lvlJc w:val="left"/>
      <w:pPr>
        <w:tabs>
          <w:tab w:val="num" w:pos="2175"/>
        </w:tabs>
        <w:ind w:left="2175" w:hanging="1095"/>
      </w:pPr>
      <w:rPr>
        <w:rFonts w:cs="Times New Roman" w:hint="default"/>
      </w:rPr>
    </w:lvl>
    <w:lvl w:ilvl="2" w:tplc="F20AF2F0">
      <w:start w:val="1"/>
      <w:numFmt w:val="decimal"/>
      <w:lvlText w:val="%3)"/>
      <w:lvlJc w:val="left"/>
      <w:pPr>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610F6"/>
    <w:multiLevelType w:val="hybridMultilevel"/>
    <w:tmpl w:val="7F6481AE"/>
    <w:lvl w:ilvl="0" w:tplc="6164CFE8">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5B49E3"/>
    <w:multiLevelType w:val="hybridMultilevel"/>
    <w:tmpl w:val="D2E43378"/>
    <w:lvl w:ilvl="0" w:tplc="DEDA014C">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8D96F3D"/>
    <w:multiLevelType w:val="hybridMultilevel"/>
    <w:tmpl w:val="51FC828E"/>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E02CD"/>
    <w:multiLevelType w:val="hybridMultilevel"/>
    <w:tmpl w:val="E97A9D68"/>
    <w:lvl w:ilvl="0" w:tplc="7930C018">
      <w:start w:val="27"/>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5F5E0C"/>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7C14E9F"/>
    <w:multiLevelType w:val="hybridMultilevel"/>
    <w:tmpl w:val="5EEA8E7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C98773A"/>
    <w:multiLevelType w:val="hybridMultilevel"/>
    <w:tmpl w:val="B4A0FF0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2F5D2C9A"/>
    <w:multiLevelType w:val="hybridMultilevel"/>
    <w:tmpl w:val="1B1097B2"/>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142D8"/>
    <w:multiLevelType w:val="hybridMultilevel"/>
    <w:tmpl w:val="4E125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1E6001"/>
    <w:multiLevelType w:val="multilevel"/>
    <w:tmpl w:val="C60C373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6A0F14"/>
    <w:multiLevelType w:val="multilevel"/>
    <w:tmpl w:val="6400DD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6A74C5"/>
    <w:multiLevelType w:val="hybridMultilevel"/>
    <w:tmpl w:val="7910C2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D243EAA"/>
    <w:multiLevelType w:val="hybridMultilevel"/>
    <w:tmpl w:val="8662FD2A"/>
    <w:lvl w:ilvl="0" w:tplc="740C4C74">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8D7805"/>
    <w:multiLevelType w:val="hybridMultilevel"/>
    <w:tmpl w:val="485EC0A4"/>
    <w:lvl w:ilvl="0" w:tplc="D6B09EB4">
      <w:start w:val="1"/>
      <w:numFmt w:val="decimal"/>
      <w:lvlText w:val="%1."/>
      <w:lvlJc w:val="left"/>
      <w:pPr>
        <w:ind w:left="1425" w:hanging="360"/>
      </w:pPr>
      <w:rPr>
        <w:rFonts w:ascii="Times New Roman" w:eastAsia="Times New Roman" w:hAnsi="Times New Roman" w:cs="Times New Roman"/>
      </w:rPr>
    </w:lvl>
    <w:lvl w:ilvl="1" w:tplc="04190019" w:tentative="1">
      <w:start w:val="1"/>
      <w:numFmt w:val="lowerLetter"/>
      <w:lvlText w:val="%2."/>
      <w:lvlJc w:val="left"/>
      <w:pPr>
        <w:ind w:left="2145" w:hanging="360"/>
      </w:pPr>
      <w:rPr>
        <w:rFonts w:cs="Times New Roman"/>
      </w:rPr>
    </w:lvl>
    <w:lvl w:ilvl="2" w:tplc="04190011">
      <w:start w:val="1"/>
      <w:numFmt w:val="decimal"/>
      <w:lvlText w:val="%3)"/>
      <w:lvlJc w:val="lef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1">
    <w:nsid w:val="415A48A3"/>
    <w:multiLevelType w:val="multilevel"/>
    <w:tmpl w:val="93E65CB4"/>
    <w:lvl w:ilvl="0">
      <w:start w:val="23"/>
      <w:numFmt w:val="decimal"/>
      <w:lvlText w:val="%1."/>
      <w:lvlJc w:val="left"/>
      <w:pPr>
        <w:ind w:left="1473"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2C967FC"/>
    <w:multiLevelType w:val="hybridMultilevel"/>
    <w:tmpl w:val="3D44BF4E"/>
    <w:lvl w:ilvl="0" w:tplc="C22457CA">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010717"/>
    <w:multiLevelType w:val="hybridMultilevel"/>
    <w:tmpl w:val="745667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467F323E"/>
    <w:multiLevelType w:val="hybridMultilevel"/>
    <w:tmpl w:val="8738EA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FE7D80"/>
    <w:multiLevelType w:val="hybridMultilevel"/>
    <w:tmpl w:val="F2BE0AA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9B7328A"/>
    <w:multiLevelType w:val="hybridMultilevel"/>
    <w:tmpl w:val="84E23898"/>
    <w:lvl w:ilvl="0" w:tplc="DEDA014C">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8">
    <w:nsid w:val="4AE7530B"/>
    <w:multiLevelType w:val="hybridMultilevel"/>
    <w:tmpl w:val="31C26B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12B66"/>
    <w:multiLevelType w:val="hybridMultilevel"/>
    <w:tmpl w:val="308824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0">
    <w:nsid w:val="4EE566FA"/>
    <w:multiLevelType w:val="hybridMultilevel"/>
    <w:tmpl w:val="BFDA8E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7637EF"/>
    <w:multiLevelType w:val="multilevel"/>
    <w:tmpl w:val="1E1A2796"/>
    <w:lvl w:ilvl="0">
      <w:start w:val="23"/>
      <w:numFmt w:val="decimal"/>
      <w:lvlText w:val="%1."/>
      <w:lvlJc w:val="left"/>
      <w:pPr>
        <w:ind w:left="817"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7412A06"/>
    <w:multiLevelType w:val="hybridMultilevel"/>
    <w:tmpl w:val="A1A813EE"/>
    <w:lvl w:ilvl="0" w:tplc="04190011">
      <w:start w:val="1"/>
      <w:numFmt w:val="decimal"/>
      <w:lvlText w:val="%1)"/>
      <w:lvlJc w:val="left"/>
      <w:pPr>
        <w:ind w:left="720" w:hanging="360"/>
      </w:pPr>
    </w:lvl>
    <w:lvl w:ilvl="1" w:tplc="4A96CEF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A65976"/>
    <w:multiLevelType w:val="hybridMultilevel"/>
    <w:tmpl w:val="9140C164"/>
    <w:lvl w:ilvl="0" w:tplc="4D7C0CD6">
      <w:start w:val="2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4">
    <w:nsid w:val="62FF1FE1"/>
    <w:multiLevelType w:val="hybridMultilevel"/>
    <w:tmpl w:val="7F86C05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81D688E"/>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C3B60D8"/>
    <w:multiLevelType w:val="hybridMultilevel"/>
    <w:tmpl w:val="D820CB1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7">
    <w:nsid w:val="6FDF1B9F"/>
    <w:multiLevelType w:val="hybridMultilevel"/>
    <w:tmpl w:val="46F6B0B2"/>
    <w:lvl w:ilvl="0" w:tplc="E844FFEA">
      <w:start w:val="27"/>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6F13EB5"/>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72E7FA3"/>
    <w:multiLevelType w:val="hybridMultilevel"/>
    <w:tmpl w:val="FED6F166"/>
    <w:lvl w:ilvl="0" w:tplc="0419000F">
      <w:start w:val="4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DB60BE"/>
    <w:multiLevelType w:val="hybridMultilevel"/>
    <w:tmpl w:val="30A80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9"/>
  </w:num>
  <w:num w:numId="3">
    <w:abstractNumId w:val="27"/>
  </w:num>
  <w:num w:numId="4">
    <w:abstractNumId w:val="14"/>
  </w:num>
  <w:num w:numId="5">
    <w:abstractNumId w:val="7"/>
  </w:num>
  <w:num w:numId="6">
    <w:abstractNumId w:val="25"/>
  </w:num>
  <w:num w:numId="7">
    <w:abstractNumId w:val="13"/>
  </w:num>
  <w:num w:numId="8">
    <w:abstractNumId w:val="35"/>
  </w:num>
  <w:num w:numId="9">
    <w:abstractNumId w:val="23"/>
  </w:num>
  <w:num w:numId="10">
    <w:abstractNumId w:val="1"/>
  </w:num>
  <w:num w:numId="11">
    <w:abstractNumId w:val="5"/>
  </w:num>
  <w:num w:numId="12">
    <w:abstractNumId w:val="17"/>
  </w:num>
  <w:num w:numId="13">
    <w:abstractNumId w:val="8"/>
  </w:num>
  <w:num w:numId="14">
    <w:abstractNumId w:val="11"/>
  </w:num>
  <w:num w:numId="15">
    <w:abstractNumId w:val="38"/>
  </w:num>
  <w:num w:numId="16">
    <w:abstractNumId w:val="28"/>
  </w:num>
  <w:num w:numId="17">
    <w:abstractNumId w:val="6"/>
  </w:num>
  <w:num w:numId="18">
    <w:abstractNumId w:val="37"/>
  </w:num>
  <w:num w:numId="19">
    <w:abstractNumId w:val="3"/>
  </w:num>
  <w:num w:numId="20">
    <w:abstractNumId w:val="18"/>
  </w:num>
  <w:num w:numId="21">
    <w:abstractNumId w:val="19"/>
  </w:num>
  <w:num w:numId="22">
    <w:abstractNumId w:val="22"/>
  </w:num>
  <w:num w:numId="23">
    <w:abstractNumId w:val="26"/>
  </w:num>
  <w:num w:numId="24">
    <w:abstractNumId w:val="34"/>
  </w:num>
  <w:num w:numId="25">
    <w:abstractNumId w:val="33"/>
  </w:num>
  <w:num w:numId="26">
    <w:abstractNumId w:val="24"/>
  </w:num>
  <w:num w:numId="27">
    <w:abstractNumId w:val="4"/>
  </w:num>
  <w:num w:numId="28">
    <w:abstractNumId w:val="2"/>
  </w:num>
  <w:num w:numId="29">
    <w:abstractNumId w:val="0"/>
  </w:num>
  <w:num w:numId="30">
    <w:abstractNumId w:val="32"/>
  </w:num>
  <w:num w:numId="31">
    <w:abstractNumId w:val="10"/>
  </w:num>
  <w:num w:numId="32">
    <w:abstractNumId w:val="31"/>
  </w:num>
  <w:num w:numId="33">
    <w:abstractNumId w:val="15"/>
  </w:num>
  <w:num w:numId="34">
    <w:abstractNumId w:val="20"/>
  </w:num>
  <w:num w:numId="35">
    <w:abstractNumId w:val="40"/>
  </w:num>
  <w:num w:numId="36">
    <w:abstractNumId w:val="16"/>
  </w:num>
  <w:num w:numId="37">
    <w:abstractNumId w:val="12"/>
  </w:num>
  <w:num w:numId="38">
    <w:abstractNumId w:val="29"/>
  </w:num>
  <w:num w:numId="39">
    <w:abstractNumId w:val="9"/>
  </w:num>
  <w:num w:numId="40">
    <w:abstractNumId w:val="2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trackRevisions/>
  <w:defaultTabStop w:val="708"/>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rsids>
    <w:rsidRoot w:val="00004EDC"/>
    <w:rsid w:val="00000753"/>
    <w:rsid w:val="00001A6B"/>
    <w:rsid w:val="000028A2"/>
    <w:rsid w:val="0000305F"/>
    <w:rsid w:val="00003189"/>
    <w:rsid w:val="00003D8F"/>
    <w:rsid w:val="00004229"/>
    <w:rsid w:val="000043BF"/>
    <w:rsid w:val="00004EDC"/>
    <w:rsid w:val="00007035"/>
    <w:rsid w:val="00011DA8"/>
    <w:rsid w:val="00011F2D"/>
    <w:rsid w:val="00012EF0"/>
    <w:rsid w:val="00013227"/>
    <w:rsid w:val="000144A0"/>
    <w:rsid w:val="000145EB"/>
    <w:rsid w:val="00014C6F"/>
    <w:rsid w:val="00016552"/>
    <w:rsid w:val="00016D7E"/>
    <w:rsid w:val="00020141"/>
    <w:rsid w:val="00021308"/>
    <w:rsid w:val="0002173F"/>
    <w:rsid w:val="000219D9"/>
    <w:rsid w:val="00022150"/>
    <w:rsid w:val="00022549"/>
    <w:rsid w:val="000232E9"/>
    <w:rsid w:val="00023B17"/>
    <w:rsid w:val="00023C62"/>
    <w:rsid w:val="00024188"/>
    <w:rsid w:val="00024D6A"/>
    <w:rsid w:val="0002612A"/>
    <w:rsid w:val="000266D0"/>
    <w:rsid w:val="000274EE"/>
    <w:rsid w:val="000305BC"/>
    <w:rsid w:val="0003135D"/>
    <w:rsid w:val="00031A1F"/>
    <w:rsid w:val="00031F7D"/>
    <w:rsid w:val="000323F6"/>
    <w:rsid w:val="00033871"/>
    <w:rsid w:val="00034364"/>
    <w:rsid w:val="00036FD0"/>
    <w:rsid w:val="0003780C"/>
    <w:rsid w:val="00043101"/>
    <w:rsid w:val="000439F9"/>
    <w:rsid w:val="00043BAE"/>
    <w:rsid w:val="00044ABD"/>
    <w:rsid w:val="00045B5E"/>
    <w:rsid w:val="00045F0A"/>
    <w:rsid w:val="00046784"/>
    <w:rsid w:val="00046F13"/>
    <w:rsid w:val="000513AC"/>
    <w:rsid w:val="00052B93"/>
    <w:rsid w:val="000531BE"/>
    <w:rsid w:val="00053BD5"/>
    <w:rsid w:val="00056E86"/>
    <w:rsid w:val="0006038E"/>
    <w:rsid w:val="0006058E"/>
    <w:rsid w:val="000614B1"/>
    <w:rsid w:val="000625AF"/>
    <w:rsid w:val="0006615C"/>
    <w:rsid w:val="00067027"/>
    <w:rsid w:val="00067989"/>
    <w:rsid w:val="00067C6D"/>
    <w:rsid w:val="00070494"/>
    <w:rsid w:val="00070FEA"/>
    <w:rsid w:val="000728ED"/>
    <w:rsid w:val="00074C2D"/>
    <w:rsid w:val="0007594E"/>
    <w:rsid w:val="00075C74"/>
    <w:rsid w:val="000769F3"/>
    <w:rsid w:val="00077498"/>
    <w:rsid w:val="00077A15"/>
    <w:rsid w:val="00080E07"/>
    <w:rsid w:val="00083061"/>
    <w:rsid w:val="00083AF4"/>
    <w:rsid w:val="00083F1C"/>
    <w:rsid w:val="00084002"/>
    <w:rsid w:val="00084159"/>
    <w:rsid w:val="000850EB"/>
    <w:rsid w:val="00085684"/>
    <w:rsid w:val="00085A3A"/>
    <w:rsid w:val="000866CB"/>
    <w:rsid w:val="000868FA"/>
    <w:rsid w:val="00086CB6"/>
    <w:rsid w:val="00087D58"/>
    <w:rsid w:val="00087FB8"/>
    <w:rsid w:val="00090D02"/>
    <w:rsid w:val="00090DC2"/>
    <w:rsid w:val="00091138"/>
    <w:rsid w:val="00091956"/>
    <w:rsid w:val="0009227F"/>
    <w:rsid w:val="00092DCB"/>
    <w:rsid w:val="00093FDC"/>
    <w:rsid w:val="0009502E"/>
    <w:rsid w:val="00096FD5"/>
    <w:rsid w:val="00097F6E"/>
    <w:rsid w:val="000A0305"/>
    <w:rsid w:val="000A03EF"/>
    <w:rsid w:val="000A07AB"/>
    <w:rsid w:val="000A1894"/>
    <w:rsid w:val="000A34A2"/>
    <w:rsid w:val="000A35EF"/>
    <w:rsid w:val="000A3ED1"/>
    <w:rsid w:val="000A77E2"/>
    <w:rsid w:val="000A79F8"/>
    <w:rsid w:val="000A7F10"/>
    <w:rsid w:val="000B0ABC"/>
    <w:rsid w:val="000B2482"/>
    <w:rsid w:val="000B49FC"/>
    <w:rsid w:val="000B4A0E"/>
    <w:rsid w:val="000B62E6"/>
    <w:rsid w:val="000B7E0E"/>
    <w:rsid w:val="000B7E84"/>
    <w:rsid w:val="000C0A54"/>
    <w:rsid w:val="000C1C11"/>
    <w:rsid w:val="000C2857"/>
    <w:rsid w:val="000C358E"/>
    <w:rsid w:val="000C679E"/>
    <w:rsid w:val="000C6D9F"/>
    <w:rsid w:val="000C73D1"/>
    <w:rsid w:val="000D036C"/>
    <w:rsid w:val="000D33F9"/>
    <w:rsid w:val="000D430C"/>
    <w:rsid w:val="000D44E9"/>
    <w:rsid w:val="000D4DB6"/>
    <w:rsid w:val="000D5EB9"/>
    <w:rsid w:val="000D733D"/>
    <w:rsid w:val="000E015B"/>
    <w:rsid w:val="000E0EEF"/>
    <w:rsid w:val="000E15EC"/>
    <w:rsid w:val="000E23E3"/>
    <w:rsid w:val="000E3493"/>
    <w:rsid w:val="000E3FAA"/>
    <w:rsid w:val="000E48C2"/>
    <w:rsid w:val="000E49E9"/>
    <w:rsid w:val="000E6B87"/>
    <w:rsid w:val="000F0B22"/>
    <w:rsid w:val="000F3507"/>
    <w:rsid w:val="000F47E3"/>
    <w:rsid w:val="000F4805"/>
    <w:rsid w:val="000F56AF"/>
    <w:rsid w:val="00100978"/>
    <w:rsid w:val="00100FBD"/>
    <w:rsid w:val="0010106F"/>
    <w:rsid w:val="00102590"/>
    <w:rsid w:val="0010291D"/>
    <w:rsid w:val="0010775F"/>
    <w:rsid w:val="00107F6E"/>
    <w:rsid w:val="00111598"/>
    <w:rsid w:val="00111ECC"/>
    <w:rsid w:val="00114EC0"/>
    <w:rsid w:val="001158FC"/>
    <w:rsid w:val="001160D3"/>
    <w:rsid w:val="001170D5"/>
    <w:rsid w:val="00117830"/>
    <w:rsid w:val="00121FDF"/>
    <w:rsid w:val="0012274B"/>
    <w:rsid w:val="00125F01"/>
    <w:rsid w:val="00126687"/>
    <w:rsid w:val="0012681E"/>
    <w:rsid w:val="00126C8D"/>
    <w:rsid w:val="001308F6"/>
    <w:rsid w:val="00130C23"/>
    <w:rsid w:val="001314FC"/>
    <w:rsid w:val="0013184C"/>
    <w:rsid w:val="00131A08"/>
    <w:rsid w:val="00132BE3"/>
    <w:rsid w:val="00136A90"/>
    <w:rsid w:val="00140D9F"/>
    <w:rsid w:val="0014137E"/>
    <w:rsid w:val="0014163B"/>
    <w:rsid w:val="00143752"/>
    <w:rsid w:val="001449A6"/>
    <w:rsid w:val="00144E97"/>
    <w:rsid w:val="00144F21"/>
    <w:rsid w:val="0014575A"/>
    <w:rsid w:val="0014735A"/>
    <w:rsid w:val="001510D9"/>
    <w:rsid w:val="00151DB8"/>
    <w:rsid w:val="00152B3E"/>
    <w:rsid w:val="00153411"/>
    <w:rsid w:val="00153D41"/>
    <w:rsid w:val="00153F43"/>
    <w:rsid w:val="00153FE1"/>
    <w:rsid w:val="00155005"/>
    <w:rsid w:val="00155126"/>
    <w:rsid w:val="00155E07"/>
    <w:rsid w:val="00156C54"/>
    <w:rsid w:val="001573FB"/>
    <w:rsid w:val="00157D3A"/>
    <w:rsid w:val="0016095C"/>
    <w:rsid w:val="00160D47"/>
    <w:rsid w:val="001611BA"/>
    <w:rsid w:val="001624D2"/>
    <w:rsid w:val="0016277F"/>
    <w:rsid w:val="001628E7"/>
    <w:rsid w:val="00162E8B"/>
    <w:rsid w:val="00163EE7"/>
    <w:rsid w:val="00164C85"/>
    <w:rsid w:val="001650B8"/>
    <w:rsid w:val="001653A8"/>
    <w:rsid w:val="0016627F"/>
    <w:rsid w:val="00166BFB"/>
    <w:rsid w:val="0016750C"/>
    <w:rsid w:val="00172A39"/>
    <w:rsid w:val="001755AE"/>
    <w:rsid w:val="0017686B"/>
    <w:rsid w:val="00177160"/>
    <w:rsid w:val="00177BCB"/>
    <w:rsid w:val="00181B36"/>
    <w:rsid w:val="00181D28"/>
    <w:rsid w:val="00182D15"/>
    <w:rsid w:val="0018330C"/>
    <w:rsid w:val="001836CD"/>
    <w:rsid w:val="001852D3"/>
    <w:rsid w:val="00185EDE"/>
    <w:rsid w:val="00186700"/>
    <w:rsid w:val="00187825"/>
    <w:rsid w:val="00187CAB"/>
    <w:rsid w:val="00190063"/>
    <w:rsid w:val="00191126"/>
    <w:rsid w:val="00191484"/>
    <w:rsid w:val="00193B03"/>
    <w:rsid w:val="00193EE3"/>
    <w:rsid w:val="00195F5D"/>
    <w:rsid w:val="0019683B"/>
    <w:rsid w:val="001A1829"/>
    <w:rsid w:val="001A3138"/>
    <w:rsid w:val="001A6D4D"/>
    <w:rsid w:val="001A79D8"/>
    <w:rsid w:val="001A7EA3"/>
    <w:rsid w:val="001B1016"/>
    <w:rsid w:val="001B3275"/>
    <w:rsid w:val="001B3E94"/>
    <w:rsid w:val="001B4A49"/>
    <w:rsid w:val="001B697D"/>
    <w:rsid w:val="001B6D63"/>
    <w:rsid w:val="001B7256"/>
    <w:rsid w:val="001C0343"/>
    <w:rsid w:val="001C23D7"/>
    <w:rsid w:val="001C3E24"/>
    <w:rsid w:val="001C42EA"/>
    <w:rsid w:val="001C434F"/>
    <w:rsid w:val="001C458E"/>
    <w:rsid w:val="001C462F"/>
    <w:rsid w:val="001C708F"/>
    <w:rsid w:val="001D032D"/>
    <w:rsid w:val="001D1920"/>
    <w:rsid w:val="001D2FFD"/>
    <w:rsid w:val="001D30B4"/>
    <w:rsid w:val="001D52A9"/>
    <w:rsid w:val="001D5CCA"/>
    <w:rsid w:val="001D63AF"/>
    <w:rsid w:val="001D693E"/>
    <w:rsid w:val="001D6CE5"/>
    <w:rsid w:val="001D72B4"/>
    <w:rsid w:val="001E09D6"/>
    <w:rsid w:val="001E2022"/>
    <w:rsid w:val="001E34A8"/>
    <w:rsid w:val="001E3CA1"/>
    <w:rsid w:val="001E49B5"/>
    <w:rsid w:val="001F100D"/>
    <w:rsid w:val="001F508A"/>
    <w:rsid w:val="001F5A2A"/>
    <w:rsid w:val="002004A7"/>
    <w:rsid w:val="002030E1"/>
    <w:rsid w:val="00203F1B"/>
    <w:rsid w:val="00204AA6"/>
    <w:rsid w:val="002071A9"/>
    <w:rsid w:val="002075CF"/>
    <w:rsid w:val="002078C5"/>
    <w:rsid w:val="00210C4A"/>
    <w:rsid w:val="00212DA3"/>
    <w:rsid w:val="002134BB"/>
    <w:rsid w:val="00213A34"/>
    <w:rsid w:val="0021482A"/>
    <w:rsid w:val="0021576A"/>
    <w:rsid w:val="00215D60"/>
    <w:rsid w:val="00215EF5"/>
    <w:rsid w:val="0021600D"/>
    <w:rsid w:val="00217E8D"/>
    <w:rsid w:val="00221D7E"/>
    <w:rsid w:val="00225275"/>
    <w:rsid w:val="002303A5"/>
    <w:rsid w:val="00231839"/>
    <w:rsid w:val="00232446"/>
    <w:rsid w:val="002324A1"/>
    <w:rsid w:val="0023450C"/>
    <w:rsid w:val="00234CBD"/>
    <w:rsid w:val="00234DB4"/>
    <w:rsid w:val="002350E5"/>
    <w:rsid w:val="002360C9"/>
    <w:rsid w:val="002365F1"/>
    <w:rsid w:val="00236B26"/>
    <w:rsid w:val="00237195"/>
    <w:rsid w:val="00237439"/>
    <w:rsid w:val="00237A82"/>
    <w:rsid w:val="00241214"/>
    <w:rsid w:val="00242ACE"/>
    <w:rsid w:val="00243B78"/>
    <w:rsid w:val="00243C2F"/>
    <w:rsid w:val="00245158"/>
    <w:rsid w:val="00245F50"/>
    <w:rsid w:val="00247C16"/>
    <w:rsid w:val="00250427"/>
    <w:rsid w:val="00251BF3"/>
    <w:rsid w:val="002527ED"/>
    <w:rsid w:val="00253439"/>
    <w:rsid w:val="0025373F"/>
    <w:rsid w:val="00253A8B"/>
    <w:rsid w:val="00253B62"/>
    <w:rsid w:val="00256B98"/>
    <w:rsid w:val="00256FF5"/>
    <w:rsid w:val="0025753C"/>
    <w:rsid w:val="00257840"/>
    <w:rsid w:val="00260131"/>
    <w:rsid w:val="00263541"/>
    <w:rsid w:val="0026480D"/>
    <w:rsid w:val="00264ECD"/>
    <w:rsid w:val="0026649A"/>
    <w:rsid w:val="002667C7"/>
    <w:rsid w:val="00266E2C"/>
    <w:rsid w:val="0026752A"/>
    <w:rsid w:val="00267683"/>
    <w:rsid w:val="00270930"/>
    <w:rsid w:val="002714AC"/>
    <w:rsid w:val="002721E4"/>
    <w:rsid w:val="00272FF2"/>
    <w:rsid w:val="00275F32"/>
    <w:rsid w:val="00276403"/>
    <w:rsid w:val="00277C53"/>
    <w:rsid w:val="002818B2"/>
    <w:rsid w:val="0028341E"/>
    <w:rsid w:val="002836F1"/>
    <w:rsid w:val="00283B3E"/>
    <w:rsid w:val="00284F06"/>
    <w:rsid w:val="00286373"/>
    <w:rsid w:val="002864D2"/>
    <w:rsid w:val="00290214"/>
    <w:rsid w:val="0029062F"/>
    <w:rsid w:val="00291708"/>
    <w:rsid w:val="00291B78"/>
    <w:rsid w:val="00292AB5"/>
    <w:rsid w:val="002932A8"/>
    <w:rsid w:val="002A09C0"/>
    <w:rsid w:val="002A2F49"/>
    <w:rsid w:val="002A31BC"/>
    <w:rsid w:val="002A5C93"/>
    <w:rsid w:val="002A6E34"/>
    <w:rsid w:val="002B311B"/>
    <w:rsid w:val="002B4CB2"/>
    <w:rsid w:val="002B4DAC"/>
    <w:rsid w:val="002B4E85"/>
    <w:rsid w:val="002B77BA"/>
    <w:rsid w:val="002B7BCC"/>
    <w:rsid w:val="002B7C94"/>
    <w:rsid w:val="002C04D9"/>
    <w:rsid w:val="002C1067"/>
    <w:rsid w:val="002C2E46"/>
    <w:rsid w:val="002C359B"/>
    <w:rsid w:val="002D02D3"/>
    <w:rsid w:val="002D0DBD"/>
    <w:rsid w:val="002D1C2E"/>
    <w:rsid w:val="002D368D"/>
    <w:rsid w:val="002D49D3"/>
    <w:rsid w:val="002D53C4"/>
    <w:rsid w:val="002D5A1A"/>
    <w:rsid w:val="002D60D4"/>
    <w:rsid w:val="002D717C"/>
    <w:rsid w:val="002D7514"/>
    <w:rsid w:val="002D7C05"/>
    <w:rsid w:val="002E2884"/>
    <w:rsid w:val="002E3317"/>
    <w:rsid w:val="002E41AE"/>
    <w:rsid w:val="002E4CA6"/>
    <w:rsid w:val="002E5BC6"/>
    <w:rsid w:val="002E6C39"/>
    <w:rsid w:val="002E7190"/>
    <w:rsid w:val="002F1509"/>
    <w:rsid w:val="002F2D85"/>
    <w:rsid w:val="002F3CD1"/>
    <w:rsid w:val="002F41A9"/>
    <w:rsid w:val="002F4367"/>
    <w:rsid w:val="002F5062"/>
    <w:rsid w:val="002F5C71"/>
    <w:rsid w:val="002F6D15"/>
    <w:rsid w:val="002F6E36"/>
    <w:rsid w:val="002F753D"/>
    <w:rsid w:val="00300B56"/>
    <w:rsid w:val="00301D63"/>
    <w:rsid w:val="003031C7"/>
    <w:rsid w:val="003035D0"/>
    <w:rsid w:val="003041A5"/>
    <w:rsid w:val="003051E2"/>
    <w:rsid w:val="003057B4"/>
    <w:rsid w:val="003065FA"/>
    <w:rsid w:val="0030673D"/>
    <w:rsid w:val="00307360"/>
    <w:rsid w:val="00310964"/>
    <w:rsid w:val="00310F7A"/>
    <w:rsid w:val="00311AE0"/>
    <w:rsid w:val="00312072"/>
    <w:rsid w:val="003123FA"/>
    <w:rsid w:val="003136FD"/>
    <w:rsid w:val="00313CA4"/>
    <w:rsid w:val="003141CD"/>
    <w:rsid w:val="003168E0"/>
    <w:rsid w:val="00317889"/>
    <w:rsid w:val="003307F8"/>
    <w:rsid w:val="00331212"/>
    <w:rsid w:val="00332053"/>
    <w:rsid w:val="00332CF5"/>
    <w:rsid w:val="00333A9A"/>
    <w:rsid w:val="00335D5E"/>
    <w:rsid w:val="003375A3"/>
    <w:rsid w:val="003376D7"/>
    <w:rsid w:val="00341C8F"/>
    <w:rsid w:val="00344772"/>
    <w:rsid w:val="00345024"/>
    <w:rsid w:val="00346792"/>
    <w:rsid w:val="00346893"/>
    <w:rsid w:val="00346C0C"/>
    <w:rsid w:val="003473F3"/>
    <w:rsid w:val="0034746A"/>
    <w:rsid w:val="003508BF"/>
    <w:rsid w:val="0035190D"/>
    <w:rsid w:val="00354B43"/>
    <w:rsid w:val="00354C86"/>
    <w:rsid w:val="00354E4F"/>
    <w:rsid w:val="00354F31"/>
    <w:rsid w:val="00355234"/>
    <w:rsid w:val="00356021"/>
    <w:rsid w:val="003569F7"/>
    <w:rsid w:val="003575BE"/>
    <w:rsid w:val="00357BD1"/>
    <w:rsid w:val="00360847"/>
    <w:rsid w:val="00360E03"/>
    <w:rsid w:val="003621DA"/>
    <w:rsid w:val="00362A41"/>
    <w:rsid w:val="0036380E"/>
    <w:rsid w:val="0036511A"/>
    <w:rsid w:val="0036585E"/>
    <w:rsid w:val="00366E90"/>
    <w:rsid w:val="00373763"/>
    <w:rsid w:val="003738AB"/>
    <w:rsid w:val="00374FE4"/>
    <w:rsid w:val="00377C0E"/>
    <w:rsid w:val="003805D8"/>
    <w:rsid w:val="00380FC7"/>
    <w:rsid w:val="00381A2C"/>
    <w:rsid w:val="00381ED2"/>
    <w:rsid w:val="003837BB"/>
    <w:rsid w:val="00383EF3"/>
    <w:rsid w:val="00385FE1"/>
    <w:rsid w:val="00385FE7"/>
    <w:rsid w:val="00386D02"/>
    <w:rsid w:val="00391580"/>
    <w:rsid w:val="003917DE"/>
    <w:rsid w:val="00392A9C"/>
    <w:rsid w:val="003958FF"/>
    <w:rsid w:val="0039676B"/>
    <w:rsid w:val="00397C5E"/>
    <w:rsid w:val="003A1984"/>
    <w:rsid w:val="003A1B28"/>
    <w:rsid w:val="003A2985"/>
    <w:rsid w:val="003A2F9C"/>
    <w:rsid w:val="003A5A22"/>
    <w:rsid w:val="003A672B"/>
    <w:rsid w:val="003A6D96"/>
    <w:rsid w:val="003A7EB0"/>
    <w:rsid w:val="003B0ABE"/>
    <w:rsid w:val="003B12E4"/>
    <w:rsid w:val="003B23C2"/>
    <w:rsid w:val="003B2DAA"/>
    <w:rsid w:val="003B3FC2"/>
    <w:rsid w:val="003B446A"/>
    <w:rsid w:val="003B5665"/>
    <w:rsid w:val="003B5DD7"/>
    <w:rsid w:val="003B618E"/>
    <w:rsid w:val="003B739A"/>
    <w:rsid w:val="003B786F"/>
    <w:rsid w:val="003C30FF"/>
    <w:rsid w:val="003C3BEF"/>
    <w:rsid w:val="003C4C2D"/>
    <w:rsid w:val="003C4D7F"/>
    <w:rsid w:val="003C7CFE"/>
    <w:rsid w:val="003D167D"/>
    <w:rsid w:val="003D2737"/>
    <w:rsid w:val="003D38CD"/>
    <w:rsid w:val="003D4854"/>
    <w:rsid w:val="003D5461"/>
    <w:rsid w:val="003D5F23"/>
    <w:rsid w:val="003D610F"/>
    <w:rsid w:val="003D6514"/>
    <w:rsid w:val="003E0181"/>
    <w:rsid w:val="003E0275"/>
    <w:rsid w:val="003E02B7"/>
    <w:rsid w:val="003E1DCF"/>
    <w:rsid w:val="003E2D4F"/>
    <w:rsid w:val="003E3CD7"/>
    <w:rsid w:val="003E597A"/>
    <w:rsid w:val="003E63CE"/>
    <w:rsid w:val="003E6B2B"/>
    <w:rsid w:val="003E76B8"/>
    <w:rsid w:val="003F274C"/>
    <w:rsid w:val="003F2834"/>
    <w:rsid w:val="003F2FE3"/>
    <w:rsid w:val="003F3042"/>
    <w:rsid w:val="003F3ECC"/>
    <w:rsid w:val="003F56F4"/>
    <w:rsid w:val="003F5E14"/>
    <w:rsid w:val="003F7E8B"/>
    <w:rsid w:val="00400C0A"/>
    <w:rsid w:val="00400E15"/>
    <w:rsid w:val="004019B1"/>
    <w:rsid w:val="00401A28"/>
    <w:rsid w:val="00402102"/>
    <w:rsid w:val="004029A6"/>
    <w:rsid w:val="00402AED"/>
    <w:rsid w:val="00402B5C"/>
    <w:rsid w:val="00403410"/>
    <w:rsid w:val="004037A4"/>
    <w:rsid w:val="004050BF"/>
    <w:rsid w:val="00405BCE"/>
    <w:rsid w:val="00410940"/>
    <w:rsid w:val="00410BB4"/>
    <w:rsid w:val="0041342B"/>
    <w:rsid w:val="00413C4F"/>
    <w:rsid w:val="004140AD"/>
    <w:rsid w:val="00414250"/>
    <w:rsid w:val="00415334"/>
    <w:rsid w:val="004157B5"/>
    <w:rsid w:val="00415DBC"/>
    <w:rsid w:val="0042010C"/>
    <w:rsid w:val="004201EE"/>
    <w:rsid w:val="004220C7"/>
    <w:rsid w:val="004226DD"/>
    <w:rsid w:val="00423BAB"/>
    <w:rsid w:val="00424C81"/>
    <w:rsid w:val="00425C9D"/>
    <w:rsid w:val="0042623F"/>
    <w:rsid w:val="0042790D"/>
    <w:rsid w:val="00430615"/>
    <w:rsid w:val="00431751"/>
    <w:rsid w:val="00432067"/>
    <w:rsid w:val="00432333"/>
    <w:rsid w:val="004326D3"/>
    <w:rsid w:val="00432CBF"/>
    <w:rsid w:val="004348FA"/>
    <w:rsid w:val="00434EFF"/>
    <w:rsid w:val="0043547F"/>
    <w:rsid w:val="00435E0F"/>
    <w:rsid w:val="0043601D"/>
    <w:rsid w:val="00436E5B"/>
    <w:rsid w:val="004402AE"/>
    <w:rsid w:val="004407ED"/>
    <w:rsid w:val="00440854"/>
    <w:rsid w:val="00441B2B"/>
    <w:rsid w:val="004426E8"/>
    <w:rsid w:val="0044272A"/>
    <w:rsid w:val="00443665"/>
    <w:rsid w:val="0044380D"/>
    <w:rsid w:val="00443D02"/>
    <w:rsid w:val="00446C4F"/>
    <w:rsid w:val="00447127"/>
    <w:rsid w:val="004475AC"/>
    <w:rsid w:val="00447ED4"/>
    <w:rsid w:val="004514FA"/>
    <w:rsid w:val="004534B9"/>
    <w:rsid w:val="00455798"/>
    <w:rsid w:val="0046280C"/>
    <w:rsid w:val="00462EDB"/>
    <w:rsid w:val="00462FF1"/>
    <w:rsid w:val="00463A94"/>
    <w:rsid w:val="00463A98"/>
    <w:rsid w:val="00466BE3"/>
    <w:rsid w:val="00466DF7"/>
    <w:rsid w:val="004672CB"/>
    <w:rsid w:val="00467BE6"/>
    <w:rsid w:val="00467E59"/>
    <w:rsid w:val="00472241"/>
    <w:rsid w:val="004725BC"/>
    <w:rsid w:val="004755A5"/>
    <w:rsid w:val="004764E0"/>
    <w:rsid w:val="00476990"/>
    <w:rsid w:val="00483375"/>
    <w:rsid w:val="004835C6"/>
    <w:rsid w:val="0048501B"/>
    <w:rsid w:val="00485356"/>
    <w:rsid w:val="00485D18"/>
    <w:rsid w:val="00486E87"/>
    <w:rsid w:val="00486EF6"/>
    <w:rsid w:val="00487523"/>
    <w:rsid w:val="00487525"/>
    <w:rsid w:val="004876E5"/>
    <w:rsid w:val="00487778"/>
    <w:rsid w:val="004900F5"/>
    <w:rsid w:val="004909AA"/>
    <w:rsid w:val="00490D04"/>
    <w:rsid w:val="00492CF5"/>
    <w:rsid w:val="00493EF3"/>
    <w:rsid w:val="0049418C"/>
    <w:rsid w:val="00494349"/>
    <w:rsid w:val="0049444E"/>
    <w:rsid w:val="004946BA"/>
    <w:rsid w:val="004948C3"/>
    <w:rsid w:val="00494B00"/>
    <w:rsid w:val="004959A0"/>
    <w:rsid w:val="004A254B"/>
    <w:rsid w:val="004A2974"/>
    <w:rsid w:val="004A7DA5"/>
    <w:rsid w:val="004A7E92"/>
    <w:rsid w:val="004B0B74"/>
    <w:rsid w:val="004B119C"/>
    <w:rsid w:val="004B45FF"/>
    <w:rsid w:val="004B4A5B"/>
    <w:rsid w:val="004B5A04"/>
    <w:rsid w:val="004B5F95"/>
    <w:rsid w:val="004B71FA"/>
    <w:rsid w:val="004B7DE9"/>
    <w:rsid w:val="004C281B"/>
    <w:rsid w:val="004C2BD3"/>
    <w:rsid w:val="004C377D"/>
    <w:rsid w:val="004C40C3"/>
    <w:rsid w:val="004C57AE"/>
    <w:rsid w:val="004C6787"/>
    <w:rsid w:val="004D01AB"/>
    <w:rsid w:val="004D0EF9"/>
    <w:rsid w:val="004D228E"/>
    <w:rsid w:val="004D22F1"/>
    <w:rsid w:val="004D3525"/>
    <w:rsid w:val="004D5698"/>
    <w:rsid w:val="004D5C09"/>
    <w:rsid w:val="004D5EF8"/>
    <w:rsid w:val="004D6730"/>
    <w:rsid w:val="004E0199"/>
    <w:rsid w:val="004E13F0"/>
    <w:rsid w:val="004E183A"/>
    <w:rsid w:val="004E2464"/>
    <w:rsid w:val="004E2D81"/>
    <w:rsid w:val="004E338D"/>
    <w:rsid w:val="004E3D02"/>
    <w:rsid w:val="004E4D6B"/>
    <w:rsid w:val="004E5191"/>
    <w:rsid w:val="004E5497"/>
    <w:rsid w:val="004E7B43"/>
    <w:rsid w:val="004F0AD1"/>
    <w:rsid w:val="004F3668"/>
    <w:rsid w:val="004F40B5"/>
    <w:rsid w:val="004F41AF"/>
    <w:rsid w:val="004F6C06"/>
    <w:rsid w:val="004F6D44"/>
    <w:rsid w:val="004F763B"/>
    <w:rsid w:val="004F7971"/>
    <w:rsid w:val="004F7BFF"/>
    <w:rsid w:val="00500335"/>
    <w:rsid w:val="00500839"/>
    <w:rsid w:val="00500BAD"/>
    <w:rsid w:val="005017BC"/>
    <w:rsid w:val="00501B3A"/>
    <w:rsid w:val="00502D86"/>
    <w:rsid w:val="00502DB4"/>
    <w:rsid w:val="0050301A"/>
    <w:rsid w:val="00505478"/>
    <w:rsid w:val="005055E5"/>
    <w:rsid w:val="00505D00"/>
    <w:rsid w:val="00505FB5"/>
    <w:rsid w:val="00506FC3"/>
    <w:rsid w:val="00507FA1"/>
    <w:rsid w:val="00510EA4"/>
    <w:rsid w:val="005114E2"/>
    <w:rsid w:val="0051161F"/>
    <w:rsid w:val="0051258F"/>
    <w:rsid w:val="005148A5"/>
    <w:rsid w:val="00515506"/>
    <w:rsid w:val="0051737C"/>
    <w:rsid w:val="005179DC"/>
    <w:rsid w:val="00517B16"/>
    <w:rsid w:val="00520077"/>
    <w:rsid w:val="005202B7"/>
    <w:rsid w:val="00521024"/>
    <w:rsid w:val="0052335A"/>
    <w:rsid w:val="005246A1"/>
    <w:rsid w:val="00525C69"/>
    <w:rsid w:val="00527174"/>
    <w:rsid w:val="00531C8A"/>
    <w:rsid w:val="00531F56"/>
    <w:rsid w:val="00532E7E"/>
    <w:rsid w:val="005333B1"/>
    <w:rsid w:val="00534E6B"/>
    <w:rsid w:val="0053655A"/>
    <w:rsid w:val="00536D25"/>
    <w:rsid w:val="00537486"/>
    <w:rsid w:val="0054034E"/>
    <w:rsid w:val="005405F5"/>
    <w:rsid w:val="00541259"/>
    <w:rsid w:val="00542DCF"/>
    <w:rsid w:val="00543032"/>
    <w:rsid w:val="00543824"/>
    <w:rsid w:val="005439F3"/>
    <w:rsid w:val="00544250"/>
    <w:rsid w:val="005449C3"/>
    <w:rsid w:val="00545D38"/>
    <w:rsid w:val="00545EDC"/>
    <w:rsid w:val="00545FBB"/>
    <w:rsid w:val="00546579"/>
    <w:rsid w:val="0055072A"/>
    <w:rsid w:val="00550A77"/>
    <w:rsid w:val="005514EC"/>
    <w:rsid w:val="005517F4"/>
    <w:rsid w:val="005536E6"/>
    <w:rsid w:val="00553FF6"/>
    <w:rsid w:val="00555554"/>
    <w:rsid w:val="00555C9E"/>
    <w:rsid w:val="00556569"/>
    <w:rsid w:val="00556E17"/>
    <w:rsid w:val="0055741D"/>
    <w:rsid w:val="00557CB0"/>
    <w:rsid w:val="00560D9C"/>
    <w:rsid w:val="0056244B"/>
    <w:rsid w:val="005631DF"/>
    <w:rsid w:val="005642F3"/>
    <w:rsid w:val="00566F35"/>
    <w:rsid w:val="005704BA"/>
    <w:rsid w:val="00570629"/>
    <w:rsid w:val="0057157D"/>
    <w:rsid w:val="005726A6"/>
    <w:rsid w:val="00575853"/>
    <w:rsid w:val="005759B5"/>
    <w:rsid w:val="00575C8D"/>
    <w:rsid w:val="005760E7"/>
    <w:rsid w:val="0057635B"/>
    <w:rsid w:val="0057649E"/>
    <w:rsid w:val="00576992"/>
    <w:rsid w:val="005830B2"/>
    <w:rsid w:val="005842B2"/>
    <w:rsid w:val="005910BA"/>
    <w:rsid w:val="005921B6"/>
    <w:rsid w:val="00594883"/>
    <w:rsid w:val="00596613"/>
    <w:rsid w:val="00596E7B"/>
    <w:rsid w:val="00597CCB"/>
    <w:rsid w:val="005A07EA"/>
    <w:rsid w:val="005A54C0"/>
    <w:rsid w:val="005B3A88"/>
    <w:rsid w:val="005B3B4E"/>
    <w:rsid w:val="005B3F5B"/>
    <w:rsid w:val="005B4102"/>
    <w:rsid w:val="005B475A"/>
    <w:rsid w:val="005B477E"/>
    <w:rsid w:val="005B4828"/>
    <w:rsid w:val="005B5370"/>
    <w:rsid w:val="005B5EDE"/>
    <w:rsid w:val="005C12C5"/>
    <w:rsid w:val="005C1A47"/>
    <w:rsid w:val="005C35C0"/>
    <w:rsid w:val="005C49E8"/>
    <w:rsid w:val="005C5104"/>
    <w:rsid w:val="005C6926"/>
    <w:rsid w:val="005C767A"/>
    <w:rsid w:val="005C7FBB"/>
    <w:rsid w:val="005D083E"/>
    <w:rsid w:val="005D3DDC"/>
    <w:rsid w:val="005D55ED"/>
    <w:rsid w:val="005D71D6"/>
    <w:rsid w:val="005D769B"/>
    <w:rsid w:val="005E00D2"/>
    <w:rsid w:val="005E17A0"/>
    <w:rsid w:val="005E1AE8"/>
    <w:rsid w:val="005E2862"/>
    <w:rsid w:val="005E2CD3"/>
    <w:rsid w:val="005E3FE5"/>
    <w:rsid w:val="005E4CAE"/>
    <w:rsid w:val="005E530A"/>
    <w:rsid w:val="005E57C6"/>
    <w:rsid w:val="005E70CC"/>
    <w:rsid w:val="005E7709"/>
    <w:rsid w:val="005F0579"/>
    <w:rsid w:val="005F1968"/>
    <w:rsid w:val="005F2074"/>
    <w:rsid w:val="005F253A"/>
    <w:rsid w:val="005F2A2A"/>
    <w:rsid w:val="005F30F6"/>
    <w:rsid w:val="005F3921"/>
    <w:rsid w:val="005F457C"/>
    <w:rsid w:val="005F490E"/>
    <w:rsid w:val="005F6728"/>
    <w:rsid w:val="005F69A0"/>
    <w:rsid w:val="00600475"/>
    <w:rsid w:val="006015F8"/>
    <w:rsid w:val="00602799"/>
    <w:rsid w:val="006037DC"/>
    <w:rsid w:val="006054ED"/>
    <w:rsid w:val="00605BDD"/>
    <w:rsid w:val="0060613E"/>
    <w:rsid w:val="006101B6"/>
    <w:rsid w:val="006126BD"/>
    <w:rsid w:val="00612742"/>
    <w:rsid w:val="00612F3B"/>
    <w:rsid w:val="0061607C"/>
    <w:rsid w:val="006161EE"/>
    <w:rsid w:val="00616783"/>
    <w:rsid w:val="006171E4"/>
    <w:rsid w:val="00617991"/>
    <w:rsid w:val="00617FDD"/>
    <w:rsid w:val="0062200A"/>
    <w:rsid w:val="00623A80"/>
    <w:rsid w:val="006248DC"/>
    <w:rsid w:val="006261EF"/>
    <w:rsid w:val="00627B10"/>
    <w:rsid w:val="00630377"/>
    <w:rsid w:val="00633AE4"/>
    <w:rsid w:val="0063468E"/>
    <w:rsid w:val="00635C9C"/>
    <w:rsid w:val="00635EFB"/>
    <w:rsid w:val="006360F4"/>
    <w:rsid w:val="00636CB4"/>
    <w:rsid w:val="006372EB"/>
    <w:rsid w:val="00637509"/>
    <w:rsid w:val="00640CC9"/>
    <w:rsid w:val="00643C48"/>
    <w:rsid w:val="006441DD"/>
    <w:rsid w:val="00647505"/>
    <w:rsid w:val="00647952"/>
    <w:rsid w:val="00650C8A"/>
    <w:rsid w:val="00652902"/>
    <w:rsid w:val="00653386"/>
    <w:rsid w:val="00655222"/>
    <w:rsid w:val="0065653B"/>
    <w:rsid w:val="006614D4"/>
    <w:rsid w:val="0066456F"/>
    <w:rsid w:val="0066623B"/>
    <w:rsid w:val="00666633"/>
    <w:rsid w:val="00670895"/>
    <w:rsid w:val="0067153D"/>
    <w:rsid w:val="0067231A"/>
    <w:rsid w:val="00673BEA"/>
    <w:rsid w:val="00673EDD"/>
    <w:rsid w:val="00674D9B"/>
    <w:rsid w:val="006756A0"/>
    <w:rsid w:val="006759DA"/>
    <w:rsid w:val="00675F88"/>
    <w:rsid w:val="006765A0"/>
    <w:rsid w:val="006813A9"/>
    <w:rsid w:val="00681CB8"/>
    <w:rsid w:val="0068261C"/>
    <w:rsid w:val="00683B86"/>
    <w:rsid w:val="00683BA9"/>
    <w:rsid w:val="0068698F"/>
    <w:rsid w:val="00686CCE"/>
    <w:rsid w:val="006871D1"/>
    <w:rsid w:val="00692501"/>
    <w:rsid w:val="00692662"/>
    <w:rsid w:val="00693583"/>
    <w:rsid w:val="00694103"/>
    <w:rsid w:val="006970B3"/>
    <w:rsid w:val="006A07DA"/>
    <w:rsid w:val="006A18AC"/>
    <w:rsid w:val="006A2348"/>
    <w:rsid w:val="006A3BC1"/>
    <w:rsid w:val="006A3C34"/>
    <w:rsid w:val="006A573C"/>
    <w:rsid w:val="006A673C"/>
    <w:rsid w:val="006A6D36"/>
    <w:rsid w:val="006B115C"/>
    <w:rsid w:val="006B294A"/>
    <w:rsid w:val="006B2D8C"/>
    <w:rsid w:val="006B383F"/>
    <w:rsid w:val="006B5519"/>
    <w:rsid w:val="006B553B"/>
    <w:rsid w:val="006B6D35"/>
    <w:rsid w:val="006C0C78"/>
    <w:rsid w:val="006C1592"/>
    <w:rsid w:val="006C1F11"/>
    <w:rsid w:val="006C2822"/>
    <w:rsid w:val="006C3684"/>
    <w:rsid w:val="006C5C53"/>
    <w:rsid w:val="006C6D42"/>
    <w:rsid w:val="006D0C2A"/>
    <w:rsid w:val="006D1BE2"/>
    <w:rsid w:val="006D2489"/>
    <w:rsid w:val="006D2686"/>
    <w:rsid w:val="006D3E4C"/>
    <w:rsid w:val="006D3EE5"/>
    <w:rsid w:val="006D683D"/>
    <w:rsid w:val="006D6A67"/>
    <w:rsid w:val="006D7A7F"/>
    <w:rsid w:val="006E14F9"/>
    <w:rsid w:val="006E1CF3"/>
    <w:rsid w:val="006E25EA"/>
    <w:rsid w:val="006E2F66"/>
    <w:rsid w:val="006E5586"/>
    <w:rsid w:val="006E5F66"/>
    <w:rsid w:val="006E64D4"/>
    <w:rsid w:val="006F03B1"/>
    <w:rsid w:val="006F1611"/>
    <w:rsid w:val="006F3023"/>
    <w:rsid w:val="006F3B23"/>
    <w:rsid w:val="006F7965"/>
    <w:rsid w:val="00702650"/>
    <w:rsid w:val="007032A5"/>
    <w:rsid w:val="00703AB5"/>
    <w:rsid w:val="00704578"/>
    <w:rsid w:val="00705B0B"/>
    <w:rsid w:val="00705D1E"/>
    <w:rsid w:val="0070785F"/>
    <w:rsid w:val="00707F21"/>
    <w:rsid w:val="00707F23"/>
    <w:rsid w:val="00710EB0"/>
    <w:rsid w:val="00711103"/>
    <w:rsid w:val="0071184A"/>
    <w:rsid w:val="00713E18"/>
    <w:rsid w:val="00716421"/>
    <w:rsid w:val="0071646C"/>
    <w:rsid w:val="007167EE"/>
    <w:rsid w:val="007176D3"/>
    <w:rsid w:val="00717E3A"/>
    <w:rsid w:val="007208D5"/>
    <w:rsid w:val="007228F9"/>
    <w:rsid w:val="00722CAD"/>
    <w:rsid w:val="00722D78"/>
    <w:rsid w:val="0072381B"/>
    <w:rsid w:val="0072484E"/>
    <w:rsid w:val="00725283"/>
    <w:rsid w:val="00726D73"/>
    <w:rsid w:val="00727F9F"/>
    <w:rsid w:val="0073067F"/>
    <w:rsid w:val="007307C8"/>
    <w:rsid w:val="007325ED"/>
    <w:rsid w:val="0073350A"/>
    <w:rsid w:val="00736541"/>
    <w:rsid w:val="007374B7"/>
    <w:rsid w:val="0074112B"/>
    <w:rsid w:val="00741563"/>
    <w:rsid w:val="007427F7"/>
    <w:rsid w:val="00742B07"/>
    <w:rsid w:val="00742F86"/>
    <w:rsid w:val="0074497C"/>
    <w:rsid w:val="00744C71"/>
    <w:rsid w:val="0074589C"/>
    <w:rsid w:val="007462EF"/>
    <w:rsid w:val="0074670F"/>
    <w:rsid w:val="00750B5A"/>
    <w:rsid w:val="0075622C"/>
    <w:rsid w:val="007565F7"/>
    <w:rsid w:val="007570E4"/>
    <w:rsid w:val="007611B5"/>
    <w:rsid w:val="00763389"/>
    <w:rsid w:val="00763BC4"/>
    <w:rsid w:val="00764123"/>
    <w:rsid w:val="00764A12"/>
    <w:rsid w:val="0076609D"/>
    <w:rsid w:val="007676F2"/>
    <w:rsid w:val="00770992"/>
    <w:rsid w:val="00771734"/>
    <w:rsid w:val="007724FC"/>
    <w:rsid w:val="00773CD2"/>
    <w:rsid w:val="00773E44"/>
    <w:rsid w:val="00773EFD"/>
    <w:rsid w:val="007747C9"/>
    <w:rsid w:val="007763EC"/>
    <w:rsid w:val="00781D16"/>
    <w:rsid w:val="007835EF"/>
    <w:rsid w:val="007845CC"/>
    <w:rsid w:val="0078464F"/>
    <w:rsid w:val="007853FD"/>
    <w:rsid w:val="00785478"/>
    <w:rsid w:val="0078647F"/>
    <w:rsid w:val="00786671"/>
    <w:rsid w:val="00786EE9"/>
    <w:rsid w:val="007873B8"/>
    <w:rsid w:val="00787BBD"/>
    <w:rsid w:val="00791960"/>
    <w:rsid w:val="0079407F"/>
    <w:rsid w:val="007946F1"/>
    <w:rsid w:val="007948E7"/>
    <w:rsid w:val="00794B3A"/>
    <w:rsid w:val="0079563F"/>
    <w:rsid w:val="00797708"/>
    <w:rsid w:val="007A0151"/>
    <w:rsid w:val="007A10B8"/>
    <w:rsid w:val="007A1560"/>
    <w:rsid w:val="007A1898"/>
    <w:rsid w:val="007A1DF7"/>
    <w:rsid w:val="007A394A"/>
    <w:rsid w:val="007A4202"/>
    <w:rsid w:val="007A4B2B"/>
    <w:rsid w:val="007A4F37"/>
    <w:rsid w:val="007A51B9"/>
    <w:rsid w:val="007A61C0"/>
    <w:rsid w:val="007A6E2C"/>
    <w:rsid w:val="007A7D90"/>
    <w:rsid w:val="007B0125"/>
    <w:rsid w:val="007B18D6"/>
    <w:rsid w:val="007B2640"/>
    <w:rsid w:val="007B2C9F"/>
    <w:rsid w:val="007B56EF"/>
    <w:rsid w:val="007B68B5"/>
    <w:rsid w:val="007C0914"/>
    <w:rsid w:val="007C0CD5"/>
    <w:rsid w:val="007C1179"/>
    <w:rsid w:val="007C1425"/>
    <w:rsid w:val="007C22BA"/>
    <w:rsid w:val="007C2C41"/>
    <w:rsid w:val="007C2D51"/>
    <w:rsid w:val="007C3114"/>
    <w:rsid w:val="007C3D92"/>
    <w:rsid w:val="007C4406"/>
    <w:rsid w:val="007C4A7F"/>
    <w:rsid w:val="007C683A"/>
    <w:rsid w:val="007D1F62"/>
    <w:rsid w:val="007D3288"/>
    <w:rsid w:val="007D3ACF"/>
    <w:rsid w:val="007D3E25"/>
    <w:rsid w:val="007D42F3"/>
    <w:rsid w:val="007D4CA3"/>
    <w:rsid w:val="007D6751"/>
    <w:rsid w:val="007D6CF3"/>
    <w:rsid w:val="007D7194"/>
    <w:rsid w:val="007E0597"/>
    <w:rsid w:val="007E072F"/>
    <w:rsid w:val="007E22EE"/>
    <w:rsid w:val="007E2510"/>
    <w:rsid w:val="007E253C"/>
    <w:rsid w:val="007E3C8F"/>
    <w:rsid w:val="007E6398"/>
    <w:rsid w:val="007E6796"/>
    <w:rsid w:val="007F0A57"/>
    <w:rsid w:val="007F0FF1"/>
    <w:rsid w:val="007F2ED6"/>
    <w:rsid w:val="007F3D3A"/>
    <w:rsid w:val="007F3F42"/>
    <w:rsid w:val="007F4862"/>
    <w:rsid w:val="007F5A5B"/>
    <w:rsid w:val="007F602E"/>
    <w:rsid w:val="0080058B"/>
    <w:rsid w:val="00801575"/>
    <w:rsid w:val="00802651"/>
    <w:rsid w:val="00803315"/>
    <w:rsid w:val="00803545"/>
    <w:rsid w:val="00804CBF"/>
    <w:rsid w:val="0080542B"/>
    <w:rsid w:val="00806B60"/>
    <w:rsid w:val="00807414"/>
    <w:rsid w:val="008078D2"/>
    <w:rsid w:val="00807A0B"/>
    <w:rsid w:val="008100D2"/>
    <w:rsid w:val="00811042"/>
    <w:rsid w:val="0081147F"/>
    <w:rsid w:val="00813ED7"/>
    <w:rsid w:val="00817434"/>
    <w:rsid w:val="00817F32"/>
    <w:rsid w:val="0082049B"/>
    <w:rsid w:val="0082111C"/>
    <w:rsid w:val="008232B7"/>
    <w:rsid w:val="00823579"/>
    <w:rsid w:val="0082401A"/>
    <w:rsid w:val="00824378"/>
    <w:rsid w:val="008261E2"/>
    <w:rsid w:val="008268BA"/>
    <w:rsid w:val="00827C44"/>
    <w:rsid w:val="00827DBD"/>
    <w:rsid w:val="00830151"/>
    <w:rsid w:val="0083196C"/>
    <w:rsid w:val="00833223"/>
    <w:rsid w:val="008342A3"/>
    <w:rsid w:val="00834487"/>
    <w:rsid w:val="00835B18"/>
    <w:rsid w:val="00835B4D"/>
    <w:rsid w:val="00835D79"/>
    <w:rsid w:val="00843593"/>
    <w:rsid w:val="00843D25"/>
    <w:rsid w:val="00844FE2"/>
    <w:rsid w:val="0084554F"/>
    <w:rsid w:val="00845D26"/>
    <w:rsid w:val="00846122"/>
    <w:rsid w:val="00847AD5"/>
    <w:rsid w:val="008502F8"/>
    <w:rsid w:val="00852B14"/>
    <w:rsid w:val="00855749"/>
    <w:rsid w:val="00863E9D"/>
    <w:rsid w:val="0086521B"/>
    <w:rsid w:val="0086639B"/>
    <w:rsid w:val="008666E7"/>
    <w:rsid w:val="00866F4D"/>
    <w:rsid w:val="00867594"/>
    <w:rsid w:val="008675DC"/>
    <w:rsid w:val="008712F6"/>
    <w:rsid w:val="00871DA3"/>
    <w:rsid w:val="00872803"/>
    <w:rsid w:val="00873172"/>
    <w:rsid w:val="00875431"/>
    <w:rsid w:val="00875471"/>
    <w:rsid w:val="0087567B"/>
    <w:rsid w:val="0087630B"/>
    <w:rsid w:val="008766D6"/>
    <w:rsid w:val="00876C98"/>
    <w:rsid w:val="00877ED2"/>
    <w:rsid w:val="00881E4B"/>
    <w:rsid w:val="008828FA"/>
    <w:rsid w:val="00882B83"/>
    <w:rsid w:val="008830E3"/>
    <w:rsid w:val="0088393D"/>
    <w:rsid w:val="00884440"/>
    <w:rsid w:val="00884578"/>
    <w:rsid w:val="00884978"/>
    <w:rsid w:val="008856A7"/>
    <w:rsid w:val="00885838"/>
    <w:rsid w:val="00886D8D"/>
    <w:rsid w:val="00890AB8"/>
    <w:rsid w:val="00892B33"/>
    <w:rsid w:val="00894882"/>
    <w:rsid w:val="00894DDB"/>
    <w:rsid w:val="00895067"/>
    <w:rsid w:val="00895CDD"/>
    <w:rsid w:val="00895EE5"/>
    <w:rsid w:val="008A07D2"/>
    <w:rsid w:val="008A1643"/>
    <w:rsid w:val="008A1774"/>
    <w:rsid w:val="008A24D1"/>
    <w:rsid w:val="008A39A2"/>
    <w:rsid w:val="008A3BFD"/>
    <w:rsid w:val="008A5119"/>
    <w:rsid w:val="008A76B6"/>
    <w:rsid w:val="008B2311"/>
    <w:rsid w:val="008B3BA8"/>
    <w:rsid w:val="008B3D94"/>
    <w:rsid w:val="008B67D6"/>
    <w:rsid w:val="008C038E"/>
    <w:rsid w:val="008C07A6"/>
    <w:rsid w:val="008C1957"/>
    <w:rsid w:val="008C1E0F"/>
    <w:rsid w:val="008C2254"/>
    <w:rsid w:val="008C2F90"/>
    <w:rsid w:val="008C30DC"/>
    <w:rsid w:val="008C3BD9"/>
    <w:rsid w:val="008C3F7B"/>
    <w:rsid w:val="008C54A1"/>
    <w:rsid w:val="008C5D43"/>
    <w:rsid w:val="008C62E9"/>
    <w:rsid w:val="008D0A85"/>
    <w:rsid w:val="008D1369"/>
    <w:rsid w:val="008D279A"/>
    <w:rsid w:val="008D2F5A"/>
    <w:rsid w:val="008D3C80"/>
    <w:rsid w:val="008D4664"/>
    <w:rsid w:val="008D49C7"/>
    <w:rsid w:val="008D4D08"/>
    <w:rsid w:val="008E006D"/>
    <w:rsid w:val="008E2B48"/>
    <w:rsid w:val="008E4B11"/>
    <w:rsid w:val="008E51B2"/>
    <w:rsid w:val="008E6030"/>
    <w:rsid w:val="008E7F5E"/>
    <w:rsid w:val="008F052D"/>
    <w:rsid w:val="008F16B7"/>
    <w:rsid w:val="008F1A05"/>
    <w:rsid w:val="008F1AE4"/>
    <w:rsid w:val="008F1AEC"/>
    <w:rsid w:val="008F2150"/>
    <w:rsid w:val="008F308A"/>
    <w:rsid w:val="008F3C82"/>
    <w:rsid w:val="008F400A"/>
    <w:rsid w:val="008F46E4"/>
    <w:rsid w:val="008F471D"/>
    <w:rsid w:val="008F7503"/>
    <w:rsid w:val="009038A9"/>
    <w:rsid w:val="00904C80"/>
    <w:rsid w:val="00905F67"/>
    <w:rsid w:val="00906214"/>
    <w:rsid w:val="00910385"/>
    <w:rsid w:val="00910831"/>
    <w:rsid w:val="00911C49"/>
    <w:rsid w:val="0091443F"/>
    <w:rsid w:val="0091573D"/>
    <w:rsid w:val="00916016"/>
    <w:rsid w:val="00917B64"/>
    <w:rsid w:val="00920F1E"/>
    <w:rsid w:val="00921794"/>
    <w:rsid w:val="0092182C"/>
    <w:rsid w:val="00922599"/>
    <w:rsid w:val="00923E62"/>
    <w:rsid w:val="00924956"/>
    <w:rsid w:val="00924A23"/>
    <w:rsid w:val="00925FC6"/>
    <w:rsid w:val="00926B98"/>
    <w:rsid w:val="00927EDC"/>
    <w:rsid w:val="00932F87"/>
    <w:rsid w:val="009332BB"/>
    <w:rsid w:val="00934A1C"/>
    <w:rsid w:val="00934F33"/>
    <w:rsid w:val="0093553C"/>
    <w:rsid w:val="0093770E"/>
    <w:rsid w:val="00937D1C"/>
    <w:rsid w:val="00945FAB"/>
    <w:rsid w:val="00947298"/>
    <w:rsid w:val="0094771A"/>
    <w:rsid w:val="00947A07"/>
    <w:rsid w:val="00947B05"/>
    <w:rsid w:val="00947ECC"/>
    <w:rsid w:val="00950403"/>
    <w:rsid w:val="009508E1"/>
    <w:rsid w:val="00951C0D"/>
    <w:rsid w:val="0095231E"/>
    <w:rsid w:val="00953197"/>
    <w:rsid w:val="00953923"/>
    <w:rsid w:val="00954197"/>
    <w:rsid w:val="009564AA"/>
    <w:rsid w:val="00956C87"/>
    <w:rsid w:val="00956C88"/>
    <w:rsid w:val="00960648"/>
    <w:rsid w:val="00960F94"/>
    <w:rsid w:val="00962483"/>
    <w:rsid w:val="00962B54"/>
    <w:rsid w:val="0096577E"/>
    <w:rsid w:val="00966A0C"/>
    <w:rsid w:val="00966A2A"/>
    <w:rsid w:val="00970C92"/>
    <w:rsid w:val="00971C08"/>
    <w:rsid w:val="00972FEC"/>
    <w:rsid w:val="009748E5"/>
    <w:rsid w:val="00976116"/>
    <w:rsid w:val="009763A8"/>
    <w:rsid w:val="00976652"/>
    <w:rsid w:val="00976D6F"/>
    <w:rsid w:val="0097700D"/>
    <w:rsid w:val="0097733E"/>
    <w:rsid w:val="00977635"/>
    <w:rsid w:val="009823ED"/>
    <w:rsid w:val="00982BEB"/>
    <w:rsid w:val="00983484"/>
    <w:rsid w:val="00983EB1"/>
    <w:rsid w:val="00983F8B"/>
    <w:rsid w:val="0098624D"/>
    <w:rsid w:val="009866BF"/>
    <w:rsid w:val="009868E6"/>
    <w:rsid w:val="009873A7"/>
    <w:rsid w:val="00987742"/>
    <w:rsid w:val="0099086F"/>
    <w:rsid w:val="009921D0"/>
    <w:rsid w:val="009924DE"/>
    <w:rsid w:val="0099473D"/>
    <w:rsid w:val="0099512A"/>
    <w:rsid w:val="0099567D"/>
    <w:rsid w:val="00996BB7"/>
    <w:rsid w:val="009A0533"/>
    <w:rsid w:val="009A1418"/>
    <w:rsid w:val="009A226C"/>
    <w:rsid w:val="009A3727"/>
    <w:rsid w:val="009A6598"/>
    <w:rsid w:val="009A7D2E"/>
    <w:rsid w:val="009B16DF"/>
    <w:rsid w:val="009B40F0"/>
    <w:rsid w:val="009B48F8"/>
    <w:rsid w:val="009B4D3B"/>
    <w:rsid w:val="009B50AD"/>
    <w:rsid w:val="009B6ED3"/>
    <w:rsid w:val="009C0C4D"/>
    <w:rsid w:val="009C0D7B"/>
    <w:rsid w:val="009C10A6"/>
    <w:rsid w:val="009C37E8"/>
    <w:rsid w:val="009C3CD0"/>
    <w:rsid w:val="009C5D6F"/>
    <w:rsid w:val="009C5FB9"/>
    <w:rsid w:val="009C7787"/>
    <w:rsid w:val="009D2D37"/>
    <w:rsid w:val="009D34C5"/>
    <w:rsid w:val="009D4F47"/>
    <w:rsid w:val="009D5194"/>
    <w:rsid w:val="009D562B"/>
    <w:rsid w:val="009D5F7A"/>
    <w:rsid w:val="009D6459"/>
    <w:rsid w:val="009E1BA1"/>
    <w:rsid w:val="009E33F3"/>
    <w:rsid w:val="009E36A2"/>
    <w:rsid w:val="009E4BB6"/>
    <w:rsid w:val="009E559E"/>
    <w:rsid w:val="009E67F3"/>
    <w:rsid w:val="009E69DE"/>
    <w:rsid w:val="009E7CF3"/>
    <w:rsid w:val="009E7DB4"/>
    <w:rsid w:val="009F061C"/>
    <w:rsid w:val="009F1699"/>
    <w:rsid w:val="009F1775"/>
    <w:rsid w:val="009F1892"/>
    <w:rsid w:val="009F2099"/>
    <w:rsid w:val="009F2762"/>
    <w:rsid w:val="009F2ECB"/>
    <w:rsid w:val="009F407D"/>
    <w:rsid w:val="009F52D8"/>
    <w:rsid w:val="009F5E70"/>
    <w:rsid w:val="00A00708"/>
    <w:rsid w:val="00A03384"/>
    <w:rsid w:val="00A05796"/>
    <w:rsid w:val="00A06455"/>
    <w:rsid w:val="00A0785C"/>
    <w:rsid w:val="00A07A49"/>
    <w:rsid w:val="00A10CFD"/>
    <w:rsid w:val="00A125F6"/>
    <w:rsid w:val="00A138CB"/>
    <w:rsid w:val="00A13CB2"/>
    <w:rsid w:val="00A14040"/>
    <w:rsid w:val="00A143F2"/>
    <w:rsid w:val="00A15AAC"/>
    <w:rsid w:val="00A16662"/>
    <w:rsid w:val="00A168C9"/>
    <w:rsid w:val="00A2040F"/>
    <w:rsid w:val="00A20678"/>
    <w:rsid w:val="00A22884"/>
    <w:rsid w:val="00A23501"/>
    <w:rsid w:val="00A23A3E"/>
    <w:rsid w:val="00A23FDF"/>
    <w:rsid w:val="00A24290"/>
    <w:rsid w:val="00A24E06"/>
    <w:rsid w:val="00A25ED8"/>
    <w:rsid w:val="00A26612"/>
    <w:rsid w:val="00A2757A"/>
    <w:rsid w:val="00A27E39"/>
    <w:rsid w:val="00A311E2"/>
    <w:rsid w:val="00A348DC"/>
    <w:rsid w:val="00A36536"/>
    <w:rsid w:val="00A37E8C"/>
    <w:rsid w:val="00A40598"/>
    <w:rsid w:val="00A40681"/>
    <w:rsid w:val="00A419B0"/>
    <w:rsid w:val="00A41A34"/>
    <w:rsid w:val="00A41C16"/>
    <w:rsid w:val="00A42AD5"/>
    <w:rsid w:val="00A42F19"/>
    <w:rsid w:val="00A436CB"/>
    <w:rsid w:val="00A439D3"/>
    <w:rsid w:val="00A43D85"/>
    <w:rsid w:val="00A50232"/>
    <w:rsid w:val="00A51015"/>
    <w:rsid w:val="00A525F9"/>
    <w:rsid w:val="00A54493"/>
    <w:rsid w:val="00A5500D"/>
    <w:rsid w:val="00A55141"/>
    <w:rsid w:val="00A552FB"/>
    <w:rsid w:val="00A55C88"/>
    <w:rsid w:val="00A5707E"/>
    <w:rsid w:val="00A57B3F"/>
    <w:rsid w:val="00A60E47"/>
    <w:rsid w:val="00A61A7B"/>
    <w:rsid w:val="00A620F0"/>
    <w:rsid w:val="00A6211D"/>
    <w:rsid w:val="00A62E3E"/>
    <w:rsid w:val="00A62F55"/>
    <w:rsid w:val="00A6493A"/>
    <w:rsid w:val="00A65F95"/>
    <w:rsid w:val="00A71C7E"/>
    <w:rsid w:val="00A7214A"/>
    <w:rsid w:val="00A72877"/>
    <w:rsid w:val="00A7364F"/>
    <w:rsid w:val="00A74528"/>
    <w:rsid w:val="00A74F33"/>
    <w:rsid w:val="00A766A2"/>
    <w:rsid w:val="00A8053A"/>
    <w:rsid w:val="00A8099C"/>
    <w:rsid w:val="00A81C6F"/>
    <w:rsid w:val="00A81FBA"/>
    <w:rsid w:val="00A82B63"/>
    <w:rsid w:val="00A82F03"/>
    <w:rsid w:val="00A8550A"/>
    <w:rsid w:val="00A857D9"/>
    <w:rsid w:val="00A86340"/>
    <w:rsid w:val="00A86B2E"/>
    <w:rsid w:val="00A870CB"/>
    <w:rsid w:val="00A8729E"/>
    <w:rsid w:val="00A87311"/>
    <w:rsid w:val="00A87402"/>
    <w:rsid w:val="00A87F9F"/>
    <w:rsid w:val="00A9068A"/>
    <w:rsid w:val="00A91DE5"/>
    <w:rsid w:val="00A91FB3"/>
    <w:rsid w:val="00A922A3"/>
    <w:rsid w:val="00A935A5"/>
    <w:rsid w:val="00A94552"/>
    <w:rsid w:val="00A95F2F"/>
    <w:rsid w:val="00A9680E"/>
    <w:rsid w:val="00AA1BB8"/>
    <w:rsid w:val="00AA2841"/>
    <w:rsid w:val="00AA39F2"/>
    <w:rsid w:val="00AA3C3F"/>
    <w:rsid w:val="00AA3E99"/>
    <w:rsid w:val="00AA4926"/>
    <w:rsid w:val="00AA581B"/>
    <w:rsid w:val="00AB01D4"/>
    <w:rsid w:val="00AB0421"/>
    <w:rsid w:val="00AB0453"/>
    <w:rsid w:val="00AB0C62"/>
    <w:rsid w:val="00AB0F2C"/>
    <w:rsid w:val="00AB0FFA"/>
    <w:rsid w:val="00AB1295"/>
    <w:rsid w:val="00AB13A8"/>
    <w:rsid w:val="00AB24C6"/>
    <w:rsid w:val="00AB3033"/>
    <w:rsid w:val="00AB3CD2"/>
    <w:rsid w:val="00AB4538"/>
    <w:rsid w:val="00AB62EF"/>
    <w:rsid w:val="00AB6A3E"/>
    <w:rsid w:val="00AB6B92"/>
    <w:rsid w:val="00AC125D"/>
    <w:rsid w:val="00AC1AE0"/>
    <w:rsid w:val="00AC3BBF"/>
    <w:rsid w:val="00AD116F"/>
    <w:rsid w:val="00AD25B9"/>
    <w:rsid w:val="00AD2A91"/>
    <w:rsid w:val="00AD2BC3"/>
    <w:rsid w:val="00AD36B4"/>
    <w:rsid w:val="00AD36CD"/>
    <w:rsid w:val="00AD3A4E"/>
    <w:rsid w:val="00AD3B43"/>
    <w:rsid w:val="00AD3ED0"/>
    <w:rsid w:val="00AD40B9"/>
    <w:rsid w:val="00AD46ED"/>
    <w:rsid w:val="00AD550A"/>
    <w:rsid w:val="00AD5C33"/>
    <w:rsid w:val="00AD6A37"/>
    <w:rsid w:val="00AD7AF1"/>
    <w:rsid w:val="00AE1002"/>
    <w:rsid w:val="00AE1453"/>
    <w:rsid w:val="00AE30EB"/>
    <w:rsid w:val="00AE5184"/>
    <w:rsid w:val="00AE6886"/>
    <w:rsid w:val="00AF06C7"/>
    <w:rsid w:val="00AF1D4C"/>
    <w:rsid w:val="00AF3864"/>
    <w:rsid w:val="00AF3D4C"/>
    <w:rsid w:val="00AF4E24"/>
    <w:rsid w:val="00AF5759"/>
    <w:rsid w:val="00AF5E64"/>
    <w:rsid w:val="00AF76E5"/>
    <w:rsid w:val="00AF78FA"/>
    <w:rsid w:val="00AF7BE0"/>
    <w:rsid w:val="00B008C7"/>
    <w:rsid w:val="00B02F21"/>
    <w:rsid w:val="00B02FCF"/>
    <w:rsid w:val="00B053DF"/>
    <w:rsid w:val="00B0604B"/>
    <w:rsid w:val="00B07824"/>
    <w:rsid w:val="00B078A6"/>
    <w:rsid w:val="00B07B1A"/>
    <w:rsid w:val="00B106A1"/>
    <w:rsid w:val="00B11AAB"/>
    <w:rsid w:val="00B1204C"/>
    <w:rsid w:val="00B14ECF"/>
    <w:rsid w:val="00B1624D"/>
    <w:rsid w:val="00B16CE0"/>
    <w:rsid w:val="00B176AD"/>
    <w:rsid w:val="00B202C5"/>
    <w:rsid w:val="00B204C5"/>
    <w:rsid w:val="00B22D7F"/>
    <w:rsid w:val="00B23A73"/>
    <w:rsid w:val="00B24B97"/>
    <w:rsid w:val="00B254EB"/>
    <w:rsid w:val="00B256F8"/>
    <w:rsid w:val="00B25D8F"/>
    <w:rsid w:val="00B2664D"/>
    <w:rsid w:val="00B26CAE"/>
    <w:rsid w:val="00B27F6E"/>
    <w:rsid w:val="00B306F6"/>
    <w:rsid w:val="00B31007"/>
    <w:rsid w:val="00B314BB"/>
    <w:rsid w:val="00B3166C"/>
    <w:rsid w:val="00B32FE0"/>
    <w:rsid w:val="00B333CC"/>
    <w:rsid w:val="00B33A4B"/>
    <w:rsid w:val="00B34FD9"/>
    <w:rsid w:val="00B356CE"/>
    <w:rsid w:val="00B403A5"/>
    <w:rsid w:val="00B40B49"/>
    <w:rsid w:val="00B41D70"/>
    <w:rsid w:val="00B43D30"/>
    <w:rsid w:val="00B443D7"/>
    <w:rsid w:val="00B44508"/>
    <w:rsid w:val="00B4506A"/>
    <w:rsid w:val="00B45D9B"/>
    <w:rsid w:val="00B467E8"/>
    <w:rsid w:val="00B468CC"/>
    <w:rsid w:val="00B47508"/>
    <w:rsid w:val="00B47A8D"/>
    <w:rsid w:val="00B504E0"/>
    <w:rsid w:val="00B5133E"/>
    <w:rsid w:val="00B518CB"/>
    <w:rsid w:val="00B528CC"/>
    <w:rsid w:val="00B54530"/>
    <w:rsid w:val="00B5586D"/>
    <w:rsid w:val="00B56A0F"/>
    <w:rsid w:val="00B56DB8"/>
    <w:rsid w:val="00B60441"/>
    <w:rsid w:val="00B607DB"/>
    <w:rsid w:val="00B60B7A"/>
    <w:rsid w:val="00B60CBD"/>
    <w:rsid w:val="00B61C4D"/>
    <w:rsid w:val="00B62633"/>
    <w:rsid w:val="00B62945"/>
    <w:rsid w:val="00B6575B"/>
    <w:rsid w:val="00B677A8"/>
    <w:rsid w:val="00B708D1"/>
    <w:rsid w:val="00B71FCD"/>
    <w:rsid w:val="00B72562"/>
    <w:rsid w:val="00B74703"/>
    <w:rsid w:val="00B7569C"/>
    <w:rsid w:val="00B75DD7"/>
    <w:rsid w:val="00B75FF1"/>
    <w:rsid w:val="00B76944"/>
    <w:rsid w:val="00B77A75"/>
    <w:rsid w:val="00B807A7"/>
    <w:rsid w:val="00B8159D"/>
    <w:rsid w:val="00B818BF"/>
    <w:rsid w:val="00B84662"/>
    <w:rsid w:val="00B849EF"/>
    <w:rsid w:val="00B90FA5"/>
    <w:rsid w:val="00B91F41"/>
    <w:rsid w:val="00B91FB6"/>
    <w:rsid w:val="00B9236E"/>
    <w:rsid w:val="00B92F56"/>
    <w:rsid w:val="00B9359E"/>
    <w:rsid w:val="00B96A16"/>
    <w:rsid w:val="00BA012E"/>
    <w:rsid w:val="00BA015C"/>
    <w:rsid w:val="00BA3EA1"/>
    <w:rsid w:val="00BA5CD9"/>
    <w:rsid w:val="00BA72AF"/>
    <w:rsid w:val="00BA7990"/>
    <w:rsid w:val="00BB0EDA"/>
    <w:rsid w:val="00BB3791"/>
    <w:rsid w:val="00BB44A4"/>
    <w:rsid w:val="00BB47E6"/>
    <w:rsid w:val="00BB4C56"/>
    <w:rsid w:val="00BB68BE"/>
    <w:rsid w:val="00BC0EBC"/>
    <w:rsid w:val="00BC29EF"/>
    <w:rsid w:val="00BC364D"/>
    <w:rsid w:val="00BC3D55"/>
    <w:rsid w:val="00BC3EA3"/>
    <w:rsid w:val="00BC4FB3"/>
    <w:rsid w:val="00BC6009"/>
    <w:rsid w:val="00BC6114"/>
    <w:rsid w:val="00BC7AA8"/>
    <w:rsid w:val="00BD0EAA"/>
    <w:rsid w:val="00BD1BAD"/>
    <w:rsid w:val="00BD2707"/>
    <w:rsid w:val="00BD350E"/>
    <w:rsid w:val="00BD3BE9"/>
    <w:rsid w:val="00BD63E0"/>
    <w:rsid w:val="00BD6694"/>
    <w:rsid w:val="00BD66EB"/>
    <w:rsid w:val="00BD6C54"/>
    <w:rsid w:val="00BD717C"/>
    <w:rsid w:val="00BD7C94"/>
    <w:rsid w:val="00BE0591"/>
    <w:rsid w:val="00BE1707"/>
    <w:rsid w:val="00BE625F"/>
    <w:rsid w:val="00BF07E3"/>
    <w:rsid w:val="00BF0F90"/>
    <w:rsid w:val="00BF3581"/>
    <w:rsid w:val="00BF3B41"/>
    <w:rsid w:val="00BF4860"/>
    <w:rsid w:val="00BF69D3"/>
    <w:rsid w:val="00BF700B"/>
    <w:rsid w:val="00BF70AD"/>
    <w:rsid w:val="00BF74B8"/>
    <w:rsid w:val="00C005A6"/>
    <w:rsid w:val="00C0155D"/>
    <w:rsid w:val="00C01E96"/>
    <w:rsid w:val="00C02082"/>
    <w:rsid w:val="00C029C6"/>
    <w:rsid w:val="00C02F8A"/>
    <w:rsid w:val="00C05728"/>
    <w:rsid w:val="00C05757"/>
    <w:rsid w:val="00C057F4"/>
    <w:rsid w:val="00C05C85"/>
    <w:rsid w:val="00C070DC"/>
    <w:rsid w:val="00C07909"/>
    <w:rsid w:val="00C10BD1"/>
    <w:rsid w:val="00C120F3"/>
    <w:rsid w:val="00C12AA9"/>
    <w:rsid w:val="00C12FC3"/>
    <w:rsid w:val="00C13C84"/>
    <w:rsid w:val="00C15714"/>
    <w:rsid w:val="00C16EB1"/>
    <w:rsid w:val="00C16FF4"/>
    <w:rsid w:val="00C17CC2"/>
    <w:rsid w:val="00C206CB"/>
    <w:rsid w:val="00C21F7F"/>
    <w:rsid w:val="00C23EA3"/>
    <w:rsid w:val="00C26209"/>
    <w:rsid w:val="00C31A0F"/>
    <w:rsid w:val="00C31DFB"/>
    <w:rsid w:val="00C329E8"/>
    <w:rsid w:val="00C32D71"/>
    <w:rsid w:val="00C330B7"/>
    <w:rsid w:val="00C33906"/>
    <w:rsid w:val="00C33B0B"/>
    <w:rsid w:val="00C35F9D"/>
    <w:rsid w:val="00C36E0A"/>
    <w:rsid w:val="00C4035F"/>
    <w:rsid w:val="00C41916"/>
    <w:rsid w:val="00C427D0"/>
    <w:rsid w:val="00C43312"/>
    <w:rsid w:val="00C440D3"/>
    <w:rsid w:val="00C4712E"/>
    <w:rsid w:val="00C50ACC"/>
    <w:rsid w:val="00C50B9A"/>
    <w:rsid w:val="00C50D87"/>
    <w:rsid w:val="00C5106E"/>
    <w:rsid w:val="00C51E74"/>
    <w:rsid w:val="00C52301"/>
    <w:rsid w:val="00C52463"/>
    <w:rsid w:val="00C526BC"/>
    <w:rsid w:val="00C52C24"/>
    <w:rsid w:val="00C53172"/>
    <w:rsid w:val="00C53ACD"/>
    <w:rsid w:val="00C56565"/>
    <w:rsid w:val="00C566DE"/>
    <w:rsid w:val="00C5718A"/>
    <w:rsid w:val="00C5719A"/>
    <w:rsid w:val="00C57F6D"/>
    <w:rsid w:val="00C61FA8"/>
    <w:rsid w:val="00C62EF3"/>
    <w:rsid w:val="00C654C9"/>
    <w:rsid w:val="00C661D8"/>
    <w:rsid w:val="00C6630F"/>
    <w:rsid w:val="00C665FE"/>
    <w:rsid w:val="00C66872"/>
    <w:rsid w:val="00C67038"/>
    <w:rsid w:val="00C67FB3"/>
    <w:rsid w:val="00C70DC1"/>
    <w:rsid w:val="00C7209F"/>
    <w:rsid w:val="00C734C2"/>
    <w:rsid w:val="00C743AD"/>
    <w:rsid w:val="00C75E29"/>
    <w:rsid w:val="00C7732A"/>
    <w:rsid w:val="00C77400"/>
    <w:rsid w:val="00C774AA"/>
    <w:rsid w:val="00C80AF4"/>
    <w:rsid w:val="00C8106C"/>
    <w:rsid w:val="00C82C79"/>
    <w:rsid w:val="00C83790"/>
    <w:rsid w:val="00C87068"/>
    <w:rsid w:val="00C907A9"/>
    <w:rsid w:val="00C91B49"/>
    <w:rsid w:val="00C92C5D"/>
    <w:rsid w:val="00C94132"/>
    <w:rsid w:val="00C94279"/>
    <w:rsid w:val="00C945A2"/>
    <w:rsid w:val="00C95284"/>
    <w:rsid w:val="00C972BA"/>
    <w:rsid w:val="00CA08AF"/>
    <w:rsid w:val="00CA142E"/>
    <w:rsid w:val="00CA15D2"/>
    <w:rsid w:val="00CA3162"/>
    <w:rsid w:val="00CA3986"/>
    <w:rsid w:val="00CA4262"/>
    <w:rsid w:val="00CA47EC"/>
    <w:rsid w:val="00CA6193"/>
    <w:rsid w:val="00CA61E9"/>
    <w:rsid w:val="00CB0AFD"/>
    <w:rsid w:val="00CB0DBB"/>
    <w:rsid w:val="00CB11CD"/>
    <w:rsid w:val="00CB1DA7"/>
    <w:rsid w:val="00CB2023"/>
    <w:rsid w:val="00CB32AD"/>
    <w:rsid w:val="00CB58D9"/>
    <w:rsid w:val="00CB5935"/>
    <w:rsid w:val="00CB5FD2"/>
    <w:rsid w:val="00CB79B5"/>
    <w:rsid w:val="00CB7EC2"/>
    <w:rsid w:val="00CC05D6"/>
    <w:rsid w:val="00CC0651"/>
    <w:rsid w:val="00CC076D"/>
    <w:rsid w:val="00CC0A1D"/>
    <w:rsid w:val="00CC187F"/>
    <w:rsid w:val="00CC2490"/>
    <w:rsid w:val="00CC2BA7"/>
    <w:rsid w:val="00CC3B84"/>
    <w:rsid w:val="00CC6CD6"/>
    <w:rsid w:val="00CC6DB4"/>
    <w:rsid w:val="00CC7494"/>
    <w:rsid w:val="00CC7BCD"/>
    <w:rsid w:val="00CD015C"/>
    <w:rsid w:val="00CD0FE0"/>
    <w:rsid w:val="00CD130C"/>
    <w:rsid w:val="00CD1F3F"/>
    <w:rsid w:val="00CD2CC3"/>
    <w:rsid w:val="00CD527D"/>
    <w:rsid w:val="00CD5D28"/>
    <w:rsid w:val="00CD5DB6"/>
    <w:rsid w:val="00CD5EB7"/>
    <w:rsid w:val="00CD5F6E"/>
    <w:rsid w:val="00CE0F22"/>
    <w:rsid w:val="00CE1249"/>
    <w:rsid w:val="00CE2E27"/>
    <w:rsid w:val="00CE30F5"/>
    <w:rsid w:val="00CE311B"/>
    <w:rsid w:val="00CE3CC6"/>
    <w:rsid w:val="00CE4CA3"/>
    <w:rsid w:val="00CE574F"/>
    <w:rsid w:val="00CE622E"/>
    <w:rsid w:val="00CF4873"/>
    <w:rsid w:val="00CF4FF5"/>
    <w:rsid w:val="00CF5376"/>
    <w:rsid w:val="00CF55CD"/>
    <w:rsid w:val="00CF630B"/>
    <w:rsid w:val="00D0180D"/>
    <w:rsid w:val="00D0313B"/>
    <w:rsid w:val="00D032E5"/>
    <w:rsid w:val="00D0377B"/>
    <w:rsid w:val="00D03A0F"/>
    <w:rsid w:val="00D04127"/>
    <w:rsid w:val="00D0451F"/>
    <w:rsid w:val="00D06FF7"/>
    <w:rsid w:val="00D070BA"/>
    <w:rsid w:val="00D072EB"/>
    <w:rsid w:val="00D077E0"/>
    <w:rsid w:val="00D107DD"/>
    <w:rsid w:val="00D13188"/>
    <w:rsid w:val="00D13661"/>
    <w:rsid w:val="00D1427E"/>
    <w:rsid w:val="00D15BB6"/>
    <w:rsid w:val="00D207AA"/>
    <w:rsid w:val="00D21B23"/>
    <w:rsid w:val="00D21EDB"/>
    <w:rsid w:val="00D22388"/>
    <w:rsid w:val="00D2287C"/>
    <w:rsid w:val="00D229BC"/>
    <w:rsid w:val="00D22A8F"/>
    <w:rsid w:val="00D2301D"/>
    <w:rsid w:val="00D23235"/>
    <w:rsid w:val="00D244AC"/>
    <w:rsid w:val="00D248D6"/>
    <w:rsid w:val="00D251A4"/>
    <w:rsid w:val="00D25201"/>
    <w:rsid w:val="00D254FF"/>
    <w:rsid w:val="00D25D95"/>
    <w:rsid w:val="00D2620C"/>
    <w:rsid w:val="00D269D4"/>
    <w:rsid w:val="00D2728B"/>
    <w:rsid w:val="00D30811"/>
    <w:rsid w:val="00D30FD2"/>
    <w:rsid w:val="00D320C7"/>
    <w:rsid w:val="00D3346F"/>
    <w:rsid w:val="00D33F07"/>
    <w:rsid w:val="00D365B6"/>
    <w:rsid w:val="00D36D55"/>
    <w:rsid w:val="00D374E7"/>
    <w:rsid w:val="00D37636"/>
    <w:rsid w:val="00D37E10"/>
    <w:rsid w:val="00D405D1"/>
    <w:rsid w:val="00D4144D"/>
    <w:rsid w:val="00D42B39"/>
    <w:rsid w:val="00D42D4C"/>
    <w:rsid w:val="00D43C77"/>
    <w:rsid w:val="00D44085"/>
    <w:rsid w:val="00D4412F"/>
    <w:rsid w:val="00D443A2"/>
    <w:rsid w:val="00D477A3"/>
    <w:rsid w:val="00D51A55"/>
    <w:rsid w:val="00D51D1C"/>
    <w:rsid w:val="00D51DAD"/>
    <w:rsid w:val="00D52842"/>
    <w:rsid w:val="00D5367C"/>
    <w:rsid w:val="00D53E6D"/>
    <w:rsid w:val="00D558C8"/>
    <w:rsid w:val="00D56321"/>
    <w:rsid w:val="00D56734"/>
    <w:rsid w:val="00D57257"/>
    <w:rsid w:val="00D57483"/>
    <w:rsid w:val="00D57611"/>
    <w:rsid w:val="00D6037A"/>
    <w:rsid w:val="00D60ED8"/>
    <w:rsid w:val="00D60EE7"/>
    <w:rsid w:val="00D62B50"/>
    <w:rsid w:val="00D62E79"/>
    <w:rsid w:val="00D63539"/>
    <w:rsid w:val="00D63B82"/>
    <w:rsid w:val="00D63CFF"/>
    <w:rsid w:val="00D647E6"/>
    <w:rsid w:val="00D65AD2"/>
    <w:rsid w:val="00D67039"/>
    <w:rsid w:val="00D704F5"/>
    <w:rsid w:val="00D72104"/>
    <w:rsid w:val="00D7294D"/>
    <w:rsid w:val="00D73386"/>
    <w:rsid w:val="00D75430"/>
    <w:rsid w:val="00D76758"/>
    <w:rsid w:val="00D779B8"/>
    <w:rsid w:val="00D8176E"/>
    <w:rsid w:val="00D821B3"/>
    <w:rsid w:val="00D82B9D"/>
    <w:rsid w:val="00D847DB"/>
    <w:rsid w:val="00D84BEB"/>
    <w:rsid w:val="00D85571"/>
    <w:rsid w:val="00D86C3B"/>
    <w:rsid w:val="00D927D7"/>
    <w:rsid w:val="00D92C55"/>
    <w:rsid w:val="00D932BA"/>
    <w:rsid w:val="00D95E67"/>
    <w:rsid w:val="00D97E7A"/>
    <w:rsid w:val="00DA02C1"/>
    <w:rsid w:val="00DA13FA"/>
    <w:rsid w:val="00DA1B65"/>
    <w:rsid w:val="00DA289D"/>
    <w:rsid w:val="00DA4171"/>
    <w:rsid w:val="00DA4955"/>
    <w:rsid w:val="00DA4DE7"/>
    <w:rsid w:val="00DA655B"/>
    <w:rsid w:val="00DA6D2B"/>
    <w:rsid w:val="00DA6E0D"/>
    <w:rsid w:val="00DA7892"/>
    <w:rsid w:val="00DB04F0"/>
    <w:rsid w:val="00DB2288"/>
    <w:rsid w:val="00DB24CD"/>
    <w:rsid w:val="00DB298F"/>
    <w:rsid w:val="00DB410C"/>
    <w:rsid w:val="00DB562B"/>
    <w:rsid w:val="00DB744E"/>
    <w:rsid w:val="00DC0983"/>
    <w:rsid w:val="00DC0FA3"/>
    <w:rsid w:val="00DC2A90"/>
    <w:rsid w:val="00DC4C84"/>
    <w:rsid w:val="00DC4D3C"/>
    <w:rsid w:val="00DC643E"/>
    <w:rsid w:val="00DC69C3"/>
    <w:rsid w:val="00DC6E9A"/>
    <w:rsid w:val="00DD03D8"/>
    <w:rsid w:val="00DD1D7B"/>
    <w:rsid w:val="00DD2170"/>
    <w:rsid w:val="00DD2428"/>
    <w:rsid w:val="00DD3468"/>
    <w:rsid w:val="00DD5359"/>
    <w:rsid w:val="00DD5787"/>
    <w:rsid w:val="00DD6408"/>
    <w:rsid w:val="00DD79CD"/>
    <w:rsid w:val="00DE06E2"/>
    <w:rsid w:val="00DE0E8E"/>
    <w:rsid w:val="00DE24E6"/>
    <w:rsid w:val="00DE3C79"/>
    <w:rsid w:val="00DE4E3D"/>
    <w:rsid w:val="00DE6B06"/>
    <w:rsid w:val="00DE7AD7"/>
    <w:rsid w:val="00DF09EB"/>
    <w:rsid w:val="00DF48CD"/>
    <w:rsid w:val="00DF4C92"/>
    <w:rsid w:val="00DF649D"/>
    <w:rsid w:val="00DF656F"/>
    <w:rsid w:val="00DF71B8"/>
    <w:rsid w:val="00DF7280"/>
    <w:rsid w:val="00DF77E9"/>
    <w:rsid w:val="00DF7D4B"/>
    <w:rsid w:val="00E003EE"/>
    <w:rsid w:val="00E016FA"/>
    <w:rsid w:val="00E02BB7"/>
    <w:rsid w:val="00E03F6A"/>
    <w:rsid w:val="00E042BF"/>
    <w:rsid w:val="00E05E83"/>
    <w:rsid w:val="00E05EBC"/>
    <w:rsid w:val="00E0610F"/>
    <w:rsid w:val="00E0680A"/>
    <w:rsid w:val="00E0720A"/>
    <w:rsid w:val="00E0776B"/>
    <w:rsid w:val="00E127D4"/>
    <w:rsid w:val="00E13184"/>
    <w:rsid w:val="00E13391"/>
    <w:rsid w:val="00E13D26"/>
    <w:rsid w:val="00E14A27"/>
    <w:rsid w:val="00E14AC8"/>
    <w:rsid w:val="00E155E2"/>
    <w:rsid w:val="00E162F3"/>
    <w:rsid w:val="00E168E4"/>
    <w:rsid w:val="00E169F7"/>
    <w:rsid w:val="00E17042"/>
    <w:rsid w:val="00E17332"/>
    <w:rsid w:val="00E176DB"/>
    <w:rsid w:val="00E17974"/>
    <w:rsid w:val="00E20775"/>
    <w:rsid w:val="00E20AA9"/>
    <w:rsid w:val="00E20B82"/>
    <w:rsid w:val="00E20C5A"/>
    <w:rsid w:val="00E219E5"/>
    <w:rsid w:val="00E226D5"/>
    <w:rsid w:val="00E24761"/>
    <w:rsid w:val="00E25D66"/>
    <w:rsid w:val="00E27072"/>
    <w:rsid w:val="00E32143"/>
    <w:rsid w:val="00E32996"/>
    <w:rsid w:val="00E32A98"/>
    <w:rsid w:val="00E36709"/>
    <w:rsid w:val="00E36BB7"/>
    <w:rsid w:val="00E3730C"/>
    <w:rsid w:val="00E374E7"/>
    <w:rsid w:val="00E3778D"/>
    <w:rsid w:val="00E407B9"/>
    <w:rsid w:val="00E40F03"/>
    <w:rsid w:val="00E41293"/>
    <w:rsid w:val="00E416E3"/>
    <w:rsid w:val="00E432D5"/>
    <w:rsid w:val="00E440AE"/>
    <w:rsid w:val="00E44D5F"/>
    <w:rsid w:val="00E451CF"/>
    <w:rsid w:val="00E45AAB"/>
    <w:rsid w:val="00E45B08"/>
    <w:rsid w:val="00E46099"/>
    <w:rsid w:val="00E4616D"/>
    <w:rsid w:val="00E463EE"/>
    <w:rsid w:val="00E47B11"/>
    <w:rsid w:val="00E53A2F"/>
    <w:rsid w:val="00E53DEA"/>
    <w:rsid w:val="00E562D0"/>
    <w:rsid w:val="00E56741"/>
    <w:rsid w:val="00E56D53"/>
    <w:rsid w:val="00E56F93"/>
    <w:rsid w:val="00E60844"/>
    <w:rsid w:val="00E625FC"/>
    <w:rsid w:val="00E63FE7"/>
    <w:rsid w:val="00E646D5"/>
    <w:rsid w:val="00E648E0"/>
    <w:rsid w:val="00E6562F"/>
    <w:rsid w:val="00E67E6D"/>
    <w:rsid w:val="00E72037"/>
    <w:rsid w:val="00E723FA"/>
    <w:rsid w:val="00E726C4"/>
    <w:rsid w:val="00E759DD"/>
    <w:rsid w:val="00E75EEF"/>
    <w:rsid w:val="00E75F59"/>
    <w:rsid w:val="00E766B3"/>
    <w:rsid w:val="00E76E5C"/>
    <w:rsid w:val="00E778EE"/>
    <w:rsid w:val="00E77B6B"/>
    <w:rsid w:val="00E808AF"/>
    <w:rsid w:val="00E80B8C"/>
    <w:rsid w:val="00E81235"/>
    <w:rsid w:val="00E81810"/>
    <w:rsid w:val="00E82BA4"/>
    <w:rsid w:val="00E83C6C"/>
    <w:rsid w:val="00E85252"/>
    <w:rsid w:val="00E868EF"/>
    <w:rsid w:val="00E86923"/>
    <w:rsid w:val="00E901A0"/>
    <w:rsid w:val="00E91CA2"/>
    <w:rsid w:val="00E9547B"/>
    <w:rsid w:val="00E95EDA"/>
    <w:rsid w:val="00E96D1A"/>
    <w:rsid w:val="00EA0946"/>
    <w:rsid w:val="00EA129B"/>
    <w:rsid w:val="00EA14F7"/>
    <w:rsid w:val="00EA210C"/>
    <w:rsid w:val="00EA2BED"/>
    <w:rsid w:val="00EA3892"/>
    <w:rsid w:val="00EA4000"/>
    <w:rsid w:val="00EA4B55"/>
    <w:rsid w:val="00EA5D31"/>
    <w:rsid w:val="00EA662A"/>
    <w:rsid w:val="00EA6AAA"/>
    <w:rsid w:val="00EA7086"/>
    <w:rsid w:val="00EA7DF4"/>
    <w:rsid w:val="00EB1261"/>
    <w:rsid w:val="00EB274A"/>
    <w:rsid w:val="00EB38D1"/>
    <w:rsid w:val="00EB40DD"/>
    <w:rsid w:val="00EB46C4"/>
    <w:rsid w:val="00EB5AA3"/>
    <w:rsid w:val="00EB5B56"/>
    <w:rsid w:val="00EB60FD"/>
    <w:rsid w:val="00EB61F8"/>
    <w:rsid w:val="00EB6488"/>
    <w:rsid w:val="00EB675E"/>
    <w:rsid w:val="00EB6DC7"/>
    <w:rsid w:val="00EB71FE"/>
    <w:rsid w:val="00EC0531"/>
    <w:rsid w:val="00EC0D62"/>
    <w:rsid w:val="00EC17A8"/>
    <w:rsid w:val="00EC1974"/>
    <w:rsid w:val="00EC1F1E"/>
    <w:rsid w:val="00EC7D43"/>
    <w:rsid w:val="00ED25B4"/>
    <w:rsid w:val="00ED2AD1"/>
    <w:rsid w:val="00ED2FF3"/>
    <w:rsid w:val="00ED432E"/>
    <w:rsid w:val="00ED54AD"/>
    <w:rsid w:val="00ED5A9A"/>
    <w:rsid w:val="00ED7F7A"/>
    <w:rsid w:val="00EE0072"/>
    <w:rsid w:val="00EE1EE4"/>
    <w:rsid w:val="00EE32FB"/>
    <w:rsid w:val="00EE62F7"/>
    <w:rsid w:val="00EE6465"/>
    <w:rsid w:val="00EE765A"/>
    <w:rsid w:val="00EF2213"/>
    <w:rsid w:val="00EF337A"/>
    <w:rsid w:val="00EF50D9"/>
    <w:rsid w:val="00EF604E"/>
    <w:rsid w:val="00EF6656"/>
    <w:rsid w:val="00EF694B"/>
    <w:rsid w:val="00EF7ADB"/>
    <w:rsid w:val="00F013CA"/>
    <w:rsid w:val="00F01F60"/>
    <w:rsid w:val="00F04672"/>
    <w:rsid w:val="00F050BF"/>
    <w:rsid w:val="00F0530C"/>
    <w:rsid w:val="00F065AD"/>
    <w:rsid w:val="00F0715B"/>
    <w:rsid w:val="00F077ED"/>
    <w:rsid w:val="00F07B4B"/>
    <w:rsid w:val="00F07E8F"/>
    <w:rsid w:val="00F100B7"/>
    <w:rsid w:val="00F10415"/>
    <w:rsid w:val="00F10A8E"/>
    <w:rsid w:val="00F11D79"/>
    <w:rsid w:val="00F12530"/>
    <w:rsid w:val="00F12B30"/>
    <w:rsid w:val="00F13823"/>
    <w:rsid w:val="00F15E2D"/>
    <w:rsid w:val="00F17824"/>
    <w:rsid w:val="00F21E80"/>
    <w:rsid w:val="00F22132"/>
    <w:rsid w:val="00F22F86"/>
    <w:rsid w:val="00F23145"/>
    <w:rsid w:val="00F23ED9"/>
    <w:rsid w:val="00F24644"/>
    <w:rsid w:val="00F246F4"/>
    <w:rsid w:val="00F27BE3"/>
    <w:rsid w:val="00F31C98"/>
    <w:rsid w:val="00F3266E"/>
    <w:rsid w:val="00F32D22"/>
    <w:rsid w:val="00F32D36"/>
    <w:rsid w:val="00F33D6A"/>
    <w:rsid w:val="00F35D96"/>
    <w:rsid w:val="00F37724"/>
    <w:rsid w:val="00F40234"/>
    <w:rsid w:val="00F40ACE"/>
    <w:rsid w:val="00F42946"/>
    <w:rsid w:val="00F439A2"/>
    <w:rsid w:val="00F443A3"/>
    <w:rsid w:val="00F4451A"/>
    <w:rsid w:val="00F475C3"/>
    <w:rsid w:val="00F478A6"/>
    <w:rsid w:val="00F50840"/>
    <w:rsid w:val="00F50C63"/>
    <w:rsid w:val="00F50CEC"/>
    <w:rsid w:val="00F52632"/>
    <w:rsid w:val="00F545C5"/>
    <w:rsid w:val="00F55523"/>
    <w:rsid w:val="00F55FD3"/>
    <w:rsid w:val="00F57DF8"/>
    <w:rsid w:val="00F600CF"/>
    <w:rsid w:val="00F6024A"/>
    <w:rsid w:val="00F61138"/>
    <w:rsid w:val="00F62CBB"/>
    <w:rsid w:val="00F62E26"/>
    <w:rsid w:val="00F630E5"/>
    <w:rsid w:val="00F63F20"/>
    <w:rsid w:val="00F66F93"/>
    <w:rsid w:val="00F67801"/>
    <w:rsid w:val="00F735D4"/>
    <w:rsid w:val="00F7528E"/>
    <w:rsid w:val="00F807DB"/>
    <w:rsid w:val="00F81617"/>
    <w:rsid w:val="00F83D27"/>
    <w:rsid w:val="00F83EE1"/>
    <w:rsid w:val="00F85456"/>
    <w:rsid w:val="00F863DE"/>
    <w:rsid w:val="00F86ACA"/>
    <w:rsid w:val="00F86F8D"/>
    <w:rsid w:val="00F90983"/>
    <w:rsid w:val="00F914B1"/>
    <w:rsid w:val="00F92B5E"/>
    <w:rsid w:val="00F92B68"/>
    <w:rsid w:val="00F9446E"/>
    <w:rsid w:val="00F9532E"/>
    <w:rsid w:val="00F9721C"/>
    <w:rsid w:val="00FA03EC"/>
    <w:rsid w:val="00FA0F54"/>
    <w:rsid w:val="00FA1F9B"/>
    <w:rsid w:val="00FA2533"/>
    <w:rsid w:val="00FA2819"/>
    <w:rsid w:val="00FA41C8"/>
    <w:rsid w:val="00FA44B4"/>
    <w:rsid w:val="00FA6056"/>
    <w:rsid w:val="00FA6423"/>
    <w:rsid w:val="00FA7177"/>
    <w:rsid w:val="00FA7665"/>
    <w:rsid w:val="00FB0F52"/>
    <w:rsid w:val="00FB1421"/>
    <w:rsid w:val="00FB2A92"/>
    <w:rsid w:val="00FB36AC"/>
    <w:rsid w:val="00FB4C9C"/>
    <w:rsid w:val="00FB52D3"/>
    <w:rsid w:val="00FB752C"/>
    <w:rsid w:val="00FC043A"/>
    <w:rsid w:val="00FC1A54"/>
    <w:rsid w:val="00FC3823"/>
    <w:rsid w:val="00FC3B16"/>
    <w:rsid w:val="00FC4102"/>
    <w:rsid w:val="00FC4144"/>
    <w:rsid w:val="00FC5264"/>
    <w:rsid w:val="00FD0094"/>
    <w:rsid w:val="00FD03E3"/>
    <w:rsid w:val="00FD1643"/>
    <w:rsid w:val="00FD220A"/>
    <w:rsid w:val="00FD2E2B"/>
    <w:rsid w:val="00FD2FA2"/>
    <w:rsid w:val="00FD4C80"/>
    <w:rsid w:val="00FD52FE"/>
    <w:rsid w:val="00FD568A"/>
    <w:rsid w:val="00FD5DF1"/>
    <w:rsid w:val="00FD676F"/>
    <w:rsid w:val="00FD7132"/>
    <w:rsid w:val="00FD754A"/>
    <w:rsid w:val="00FE1415"/>
    <w:rsid w:val="00FE1AE5"/>
    <w:rsid w:val="00FE1DB3"/>
    <w:rsid w:val="00FE3585"/>
    <w:rsid w:val="00FE374A"/>
    <w:rsid w:val="00FE4C78"/>
    <w:rsid w:val="00FE5B46"/>
    <w:rsid w:val="00FE5E25"/>
    <w:rsid w:val="00FE62FD"/>
    <w:rsid w:val="00FE647F"/>
    <w:rsid w:val="00FE651C"/>
    <w:rsid w:val="00FE76D4"/>
    <w:rsid w:val="00FE7922"/>
    <w:rsid w:val="00FE7BB4"/>
    <w:rsid w:val="00FF10EC"/>
    <w:rsid w:val="00FF2838"/>
    <w:rsid w:val="00FF3A25"/>
    <w:rsid w:val="00FF4E93"/>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DC"/>
    <w:rPr>
      <w:sz w:val="24"/>
      <w:szCs w:val="24"/>
      <w:lang w:eastAsia="en-US"/>
    </w:rPr>
  </w:style>
  <w:style w:type="paragraph" w:styleId="1">
    <w:name w:val="heading 1"/>
    <w:basedOn w:val="a"/>
    <w:link w:val="10"/>
    <w:uiPriority w:val="99"/>
    <w:qFormat/>
    <w:rsid w:val="00004EDC"/>
    <w:pPr>
      <w:spacing w:before="375" w:after="375"/>
      <w:jc w:val="center"/>
      <w:outlineLvl w:val="0"/>
    </w:pPr>
    <w:rPr>
      <w:rFonts w:ascii="Arial" w:hAnsi="Arial" w:cs="Arial"/>
      <w:b/>
      <w:bCs/>
      <w:kern w:val="36"/>
      <w:lang w:val="en-US"/>
    </w:rPr>
  </w:style>
  <w:style w:type="paragraph" w:styleId="2">
    <w:name w:val="heading 2"/>
    <w:basedOn w:val="a"/>
    <w:link w:val="20"/>
    <w:qFormat/>
    <w:rsid w:val="00004ED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04EDC"/>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A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D251A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251A4"/>
    <w:rPr>
      <w:rFonts w:ascii="Cambria" w:eastAsia="Times New Roman" w:hAnsi="Cambria" w:cs="Times New Roman"/>
      <w:b/>
      <w:bCs/>
      <w:sz w:val="26"/>
      <w:szCs w:val="26"/>
      <w:lang w:eastAsia="en-US"/>
    </w:rPr>
  </w:style>
  <w:style w:type="paragraph" w:styleId="a3">
    <w:name w:val="Normal (Web)"/>
    <w:basedOn w:val="a"/>
    <w:uiPriority w:val="99"/>
    <w:rsid w:val="00004EDC"/>
    <w:pPr>
      <w:spacing w:before="45" w:after="45"/>
    </w:pPr>
    <w:rPr>
      <w:rFonts w:ascii="Arial" w:hAnsi="Arial" w:cs="Arial"/>
      <w:sz w:val="16"/>
      <w:szCs w:val="16"/>
      <w:lang w:val="en-US"/>
    </w:rPr>
  </w:style>
  <w:style w:type="paragraph" w:customStyle="1" w:styleId="fieldcomment">
    <w:name w:val="field_comment"/>
    <w:basedOn w:val="a"/>
    <w:uiPriority w:val="99"/>
    <w:rsid w:val="00004EDC"/>
    <w:pPr>
      <w:spacing w:before="45" w:after="45"/>
    </w:pPr>
    <w:rPr>
      <w:rFonts w:ascii="Arial" w:hAnsi="Arial" w:cs="Arial"/>
      <w:sz w:val="9"/>
      <w:szCs w:val="9"/>
      <w:lang w:val="en-US"/>
    </w:rPr>
  </w:style>
  <w:style w:type="paragraph" w:customStyle="1" w:styleId="fieldname">
    <w:name w:val="field_name"/>
    <w:basedOn w:val="a"/>
    <w:uiPriority w:val="99"/>
    <w:rsid w:val="00004ED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04ED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04ED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04EDC"/>
    <w:pPr>
      <w:spacing w:before="45" w:after="45"/>
    </w:pPr>
    <w:rPr>
      <w:rFonts w:ascii="Arial" w:hAnsi="Arial" w:cs="Arial"/>
      <w:sz w:val="16"/>
      <w:szCs w:val="16"/>
      <w:lang w:val="en-US"/>
    </w:rPr>
  </w:style>
  <w:style w:type="character" w:customStyle="1" w:styleId="fieldcomment1">
    <w:name w:val="field_comment1"/>
    <w:basedOn w:val="a0"/>
    <w:uiPriority w:val="99"/>
    <w:rsid w:val="00004EDC"/>
    <w:rPr>
      <w:sz w:val="9"/>
      <w:szCs w:val="9"/>
    </w:rPr>
  </w:style>
  <w:style w:type="paragraph" w:customStyle="1" w:styleId="footnote">
    <w:name w:val="footnote"/>
    <w:basedOn w:val="a"/>
    <w:uiPriority w:val="99"/>
    <w:rsid w:val="00004EDC"/>
    <w:pPr>
      <w:spacing w:after="105"/>
      <w:ind w:left="367"/>
    </w:pPr>
    <w:rPr>
      <w:rFonts w:ascii="Arial" w:hAnsi="Arial" w:cs="Arial"/>
      <w:sz w:val="9"/>
      <w:szCs w:val="9"/>
      <w:lang w:val="en-US"/>
    </w:rPr>
  </w:style>
  <w:style w:type="paragraph" w:styleId="a4">
    <w:name w:val="footer"/>
    <w:basedOn w:val="a"/>
    <w:link w:val="a5"/>
    <w:uiPriority w:val="99"/>
    <w:rsid w:val="002D368D"/>
    <w:pPr>
      <w:tabs>
        <w:tab w:val="center" w:pos="4677"/>
        <w:tab w:val="right" w:pos="9355"/>
      </w:tabs>
    </w:pPr>
  </w:style>
  <w:style w:type="character" w:customStyle="1" w:styleId="a5">
    <w:name w:val="Нижний колонтитул Знак"/>
    <w:basedOn w:val="a0"/>
    <w:link w:val="a4"/>
    <w:uiPriority w:val="99"/>
    <w:semiHidden/>
    <w:rsid w:val="00D251A4"/>
    <w:rPr>
      <w:sz w:val="24"/>
      <w:szCs w:val="24"/>
      <w:lang w:eastAsia="en-US"/>
    </w:rPr>
  </w:style>
  <w:style w:type="character" w:styleId="a6">
    <w:name w:val="page number"/>
    <w:basedOn w:val="a0"/>
    <w:uiPriority w:val="99"/>
    <w:rsid w:val="002D368D"/>
  </w:style>
  <w:style w:type="paragraph" w:customStyle="1" w:styleId="a7">
    <w:name w:val="Стиль"/>
    <w:basedOn w:val="a"/>
    <w:rsid w:val="00360E03"/>
    <w:pPr>
      <w:spacing w:after="160" w:line="240" w:lineRule="exact"/>
    </w:pPr>
    <w:rPr>
      <w:rFonts w:ascii="Verdana" w:hAnsi="Verdana" w:cs="Verdana"/>
      <w:sz w:val="20"/>
      <w:szCs w:val="20"/>
      <w:lang w:val="en-US"/>
    </w:rPr>
  </w:style>
  <w:style w:type="paragraph" w:styleId="a8">
    <w:name w:val="Title"/>
    <w:basedOn w:val="a"/>
    <w:link w:val="a9"/>
    <w:uiPriority w:val="99"/>
    <w:qFormat/>
    <w:rsid w:val="007946F1"/>
    <w:pPr>
      <w:autoSpaceDE w:val="0"/>
      <w:autoSpaceDN w:val="0"/>
      <w:spacing w:line="280" w:lineRule="exact"/>
      <w:ind w:firstLine="288"/>
      <w:jc w:val="center"/>
    </w:pPr>
    <w:rPr>
      <w:rFonts w:ascii="Arial" w:hAnsi="Arial" w:cs="Arial"/>
      <w:lang w:eastAsia="ru-RU"/>
    </w:rPr>
  </w:style>
  <w:style w:type="character" w:customStyle="1" w:styleId="a9">
    <w:name w:val="Название Знак"/>
    <w:basedOn w:val="a0"/>
    <w:link w:val="a8"/>
    <w:uiPriority w:val="10"/>
    <w:rsid w:val="00D251A4"/>
    <w:rPr>
      <w:rFonts w:ascii="Cambria" w:eastAsia="Times New Roman" w:hAnsi="Cambria" w:cs="Times New Roman"/>
      <w:b/>
      <w:bCs/>
      <w:kern w:val="28"/>
      <w:sz w:val="32"/>
      <w:szCs w:val="32"/>
      <w:lang w:eastAsia="en-US"/>
    </w:rPr>
  </w:style>
  <w:style w:type="paragraph" w:customStyle="1" w:styleId="prg3">
    <w:name w:val="prg3"/>
    <w:basedOn w:val="a"/>
    <w:uiPriority w:val="99"/>
    <w:rsid w:val="007946F1"/>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a">
    <w:name w:val="Normal Indent"/>
    <w:basedOn w:val="a"/>
    <w:uiPriority w:val="99"/>
    <w:rsid w:val="007946F1"/>
    <w:pPr>
      <w:tabs>
        <w:tab w:val="num" w:pos="2232"/>
      </w:tabs>
      <w:autoSpaceDE w:val="0"/>
      <w:autoSpaceDN w:val="0"/>
      <w:ind w:left="2232" w:hanging="792"/>
    </w:pPr>
    <w:rPr>
      <w:sz w:val="20"/>
      <w:szCs w:val="20"/>
      <w:lang w:val="en-US" w:eastAsia="ru-RU"/>
    </w:rPr>
  </w:style>
  <w:style w:type="paragraph" w:customStyle="1" w:styleId="ConsTitle">
    <w:name w:val="ConsTitle"/>
    <w:uiPriority w:val="99"/>
    <w:rsid w:val="007946F1"/>
    <w:pPr>
      <w:widowControl w:val="0"/>
      <w:autoSpaceDE w:val="0"/>
      <w:autoSpaceDN w:val="0"/>
      <w:adjustRightInd w:val="0"/>
    </w:pPr>
    <w:rPr>
      <w:rFonts w:ascii="Arial" w:hAnsi="Arial" w:cs="Arial"/>
      <w:b/>
      <w:bCs/>
      <w:sz w:val="16"/>
      <w:szCs w:val="16"/>
      <w:lang w:eastAsia="en-US"/>
    </w:rPr>
  </w:style>
  <w:style w:type="paragraph" w:styleId="ab">
    <w:name w:val="Body Text"/>
    <w:basedOn w:val="a"/>
    <w:link w:val="ac"/>
    <w:uiPriority w:val="99"/>
    <w:rsid w:val="00BA012E"/>
    <w:pPr>
      <w:spacing w:after="120" w:line="360" w:lineRule="atLeast"/>
      <w:jc w:val="both"/>
    </w:pPr>
    <w:rPr>
      <w:rFonts w:ascii="Times New Roman CYR" w:hAnsi="Times New Roman CYR" w:cs="Times New Roman CYR"/>
      <w:sz w:val="28"/>
      <w:szCs w:val="28"/>
      <w:lang w:eastAsia="ru-RU"/>
    </w:rPr>
  </w:style>
  <w:style w:type="character" w:customStyle="1" w:styleId="ac">
    <w:name w:val="Основной текст Знак"/>
    <w:basedOn w:val="a0"/>
    <w:link w:val="ab"/>
    <w:uiPriority w:val="99"/>
    <w:semiHidden/>
    <w:rsid w:val="00D251A4"/>
    <w:rPr>
      <w:sz w:val="24"/>
      <w:szCs w:val="24"/>
      <w:lang w:eastAsia="en-US"/>
    </w:rPr>
  </w:style>
  <w:style w:type="paragraph" w:customStyle="1" w:styleId="Style1">
    <w:name w:val="Style1"/>
    <w:basedOn w:val="a"/>
    <w:uiPriority w:val="99"/>
    <w:rsid w:val="00C4035F"/>
    <w:pPr>
      <w:widowControl w:val="0"/>
      <w:autoSpaceDE w:val="0"/>
      <w:autoSpaceDN w:val="0"/>
      <w:adjustRightInd w:val="0"/>
      <w:jc w:val="center"/>
    </w:pPr>
    <w:rPr>
      <w:lang w:eastAsia="ru-RU"/>
    </w:rPr>
  </w:style>
  <w:style w:type="paragraph" w:customStyle="1" w:styleId="Style11">
    <w:name w:val="Style11"/>
    <w:basedOn w:val="a"/>
    <w:rsid w:val="00C4035F"/>
    <w:pPr>
      <w:widowControl w:val="0"/>
      <w:autoSpaceDE w:val="0"/>
      <w:autoSpaceDN w:val="0"/>
      <w:adjustRightInd w:val="0"/>
      <w:spacing w:line="278" w:lineRule="exact"/>
      <w:ind w:firstLine="590"/>
      <w:jc w:val="both"/>
    </w:pPr>
    <w:rPr>
      <w:lang w:eastAsia="ru-RU"/>
    </w:rPr>
  </w:style>
  <w:style w:type="character" w:customStyle="1" w:styleId="FontStyle42">
    <w:name w:val="Font Style42"/>
    <w:basedOn w:val="a0"/>
    <w:rsid w:val="00C4035F"/>
    <w:rPr>
      <w:rFonts w:ascii="Times New Roman" w:hAnsi="Times New Roman" w:cs="Times New Roman"/>
      <w:sz w:val="22"/>
      <w:szCs w:val="22"/>
    </w:rPr>
  </w:style>
  <w:style w:type="character" w:styleId="ad">
    <w:name w:val="annotation reference"/>
    <w:basedOn w:val="a0"/>
    <w:uiPriority w:val="99"/>
    <w:semiHidden/>
    <w:rsid w:val="00C4035F"/>
    <w:rPr>
      <w:sz w:val="16"/>
      <w:szCs w:val="16"/>
    </w:rPr>
  </w:style>
  <w:style w:type="paragraph" w:styleId="ae">
    <w:name w:val="annotation text"/>
    <w:basedOn w:val="a"/>
    <w:link w:val="af"/>
    <w:uiPriority w:val="99"/>
    <w:semiHidden/>
    <w:rsid w:val="00C4035F"/>
    <w:rPr>
      <w:sz w:val="20"/>
      <w:szCs w:val="20"/>
    </w:rPr>
  </w:style>
  <w:style w:type="character" w:customStyle="1" w:styleId="af">
    <w:name w:val="Текст примечания Знак"/>
    <w:basedOn w:val="a0"/>
    <w:link w:val="ae"/>
    <w:uiPriority w:val="99"/>
    <w:semiHidden/>
    <w:rsid w:val="00D251A4"/>
    <w:rPr>
      <w:sz w:val="20"/>
      <w:szCs w:val="20"/>
      <w:lang w:eastAsia="en-US"/>
    </w:rPr>
  </w:style>
  <w:style w:type="paragraph" w:styleId="af0">
    <w:name w:val="annotation subject"/>
    <w:basedOn w:val="ae"/>
    <w:next w:val="ae"/>
    <w:link w:val="af1"/>
    <w:uiPriority w:val="99"/>
    <w:semiHidden/>
    <w:rsid w:val="00C4035F"/>
    <w:rPr>
      <w:b/>
      <w:bCs/>
    </w:rPr>
  </w:style>
  <w:style w:type="character" w:customStyle="1" w:styleId="af1">
    <w:name w:val="Тема примечания Знак"/>
    <w:basedOn w:val="af"/>
    <w:link w:val="af0"/>
    <w:uiPriority w:val="99"/>
    <w:semiHidden/>
    <w:rsid w:val="00D251A4"/>
    <w:rPr>
      <w:b/>
      <w:bCs/>
    </w:rPr>
  </w:style>
  <w:style w:type="paragraph" w:styleId="af2">
    <w:name w:val="Balloon Text"/>
    <w:basedOn w:val="a"/>
    <w:link w:val="af3"/>
    <w:uiPriority w:val="99"/>
    <w:semiHidden/>
    <w:rsid w:val="00C4035F"/>
    <w:rPr>
      <w:rFonts w:ascii="Tahoma" w:hAnsi="Tahoma" w:cs="Tahoma"/>
      <w:sz w:val="16"/>
      <w:szCs w:val="16"/>
    </w:rPr>
  </w:style>
  <w:style w:type="character" w:customStyle="1" w:styleId="af3">
    <w:name w:val="Текст выноски Знак"/>
    <w:basedOn w:val="a0"/>
    <w:link w:val="af2"/>
    <w:uiPriority w:val="99"/>
    <w:semiHidden/>
    <w:rsid w:val="00D251A4"/>
    <w:rPr>
      <w:rFonts w:ascii="Tahoma" w:hAnsi="Tahoma" w:cs="Tahoma"/>
      <w:sz w:val="16"/>
      <w:szCs w:val="16"/>
      <w:lang w:eastAsia="en-US"/>
    </w:rPr>
  </w:style>
  <w:style w:type="paragraph" w:customStyle="1" w:styleId="ConsNormal">
    <w:name w:val="ConsNormal"/>
    <w:link w:val="ConsNormal0"/>
    <w:uiPriority w:val="99"/>
    <w:rsid w:val="0057649E"/>
    <w:pPr>
      <w:widowControl w:val="0"/>
      <w:overflowPunct w:val="0"/>
      <w:autoSpaceDE w:val="0"/>
      <w:autoSpaceDN w:val="0"/>
      <w:adjustRightInd w:val="0"/>
      <w:textAlignment w:val="baseline"/>
    </w:pPr>
  </w:style>
  <w:style w:type="character" w:customStyle="1" w:styleId="ConsNormal0">
    <w:name w:val="ConsNormal Знак"/>
    <w:basedOn w:val="a0"/>
    <w:link w:val="ConsNormal"/>
    <w:uiPriority w:val="99"/>
    <w:locked/>
    <w:rsid w:val="0057649E"/>
    <w:rPr>
      <w:lang w:val="ru-RU" w:eastAsia="ru-RU" w:bidi="ar-SA"/>
    </w:rPr>
  </w:style>
  <w:style w:type="table" w:styleId="af4">
    <w:name w:val="Table Grid"/>
    <w:basedOn w:val="a1"/>
    <w:uiPriority w:val="99"/>
    <w:rsid w:val="009E1BA1"/>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790D"/>
    <w:pPr>
      <w:autoSpaceDE w:val="0"/>
      <w:autoSpaceDN w:val="0"/>
      <w:adjustRightInd w:val="0"/>
      <w:ind w:firstLine="720"/>
    </w:pPr>
    <w:rPr>
      <w:rFonts w:ascii="Arial" w:hAnsi="Arial" w:cs="Arial"/>
    </w:rPr>
  </w:style>
  <w:style w:type="paragraph" w:customStyle="1" w:styleId="Default">
    <w:name w:val="Default"/>
    <w:rsid w:val="008D4D08"/>
    <w:pPr>
      <w:autoSpaceDE w:val="0"/>
      <w:autoSpaceDN w:val="0"/>
      <w:adjustRightInd w:val="0"/>
    </w:pPr>
    <w:rPr>
      <w:color w:val="000000"/>
      <w:sz w:val="24"/>
      <w:szCs w:val="24"/>
    </w:rPr>
  </w:style>
  <w:style w:type="paragraph" w:styleId="af5">
    <w:name w:val="Revision"/>
    <w:hidden/>
    <w:uiPriority w:val="99"/>
    <w:semiHidden/>
    <w:rsid w:val="00F807DB"/>
    <w:rPr>
      <w:sz w:val="24"/>
      <w:szCs w:val="24"/>
      <w:lang w:eastAsia="en-US"/>
    </w:rPr>
  </w:style>
  <w:style w:type="paragraph" w:styleId="af6">
    <w:name w:val="header"/>
    <w:basedOn w:val="a"/>
    <w:link w:val="af7"/>
    <w:uiPriority w:val="99"/>
    <w:semiHidden/>
    <w:unhideWhenUsed/>
    <w:rsid w:val="00922599"/>
    <w:pPr>
      <w:tabs>
        <w:tab w:val="center" w:pos="4677"/>
        <w:tab w:val="right" w:pos="9355"/>
      </w:tabs>
    </w:pPr>
  </w:style>
  <w:style w:type="character" w:customStyle="1" w:styleId="af7">
    <w:name w:val="Верхний колонтитул Знак"/>
    <w:basedOn w:val="a0"/>
    <w:link w:val="af6"/>
    <w:uiPriority w:val="99"/>
    <w:semiHidden/>
    <w:rsid w:val="00922599"/>
    <w:rPr>
      <w:sz w:val="24"/>
      <w:szCs w:val="24"/>
      <w:lang w:eastAsia="en-US"/>
    </w:rPr>
  </w:style>
  <w:style w:type="paragraph" w:styleId="af8">
    <w:name w:val="List Paragraph"/>
    <w:basedOn w:val="a"/>
    <w:uiPriority w:val="34"/>
    <w:qFormat/>
    <w:rsid w:val="00C7732A"/>
    <w:pPr>
      <w:ind w:left="720"/>
      <w:contextualSpacing/>
    </w:pPr>
  </w:style>
  <w:style w:type="character" w:customStyle="1" w:styleId="5">
    <w:name w:val="Основной текст (5)_"/>
    <w:basedOn w:val="a0"/>
    <w:link w:val="50"/>
    <w:uiPriority w:val="99"/>
    <w:rsid w:val="00AD36B4"/>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AD36B4"/>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AD36B4"/>
    <w:pPr>
      <w:shd w:val="clear" w:color="auto" w:fill="FFFFFF"/>
      <w:spacing w:line="277" w:lineRule="exact"/>
      <w:jc w:val="both"/>
    </w:pPr>
    <w:rPr>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2013-05-13T20:00:00+00:00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BB10-0E94-4052-98D4-378AF4D9E5C4}"/>
</file>

<file path=customXml/itemProps2.xml><?xml version="1.0" encoding="utf-8"?>
<ds:datastoreItem xmlns:ds="http://schemas.openxmlformats.org/officeDocument/2006/customXml" ds:itemID="{0CA1E2E8-C89A-4564-8C41-A0F108EF85D2}"/>
</file>

<file path=customXml/itemProps3.xml><?xml version="1.0" encoding="utf-8"?>
<ds:datastoreItem xmlns:ds="http://schemas.openxmlformats.org/officeDocument/2006/customXml" ds:itemID="{AB3CE6B8-5453-493F-B8BF-A9258D7869D3}"/>
</file>

<file path=customXml/itemProps4.xml><?xml version="1.0" encoding="utf-8"?>
<ds:datastoreItem xmlns:ds="http://schemas.openxmlformats.org/officeDocument/2006/customXml" ds:itemID="{F6557E04-414A-49C6-860A-F4E75B0795EF}"/>
</file>

<file path=docProps/app.xml><?xml version="1.0" encoding="utf-8"?>
<Properties xmlns="http://schemas.openxmlformats.org/officeDocument/2006/extended-properties" xmlns:vt="http://schemas.openxmlformats.org/officeDocument/2006/docPropsVTypes">
  <Template>Normal.dotm</Template>
  <TotalTime>1</TotalTime>
  <Pages>22</Pages>
  <Words>7621</Words>
  <Characters>53021</Characters>
  <Application>Microsoft Office Word</Application>
  <DocSecurity>4</DocSecurity>
  <Lines>441</Lines>
  <Paragraphs>121</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Tycoon</Company>
  <LinksUpToDate>false</LinksUpToDate>
  <CharactersWithSpaces>60521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Серебряницкая Ольга</dc:creator>
  <cp:lastModifiedBy>malyhina</cp:lastModifiedBy>
  <cp:revision>2</cp:revision>
  <cp:lastPrinted>2013-04-08T08:47:00Z</cp:lastPrinted>
  <dcterms:created xsi:type="dcterms:W3CDTF">2013-05-15T07:21:00Z</dcterms:created>
  <dcterms:modified xsi:type="dcterms:W3CDTF">2013-05-15T07:21:00Z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