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2B" w:rsidRPr="003F432B" w:rsidRDefault="00C8668F" w:rsidP="00E7323F">
      <w:pPr>
        <w:tabs>
          <w:tab w:val="left" w:pos="6237"/>
          <w:tab w:val="left" w:pos="6379"/>
        </w:tabs>
        <w:spacing w:line="240" w:lineRule="atLeast"/>
        <w:rPr>
          <w:b/>
          <w:sz w:val="22"/>
          <w:szCs w:val="22"/>
        </w:rPr>
      </w:pPr>
      <w:r w:rsidRPr="003F432B">
        <w:rPr>
          <w:sz w:val="22"/>
          <w:szCs w:val="22"/>
        </w:rPr>
        <w:t xml:space="preserve">                                                                                        </w:t>
      </w:r>
      <w:r w:rsidR="00E7323F">
        <w:rPr>
          <w:sz w:val="22"/>
          <w:szCs w:val="22"/>
        </w:rPr>
        <w:t xml:space="preserve">                          </w:t>
      </w:r>
      <w:r w:rsidRPr="003F432B">
        <w:rPr>
          <w:sz w:val="22"/>
          <w:szCs w:val="22"/>
        </w:rPr>
        <w:t xml:space="preserve"> </w:t>
      </w:r>
      <w:r w:rsidR="00E7323F">
        <w:rPr>
          <w:sz w:val="22"/>
          <w:szCs w:val="22"/>
        </w:rPr>
        <w:t xml:space="preserve"> </w:t>
      </w:r>
      <w:r w:rsidR="003F432B" w:rsidRPr="003F432B">
        <w:rPr>
          <w:b/>
          <w:sz w:val="22"/>
          <w:szCs w:val="22"/>
        </w:rPr>
        <w:t xml:space="preserve">УТВЕРЖДАЮ </w:t>
      </w:r>
    </w:p>
    <w:p w:rsidR="003F432B" w:rsidRPr="003F432B" w:rsidRDefault="00E7323F" w:rsidP="00E7323F">
      <w:pPr>
        <w:spacing w:line="240" w:lineRule="atLeast"/>
        <w:rPr>
          <w:b/>
          <w:sz w:val="22"/>
          <w:szCs w:val="22"/>
        </w:rPr>
      </w:pPr>
      <w:r>
        <w:rPr>
          <w:b/>
          <w:sz w:val="22"/>
          <w:szCs w:val="22"/>
        </w:rPr>
        <w:t xml:space="preserve">                                                                                                                  </w:t>
      </w:r>
      <w:r w:rsidR="003F432B" w:rsidRPr="003F432B">
        <w:rPr>
          <w:b/>
          <w:sz w:val="22"/>
          <w:szCs w:val="22"/>
        </w:rPr>
        <w:t xml:space="preserve">  Генеральный директор</w:t>
      </w:r>
    </w:p>
    <w:p w:rsidR="003F432B" w:rsidRPr="003F432B" w:rsidRDefault="00E7323F" w:rsidP="00E7323F">
      <w:pPr>
        <w:tabs>
          <w:tab w:val="left" w:pos="6379"/>
        </w:tabs>
        <w:spacing w:line="240" w:lineRule="atLeast"/>
        <w:rPr>
          <w:b/>
          <w:sz w:val="22"/>
          <w:szCs w:val="22"/>
        </w:rPr>
      </w:pPr>
      <w:r>
        <w:rPr>
          <w:b/>
          <w:sz w:val="22"/>
          <w:szCs w:val="22"/>
        </w:rPr>
        <w:t xml:space="preserve">                                                                                                                  </w:t>
      </w:r>
      <w:r w:rsidR="003F432B" w:rsidRPr="003F432B">
        <w:rPr>
          <w:b/>
          <w:sz w:val="22"/>
          <w:szCs w:val="22"/>
        </w:rPr>
        <w:t xml:space="preserve">  </w:t>
      </w:r>
      <w:r w:rsidR="00E51FBC">
        <w:rPr>
          <w:b/>
          <w:sz w:val="22"/>
          <w:szCs w:val="22"/>
        </w:rPr>
        <w:t>АО «Петербург – Инвест»</w:t>
      </w:r>
    </w:p>
    <w:p w:rsidR="003F432B" w:rsidRPr="003F432B" w:rsidRDefault="003F432B" w:rsidP="003F432B">
      <w:pPr>
        <w:spacing w:line="240" w:lineRule="atLeast"/>
        <w:jc w:val="right"/>
        <w:rPr>
          <w:b/>
          <w:sz w:val="22"/>
          <w:szCs w:val="22"/>
        </w:rPr>
      </w:pPr>
    </w:p>
    <w:p w:rsidR="003F432B" w:rsidRPr="003F432B" w:rsidRDefault="003F432B" w:rsidP="003F432B">
      <w:pPr>
        <w:spacing w:line="360" w:lineRule="auto"/>
        <w:jc w:val="right"/>
        <w:rPr>
          <w:b/>
          <w:sz w:val="22"/>
          <w:szCs w:val="22"/>
        </w:rPr>
      </w:pPr>
      <w:r w:rsidRPr="003F432B">
        <w:rPr>
          <w:b/>
          <w:sz w:val="22"/>
          <w:szCs w:val="22"/>
        </w:rPr>
        <w:tab/>
        <w:t xml:space="preserve">                                                                             __</w:t>
      </w:r>
      <w:r w:rsidRPr="003F432B">
        <w:rPr>
          <w:b/>
          <w:bCs/>
          <w:sz w:val="22"/>
          <w:szCs w:val="22"/>
        </w:rPr>
        <w:t>_______________</w:t>
      </w:r>
      <w:r w:rsidR="005C7B5C">
        <w:rPr>
          <w:b/>
          <w:bCs/>
          <w:sz w:val="22"/>
          <w:szCs w:val="22"/>
        </w:rPr>
        <w:t>/</w:t>
      </w:r>
      <w:r w:rsidRPr="003F432B">
        <w:rPr>
          <w:b/>
          <w:bCs/>
          <w:sz w:val="22"/>
          <w:szCs w:val="22"/>
        </w:rPr>
        <w:t xml:space="preserve"> </w:t>
      </w:r>
      <w:r w:rsidR="00E51FBC">
        <w:rPr>
          <w:b/>
          <w:bCs/>
          <w:sz w:val="22"/>
          <w:szCs w:val="22"/>
        </w:rPr>
        <w:t>Павлов</w:t>
      </w:r>
      <w:r w:rsidRPr="003F432B">
        <w:rPr>
          <w:b/>
          <w:bCs/>
          <w:sz w:val="22"/>
          <w:szCs w:val="22"/>
        </w:rPr>
        <w:t xml:space="preserve">  </w:t>
      </w:r>
      <w:r w:rsidR="00355B95">
        <w:rPr>
          <w:b/>
          <w:bCs/>
          <w:sz w:val="22"/>
          <w:szCs w:val="22"/>
        </w:rPr>
        <w:t>А</w:t>
      </w:r>
      <w:r w:rsidRPr="003F432B">
        <w:rPr>
          <w:b/>
          <w:bCs/>
          <w:sz w:val="22"/>
          <w:szCs w:val="22"/>
        </w:rPr>
        <w:t>.</w:t>
      </w:r>
      <w:r w:rsidR="00E51FBC">
        <w:rPr>
          <w:b/>
          <w:bCs/>
          <w:sz w:val="22"/>
          <w:szCs w:val="22"/>
        </w:rPr>
        <w:t>М</w:t>
      </w:r>
      <w:r w:rsidRPr="003F432B">
        <w:rPr>
          <w:b/>
          <w:bCs/>
          <w:sz w:val="22"/>
          <w:szCs w:val="22"/>
        </w:rPr>
        <w:t>.</w:t>
      </w:r>
      <w:r w:rsidRPr="003F432B">
        <w:rPr>
          <w:b/>
          <w:sz w:val="22"/>
          <w:szCs w:val="22"/>
        </w:rPr>
        <w:t xml:space="preserve">                                   </w:t>
      </w:r>
    </w:p>
    <w:p w:rsidR="000510D3" w:rsidRPr="00C8668F" w:rsidRDefault="003F432B" w:rsidP="00D42657">
      <w:pPr>
        <w:tabs>
          <w:tab w:val="left" w:pos="6379"/>
          <w:tab w:val="left" w:pos="6521"/>
        </w:tabs>
        <w:jc w:val="center"/>
        <w:rPr>
          <w:rFonts w:ascii="Times New Roman CYR" w:hAnsi="Times New Roman CYR" w:cs="Times New Roman CYR"/>
        </w:rPr>
      </w:pPr>
      <w:r w:rsidRPr="003F432B">
        <w:rPr>
          <w:b/>
          <w:bCs/>
          <w:sz w:val="22"/>
          <w:szCs w:val="22"/>
        </w:rPr>
        <w:t xml:space="preserve">                                                                                                                </w:t>
      </w:r>
      <w:r w:rsidR="00D42657" w:rsidRPr="001E3778">
        <w:rPr>
          <w:b/>
          <w:bCs/>
          <w:sz w:val="22"/>
          <w:szCs w:val="22"/>
        </w:rPr>
        <w:t xml:space="preserve">   </w:t>
      </w:r>
      <w:r w:rsidR="00E7323F">
        <w:rPr>
          <w:b/>
          <w:bCs/>
          <w:sz w:val="22"/>
          <w:szCs w:val="22"/>
        </w:rPr>
        <w:t xml:space="preserve"> </w:t>
      </w:r>
      <w:r w:rsidRPr="0078466F">
        <w:rPr>
          <w:b/>
          <w:bCs/>
          <w:sz w:val="22"/>
          <w:szCs w:val="22"/>
        </w:rPr>
        <w:t>(</w:t>
      </w:r>
      <w:r w:rsidRPr="00A354FD">
        <w:rPr>
          <w:b/>
          <w:sz w:val="22"/>
          <w:szCs w:val="22"/>
        </w:rPr>
        <w:t>Приказ  №</w:t>
      </w:r>
      <w:r w:rsidR="005F12EF" w:rsidRPr="00EF42C8">
        <w:rPr>
          <w:b/>
          <w:sz w:val="22"/>
          <w:szCs w:val="22"/>
        </w:rPr>
        <w:t>15</w:t>
      </w:r>
      <w:r w:rsidR="0001339D" w:rsidRPr="005F12EF">
        <w:rPr>
          <w:b/>
          <w:sz w:val="22"/>
          <w:szCs w:val="22"/>
        </w:rPr>
        <w:t>/</w:t>
      </w:r>
      <w:r w:rsidR="00F6640C" w:rsidRPr="005F12EF">
        <w:rPr>
          <w:b/>
          <w:sz w:val="22"/>
          <w:szCs w:val="22"/>
        </w:rPr>
        <w:t>0</w:t>
      </w:r>
      <w:r w:rsidR="009F3A1F" w:rsidRPr="005F12EF">
        <w:rPr>
          <w:b/>
          <w:sz w:val="22"/>
          <w:szCs w:val="22"/>
        </w:rPr>
        <w:t>8</w:t>
      </w:r>
      <w:r w:rsidRPr="005F12EF">
        <w:rPr>
          <w:b/>
          <w:sz w:val="22"/>
          <w:szCs w:val="22"/>
        </w:rPr>
        <w:t>-1</w:t>
      </w:r>
      <w:r w:rsidR="00D158CF" w:rsidRPr="005F12EF">
        <w:rPr>
          <w:b/>
          <w:sz w:val="22"/>
          <w:szCs w:val="22"/>
        </w:rPr>
        <w:t>8</w:t>
      </w:r>
      <w:r w:rsidRPr="005F12EF">
        <w:rPr>
          <w:b/>
          <w:sz w:val="22"/>
          <w:szCs w:val="22"/>
        </w:rPr>
        <w:t xml:space="preserve"> от </w:t>
      </w:r>
      <w:r w:rsidR="005F12EF" w:rsidRPr="00EF42C8">
        <w:rPr>
          <w:b/>
          <w:sz w:val="22"/>
          <w:szCs w:val="22"/>
        </w:rPr>
        <w:t>30</w:t>
      </w:r>
      <w:r w:rsidRPr="005F12EF">
        <w:rPr>
          <w:b/>
          <w:sz w:val="22"/>
          <w:szCs w:val="22"/>
        </w:rPr>
        <w:t>.</w:t>
      </w:r>
      <w:r w:rsidR="00E51FBC" w:rsidRPr="005F12EF">
        <w:rPr>
          <w:b/>
          <w:sz w:val="22"/>
          <w:szCs w:val="22"/>
        </w:rPr>
        <w:t>0</w:t>
      </w:r>
      <w:r w:rsidR="009F3A1F" w:rsidRPr="005F12EF">
        <w:rPr>
          <w:b/>
          <w:sz w:val="22"/>
          <w:szCs w:val="22"/>
        </w:rPr>
        <w:t>8</w:t>
      </w:r>
      <w:r w:rsidRPr="005F12EF">
        <w:rPr>
          <w:b/>
          <w:sz w:val="22"/>
          <w:szCs w:val="22"/>
        </w:rPr>
        <w:t>.</w:t>
      </w:r>
      <w:r w:rsidRPr="00A354FD">
        <w:rPr>
          <w:b/>
          <w:sz w:val="22"/>
          <w:szCs w:val="22"/>
        </w:rPr>
        <w:t>201</w:t>
      </w:r>
      <w:r w:rsidR="00D158CF" w:rsidRPr="001C4E47">
        <w:rPr>
          <w:b/>
          <w:sz w:val="22"/>
          <w:szCs w:val="22"/>
        </w:rPr>
        <w:t>8</w:t>
      </w:r>
      <w:r w:rsidRPr="00A354FD">
        <w:rPr>
          <w:b/>
          <w:sz w:val="22"/>
          <w:szCs w:val="22"/>
        </w:rPr>
        <w:t>)</w:t>
      </w:r>
      <w:r w:rsidRPr="003F432B">
        <w:rPr>
          <w:sz w:val="22"/>
          <w:szCs w:val="22"/>
        </w:rPr>
        <w:t xml:space="preserve">                      </w:t>
      </w:r>
    </w:p>
    <w:p w:rsidR="00F735E7" w:rsidRDefault="00F735E7" w:rsidP="00F735E7">
      <w:pPr>
        <w:jc w:val="center"/>
        <w:rPr>
          <w:rFonts w:ascii="Times New Roman CYR" w:hAnsi="Times New Roman CYR" w:cs="Times New Roman CYR"/>
        </w:rPr>
      </w:pPr>
    </w:p>
    <w:p w:rsidR="00F735E7" w:rsidRPr="005F12EF" w:rsidRDefault="00F735E7" w:rsidP="00F735E7">
      <w:pPr>
        <w:jc w:val="center"/>
        <w:rPr>
          <w:rFonts w:ascii="Times New Roman CYR" w:hAnsi="Times New Roman CYR" w:cs="Times New Roman CYR"/>
          <w:sz w:val="16"/>
          <w:szCs w:val="16"/>
        </w:rPr>
      </w:pPr>
    </w:p>
    <w:p w:rsidR="00F735E7" w:rsidRPr="005F12EF" w:rsidRDefault="00F735E7" w:rsidP="00F735E7">
      <w:pPr>
        <w:jc w:val="center"/>
        <w:rPr>
          <w:rFonts w:ascii="Times New Roman CYR" w:hAnsi="Times New Roman CYR" w:cs="Times New Roman CYR"/>
          <w:sz w:val="16"/>
          <w:szCs w:val="16"/>
        </w:rPr>
      </w:pPr>
    </w:p>
    <w:p w:rsidR="00F735E7" w:rsidRPr="005F12EF" w:rsidRDefault="00F735E7" w:rsidP="00F735E7">
      <w:pPr>
        <w:jc w:val="center"/>
        <w:rPr>
          <w:rFonts w:ascii="Times New Roman CYR" w:hAnsi="Times New Roman CYR" w:cs="Times New Roman CYR"/>
          <w:sz w:val="16"/>
          <w:szCs w:val="16"/>
        </w:rPr>
      </w:pPr>
    </w:p>
    <w:p w:rsidR="0040698E" w:rsidRPr="005F12EF" w:rsidRDefault="0040698E" w:rsidP="00F735E7">
      <w:pPr>
        <w:jc w:val="center"/>
        <w:rPr>
          <w:rFonts w:ascii="Times New Roman CYR" w:hAnsi="Times New Roman CYR" w:cs="Times New Roman CYR"/>
          <w:sz w:val="16"/>
          <w:szCs w:val="16"/>
        </w:rPr>
      </w:pPr>
    </w:p>
    <w:p w:rsidR="00121D11" w:rsidRPr="00CD4E94" w:rsidRDefault="00121D11" w:rsidP="00121D11">
      <w:pPr>
        <w:jc w:val="center"/>
        <w:rPr>
          <w:rFonts w:ascii="Times New Roman CYR" w:hAnsi="Times New Roman CYR" w:cs="Times New Roman CYR"/>
          <w:b/>
          <w:bCs/>
          <w:sz w:val="28"/>
          <w:szCs w:val="28"/>
        </w:rPr>
      </w:pPr>
      <w:r w:rsidRPr="00CD4E94">
        <w:rPr>
          <w:rFonts w:ascii="Times New Roman CYR" w:hAnsi="Times New Roman CYR" w:cs="Times New Roman CYR"/>
          <w:b/>
          <w:bCs/>
          <w:sz w:val="28"/>
          <w:szCs w:val="28"/>
        </w:rPr>
        <w:t>Изменения и дополнения №</w:t>
      </w:r>
      <w:r w:rsidR="0017209A">
        <w:rPr>
          <w:rFonts w:ascii="Times New Roman CYR" w:hAnsi="Times New Roman CYR" w:cs="Times New Roman CYR"/>
          <w:b/>
          <w:bCs/>
          <w:sz w:val="28"/>
          <w:szCs w:val="28"/>
        </w:rPr>
        <w:t>19</w:t>
      </w:r>
      <w:r w:rsidRPr="00CD4E94">
        <w:rPr>
          <w:rFonts w:ascii="Times New Roman CYR" w:hAnsi="Times New Roman CYR" w:cs="Times New Roman CYR"/>
          <w:b/>
          <w:bCs/>
          <w:sz w:val="28"/>
          <w:szCs w:val="28"/>
        </w:rPr>
        <w:t xml:space="preserve"> </w:t>
      </w:r>
    </w:p>
    <w:p w:rsidR="00121D11" w:rsidRPr="00CD4E94" w:rsidRDefault="00121D11" w:rsidP="00121D11">
      <w:pPr>
        <w:jc w:val="center"/>
        <w:rPr>
          <w:rFonts w:ascii="Times New Roman CYR" w:hAnsi="Times New Roman CYR" w:cs="Times New Roman CYR"/>
          <w:b/>
          <w:bCs/>
          <w:sz w:val="28"/>
          <w:szCs w:val="28"/>
        </w:rPr>
      </w:pPr>
      <w:r w:rsidRPr="00CD4E94">
        <w:rPr>
          <w:rFonts w:ascii="Times New Roman CYR" w:hAnsi="Times New Roman CYR" w:cs="Times New Roman CYR"/>
          <w:b/>
          <w:bCs/>
          <w:sz w:val="28"/>
          <w:szCs w:val="28"/>
        </w:rPr>
        <w:t xml:space="preserve">в </w:t>
      </w:r>
      <w:r>
        <w:rPr>
          <w:rFonts w:ascii="Times New Roman CYR" w:hAnsi="Times New Roman CYR" w:cs="Times New Roman CYR"/>
          <w:b/>
          <w:bCs/>
          <w:sz w:val="28"/>
          <w:szCs w:val="28"/>
        </w:rPr>
        <w:t>П</w:t>
      </w:r>
      <w:r w:rsidRPr="00CD4E94">
        <w:rPr>
          <w:rFonts w:ascii="Times New Roman CYR" w:hAnsi="Times New Roman CYR" w:cs="Times New Roman CYR"/>
          <w:b/>
          <w:bCs/>
          <w:sz w:val="28"/>
          <w:szCs w:val="28"/>
        </w:rPr>
        <w:t xml:space="preserve">равила доверительного управления </w:t>
      </w:r>
    </w:p>
    <w:p w:rsidR="00D83980" w:rsidRPr="001C4E47" w:rsidRDefault="00121D11" w:rsidP="00121D11">
      <w:pPr>
        <w:jc w:val="center"/>
        <w:rPr>
          <w:rFonts w:ascii="Times New Roman CYR" w:hAnsi="Times New Roman CYR" w:cs="Times New Roman CYR"/>
          <w:b/>
          <w:bCs/>
          <w:sz w:val="28"/>
          <w:szCs w:val="28"/>
        </w:rPr>
      </w:pPr>
      <w:r w:rsidRPr="00CD4E94">
        <w:rPr>
          <w:rFonts w:ascii="Times New Roman CYR" w:hAnsi="Times New Roman CYR" w:cs="Times New Roman CYR"/>
          <w:b/>
          <w:bCs/>
          <w:sz w:val="28"/>
          <w:szCs w:val="28"/>
        </w:rPr>
        <w:t>Открытым паевым инвестиционным фондом</w:t>
      </w:r>
      <w:r>
        <w:rPr>
          <w:rFonts w:ascii="Times New Roman CYR" w:hAnsi="Times New Roman CYR" w:cs="Times New Roman CYR"/>
          <w:b/>
          <w:bCs/>
          <w:sz w:val="28"/>
          <w:szCs w:val="28"/>
        </w:rPr>
        <w:t xml:space="preserve"> </w:t>
      </w:r>
    </w:p>
    <w:p w:rsidR="00121D11" w:rsidRPr="00CD4E94" w:rsidRDefault="00D83980" w:rsidP="00121D11">
      <w:pPr>
        <w:jc w:val="center"/>
        <w:rPr>
          <w:rFonts w:ascii="Times New Roman CYR" w:hAnsi="Times New Roman CYR" w:cs="Times New Roman CYR"/>
          <w:b/>
          <w:bCs/>
          <w:sz w:val="28"/>
          <w:szCs w:val="28"/>
        </w:rPr>
      </w:pPr>
      <w:r w:rsidRPr="00D83980">
        <w:rPr>
          <w:rFonts w:ascii="Times New Roman CYR" w:hAnsi="Times New Roman CYR" w:cs="Times New Roman CYR"/>
          <w:b/>
          <w:bCs/>
          <w:sz w:val="28"/>
          <w:szCs w:val="28"/>
        </w:rPr>
        <w:t xml:space="preserve">рыночных финансовых инструментов </w:t>
      </w:r>
      <w:r w:rsidR="00121D11" w:rsidRPr="00CD4E94">
        <w:rPr>
          <w:rFonts w:ascii="Times New Roman CYR" w:hAnsi="Times New Roman CYR" w:cs="Times New Roman CYR"/>
          <w:b/>
          <w:bCs/>
          <w:sz w:val="28"/>
          <w:szCs w:val="28"/>
        </w:rPr>
        <w:t>«Сб</w:t>
      </w:r>
      <w:r w:rsidR="0017209A">
        <w:rPr>
          <w:rFonts w:ascii="Times New Roman CYR" w:hAnsi="Times New Roman CYR" w:cs="Times New Roman CYR"/>
          <w:b/>
          <w:bCs/>
          <w:sz w:val="28"/>
          <w:szCs w:val="28"/>
        </w:rPr>
        <w:t>ерегатель</w:t>
      </w:r>
      <w:r w:rsidR="00121D11" w:rsidRPr="00CD4E94">
        <w:rPr>
          <w:rFonts w:ascii="Times New Roman CYR" w:hAnsi="Times New Roman CYR" w:cs="Times New Roman CYR"/>
          <w:b/>
          <w:bCs/>
          <w:sz w:val="28"/>
          <w:szCs w:val="28"/>
        </w:rPr>
        <w:t>ный»</w:t>
      </w:r>
    </w:p>
    <w:p w:rsidR="00121D11" w:rsidRPr="00C8668F" w:rsidRDefault="00121D11" w:rsidP="00121D11">
      <w:pPr>
        <w:jc w:val="center"/>
        <w:rPr>
          <w:rFonts w:ascii="Times New Roman CYR" w:hAnsi="Times New Roman CYR" w:cs="Times New Roman CYR"/>
          <w:b/>
          <w:bCs/>
          <w:sz w:val="16"/>
          <w:szCs w:val="16"/>
        </w:rPr>
      </w:pPr>
    </w:p>
    <w:p w:rsidR="00121D11" w:rsidRDefault="00121D11" w:rsidP="00121D11">
      <w:pPr>
        <w:jc w:val="center"/>
        <w:rPr>
          <w:rFonts w:ascii="Times New Roman CYR" w:hAnsi="Times New Roman CYR" w:cs="Times New Roman CYR"/>
        </w:rPr>
      </w:pPr>
      <w:r>
        <w:rPr>
          <w:rFonts w:ascii="Times New Roman CYR" w:hAnsi="Times New Roman CYR" w:cs="Times New Roman CYR"/>
        </w:rPr>
        <w:t xml:space="preserve">(Правила зарегистрированы </w:t>
      </w:r>
      <w:r w:rsidR="0017209A">
        <w:rPr>
          <w:rFonts w:cs="Times New Roman CYR"/>
        </w:rPr>
        <w:t>22.12.</w:t>
      </w:r>
      <w:r w:rsidR="0017209A">
        <w:rPr>
          <w:rFonts w:cs="Times New Roman CYR"/>
          <w:lang w:val="en-US"/>
        </w:rPr>
        <w:t>20</w:t>
      </w:r>
      <w:r w:rsidR="0017209A">
        <w:rPr>
          <w:rFonts w:cs="Times New Roman CYR"/>
        </w:rPr>
        <w:t xml:space="preserve">05 № </w:t>
      </w:r>
      <w:r w:rsidR="0017209A">
        <w:t>0450-75409623</w:t>
      </w:r>
      <w:r>
        <w:rPr>
          <w:rFonts w:ascii="Times New Roman CYR" w:hAnsi="Times New Roman CYR" w:cs="Times New Roman CYR"/>
        </w:rPr>
        <w:t>)</w:t>
      </w:r>
    </w:p>
    <w:p w:rsidR="007A330E" w:rsidRPr="00915340" w:rsidRDefault="007A330E" w:rsidP="00F735E7">
      <w:pPr>
        <w:rPr>
          <w:rFonts w:ascii="Times New Roman CYR" w:hAnsi="Times New Roman CYR" w:cs="Times New Roman CYR"/>
          <w:sz w:val="16"/>
          <w:szCs w:val="16"/>
        </w:rPr>
      </w:pPr>
    </w:p>
    <w:tbl>
      <w:tblPr>
        <w:tblW w:w="9879" w:type="dxa"/>
        <w:tblLayout w:type="fixed"/>
        <w:tblLook w:val="0000"/>
      </w:tblPr>
      <w:tblGrid>
        <w:gridCol w:w="4918"/>
        <w:gridCol w:w="4961"/>
      </w:tblGrid>
      <w:tr w:rsidR="00F735E7" w:rsidTr="0015192C">
        <w:tc>
          <w:tcPr>
            <w:tcW w:w="4918" w:type="dxa"/>
            <w:tcBorders>
              <w:top w:val="single" w:sz="4" w:space="0" w:color="auto"/>
              <w:left w:val="single" w:sz="4" w:space="0" w:color="auto"/>
              <w:bottom w:val="single" w:sz="4" w:space="0" w:color="auto"/>
              <w:right w:val="single" w:sz="4" w:space="0" w:color="auto"/>
            </w:tcBorders>
          </w:tcPr>
          <w:p w:rsidR="00F735E7" w:rsidRDefault="00F735E7" w:rsidP="00E74E62">
            <w:pPr>
              <w:pStyle w:val="1"/>
            </w:pPr>
            <w:r>
              <w:t>Старая редакция</w:t>
            </w:r>
          </w:p>
        </w:tc>
        <w:tc>
          <w:tcPr>
            <w:tcW w:w="4961" w:type="dxa"/>
            <w:tcBorders>
              <w:top w:val="single" w:sz="4" w:space="0" w:color="auto"/>
              <w:left w:val="single" w:sz="4" w:space="0" w:color="auto"/>
              <w:bottom w:val="single" w:sz="4" w:space="0" w:color="auto"/>
              <w:right w:val="single" w:sz="4" w:space="0" w:color="auto"/>
            </w:tcBorders>
          </w:tcPr>
          <w:p w:rsidR="00F735E7" w:rsidRDefault="00F735E7" w:rsidP="00E74E62">
            <w:pPr>
              <w:pStyle w:val="1"/>
            </w:pPr>
            <w:r>
              <w:t>Новая редакция</w:t>
            </w:r>
          </w:p>
        </w:tc>
      </w:tr>
      <w:tr w:rsidR="001E3778" w:rsidTr="0015192C">
        <w:tc>
          <w:tcPr>
            <w:tcW w:w="4918" w:type="dxa"/>
            <w:tcBorders>
              <w:top w:val="single" w:sz="4" w:space="0" w:color="auto"/>
              <w:left w:val="single" w:sz="4" w:space="0" w:color="auto"/>
              <w:bottom w:val="single" w:sz="4" w:space="0" w:color="auto"/>
              <w:right w:val="single" w:sz="4" w:space="0" w:color="auto"/>
            </w:tcBorders>
          </w:tcPr>
          <w:p w:rsidR="00D83980" w:rsidRDefault="00D83980" w:rsidP="00D83980">
            <w:pPr>
              <w:tabs>
                <w:tab w:val="left" w:pos="9072"/>
              </w:tabs>
              <w:autoSpaceDE w:val="0"/>
              <w:autoSpaceDN w:val="0"/>
              <w:adjustRightInd w:val="0"/>
              <w:spacing w:line="240" w:lineRule="atLeast"/>
              <w:ind w:firstLine="426"/>
              <w:jc w:val="both"/>
            </w:pPr>
            <w:bookmarkStart w:id="0" w:name="OLE_LINK13"/>
            <w:bookmarkStart w:id="1" w:name="OLE_LINK14"/>
            <w:bookmarkStart w:id="2" w:name="OLE_LINK15"/>
            <w:r w:rsidRPr="000F05FC">
              <w:rPr>
                <w:b/>
              </w:rPr>
              <w:t xml:space="preserve">Пункт </w:t>
            </w:r>
            <w:r>
              <w:rPr>
                <w:b/>
              </w:rPr>
              <w:t>7</w:t>
            </w:r>
            <w:r w:rsidRPr="000F05FC">
              <w:rPr>
                <w:b/>
              </w:rPr>
              <w:t>.</w:t>
            </w:r>
            <w:r w:rsidRPr="00452973">
              <w:t> </w:t>
            </w:r>
          </w:p>
          <w:p w:rsidR="001E3778" w:rsidRDefault="00D83980" w:rsidP="00D158CF">
            <w:pPr>
              <w:tabs>
                <w:tab w:val="left" w:pos="426"/>
              </w:tabs>
              <w:spacing w:before="120" w:after="120" w:line="240" w:lineRule="atLeast"/>
              <w:ind w:firstLine="426"/>
              <w:jc w:val="both"/>
            </w:pPr>
            <w:bookmarkStart w:id="3" w:name="p_7"/>
            <w:bookmarkEnd w:id="3"/>
            <w:r w:rsidRPr="00AE638A">
              <w:t>Полное фирменное наименование сп</w:t>
            </w:r>
            <w:r w:rsidRPr="00AE638A">
              <w:t>е</w:t>
            </w:r>
            <w:r w:rsidRPr="00AE638A">
              <w:t xml:space="preserve">циализированного депозитария фонда  (далее  - специализированный депозитарий): </w:t>
            </w:r>
            <w:r w:rsidRPr="005B13FF">
              <w:t>Общ</w:t>
            </w:r>
            <w:r w:rsidRPr="005B13FF">
              <w:t>е</w:t>
            </w:r>
            <w:r w:rsidRPr="005B13FF">
              <w:t>ство с ограниченной ответственностью «Специализированный депозитарий Сбе</w:t>
            </w:r>
            <w:r w:rsidRPr="005B13FF">
              <w:t>р</w:t>
            </w:r>
            <w:r w:rsidRPr="005B13FF">
              <w:t>банка».</w:t>
            </w:r>
            <w:bookmarkEnd w:id="0"/>
            <w:bookmarkEnd w:id="1"/>
            <w:bookmarkEnd w:id="2"/>
          </w:p>
        </w:tc>
        <w:tc>
          <w:tcPr>
            <w:tcW w:w="4961" w:type="dxa"/>
            <w:tcBorders>
              <w:top w:val="single" w:sz="4" w:space="0" w:color="auto"/>
              <w:left w:val="single" w:sz="4" w:space="0" w:color="auto"/>
              <w:bottom w:val="single" w:sz="4" w:space="0" w:color="auto"/>
              <w:right w:val="single" w:sz="4" w:space="0" w:color="auto"/>
            </w:tcBorders>
          </w:tcPr>
          <w:p w:rsidR="00D83980" w:rsidRDefault="00D83980" w:rsidP="00D158CF">
            <w:pPr>
              <w:tabs>
                <w:tab w:val="left" w:pos="9072"/>
              </w:tabs>
              <w:autoSpaceDE w:val="0"/>
              <w:autoSpaceDN w:val="0"/>
              <w:adjustRightInd w:val="0"/>
              <w:spacing w:line="240" w:lineRule="atLeast"/>
              <w:ind w:firstLine="469"/>
              <w:jc w:val="both"/>
            </w:pPr>
            <w:r w:rsidRPr="000F05FC">
              <w:rPr>
                <w:b/>
              </w:rPr>
              <w:t xml:space="preserve">Пункт </w:t>
            </w:r>
            <w:r>
              <w:rPr>
                <w:b/>
              </w:rPr>
              <w:t>7</w:t>
            </w:r>
            <w:r w:rsidRPr="000F05FC">
              <w:rPr>
                <w:b/>
              </w:rPr>
              <w:t>.</w:t>
            </w:r>
            <w:r w:rsidRPr="00452973">
              <w:t> </w:t>
            </w:r>
          </w:p>
          <w:p w:rsidR="00D83980" w:rsidRPr="005B6641" w:rsidRDefault="00D83980" w:rsidP="005B6641">
            <w:pPr>
              <w:tabs>
                <w:tab w:val="left" w:pos="426"/>
              </w:tabs>
              <w:spacing w:before="120" w:after="120" w:line="240" w:lineRule="atLeast"/>
              <w:ind w:firstLine="426"/>
              <w:jc w:val="both"/>
              <w:rPr>
                <w:b/>
              </w:rPr>
            </w:pPr>
            <w:r w:rsidRPr="00AE638A">
              <w:t>Полное фирменное наименование сп</w:t>
            </w:r>
            <w:r w:rsidRPr="00AE638A">
              <w:t>е</w:t>
            </w:r>
            <w:r w:rsidRPr="00AE638A">
              <w:t xml:space="preserve">циализированного депозитария фонда  (далее  - специализированный депозитарий): </w:t>
            </w:r>
            <w:bookmarkStart w:id="4" w:name="OLE_LINK45"/>
            <w:bookmarkStart w:id="5" w:name="OLE_LINK46"/>
            <w:r w:rsidR="005B6641" w:rsidRPr="005B6641">
              <w:rPr>
                <w:b/>
              </w:rPr>
              <w:t>Закр</w:t>
            </w:r>
            <w:r w:rsidR="005B6641" w:rsidRPr="005B6641">
              <w:rPr>
                <w:b/>
              </w:rPr>
              <w:t>ы</w:t>
            </w:r>
            <w:r w:rsidR="005B6641" w:rsidRPr="005B6641">
              <w:rPr>
                <w:b/>
              </w:rPr>
              <w:t>тое  акционерное  общество «Первый Сп</w:t>
            </w:r>
            <w:r w:rsidR="005B6641" w:rsidRPr="005B6641">
              <w:rPr>
                <w:b/>
              </w:rPr>
              <w:t>е</w:t>
            </w:r>
            <w:r w:rsidR="005B6641" w:rsidRPr="005B6641">
              <w:rPr>
                <w:b/>
              </w:rPr>
              <w:t>циализированный Депозитарий».</w:t>
            </w:r>
          </w:p>
          <w:bookmarkEnd w:id="4"/>
          <w:bookmarkEnd w:id="5"/>
          <w:p w:rsidR="001E3778" w:rsidRDefault="001E3778" w:rsidP="00D158CF">
            <w:pPr>
              <w:pStyle w:val="1"/>
              <w:ind w:firstLine="469"/>
            </w:pPr>
          </w:p>
        </w:tc>
      </w:tr>
      <w:tr w:rsidR="00355B95" w:rsidTr="0015192C">
        <w:tc>
          <w:tcPr>
            <w:tcW w:w="4918" w:type="dxa"/>
            <w:tcBorders>
              <w:top w:val="single" w:sz="4" w:space="0" w:color="auto"/>
              <w:left w:val="single" w:sz="4" w:space="0" w:color="auto"/>
              <w:bottom w:val="single" w:sz="4" w:space="0" w:color="auto"/>
              <w:right w:val="single" w:sz="4" w:space="0" w:color="auto"/>
            </w:tcBorders>
          </w:tcPr>
          <w:p w:rsidR="000F05FC" w:rsidRDefault="000F05FC" w:rsidP="005C7B5C">
            <w:pPr>
              <w:tabs>
                <w:tab w:val="left" w:pos="9072"/>
              </w:tabs>
              <w:autoSpaceDE w:val="0"/>
              <w:autoSpaceDN w:val="0"/>
              <w:adjustRightInd w:val="0"/>
              <w:spacing w:line="240" w:lineRule="atLeast"/>
              <w:ind w:firstLine="426"/>
              <w:jc w:val="both"/>
            </w:pPr>
            <w:bookmarkStart w:id="6" w:name="OLE_LINK10"/>
            <w:bookmarkStart w:id="7" w:name="OLE_LINK11"/>
            <w:bookmarkStart w:id="8" w:name="OLE_LINK12"/>
            <w:r w:rsidRPr="000F05FC">
              <w:rPr>
                <w:b/>
              </w:rPr>
              <w:t xml:space="preserve">Пункт </w:t>
            </w:r>
            <w:r w:rsidR="00D83980" w:rsidRPr="00D83980">
              <w:rPr>
                <w:b/>
              </w:rPr>
              <w:t>8</w:t>
            </w:r>
            <w:r w:rsidR="00277039" w:rsidRPr="000F05FC">
              <w:rPr>
                <w:b/>
              </w:rPr>
              <w:t>.</w:t>
            </w:r>
            <w:r w:rsidR="00277039" w:rsidRPr="00452973">
              <w:t> </w:t>
            </w:r>
          </w:p>
          <w:p w:rsidR="00355B95" w:rsidRPr="00D158CF" w:rsidRDefault="00D83980" w:rsidP="00D158CF">
            <w:pPr>
              <w:tabs>
                <w:tab w:val="left" w:pos="426"/>
              </w:tabs>
              <w:spacing w:before="120" w:after="120" w:line="240" w:lineRule="atLeast"/>
              <w:ind w:firstLine="426"/>
              <w:jc w:val="both"/>
              <w:rPr>
                <w:lang w:val="en-US"/>
              </w:rPr>
            </w:pPr>
            <w:bookmarkStart w:id="9" w:name="OLE_LINK16"/>
            <w:bookmarkStart w:id="10" w:name="OLE_LINK17"/>
            <w:bookmarkEnd w:id="6"/>
            <w:bookmarkEnd w:id="7"/>
            <w:bookmarkEnd w:id="8"/>
            <w:r w:rsidRPr="00AE638A">
              <w:t xml:space="preserve">Место нахождения специализированного депозитария: Российская </w:t>
            </w:r>
            <w:r w:rsidRPr="005B13FF">
              <w:t>Федерация, 119334,  г. Москва, ул. Вавилова, д.3.</w:t>
            </w:r>
            <w:bookmarkStart w:id="11" w:name="p_8"/>
            <w:bookmarkEnd w:id="9"/>
            <w:bookmarkEnd w:id="10"/>
            <w:bookmarkEnd w:id="11"/>
          </w:p>
        </w:tc>
        <w:tc>
          <w:tcPr>
            <w:tcW w:w="4961" w:type="dxa"/>
            <w:tcBorders>
              <w:top w:val="single" w:sz="4" w:space="0" w:color="auto"/>
              <w:left w:val="single" w:sz="4" w:space="0" w:color="auto"/>
              <w:bottom w:val="single" w:sz="4" w:space="0" w:color="auto"/>
              <w:right w:val="single" w:sz="4" w:space="0" w:color="auto"/>
            </w:tcBorders>
          </w:tcPr>
          <w:p w:rsidR="000F05FC" w:rsidRDefault="000F05FC" w:rsidP="00D158CF">
            <w:pPr>
              <w:tabs>
                <w:tab w:val="left" w:pos="9072"/>
              </w:tabs>
              <w:autoSpaceDE w:val="0"/>
              <w:autoSpaceDN w:val="0"/>
              <w:adjustRightInd w:val="0"/>
              <w:spacing w:line="240" w:lineRule="atLeast"/>
              <w:ind w:firstLine="469"/>
              <w:jc w:val="both"/>
            </w:pPr>
            <w:bookmarkStart w:id="12" w:name="OLE_LINK3"/>
            <w:bookmarkStart w:id="13" w:name="OLE_LINK4"/>
            <w:r w:rsidRPr="000F05FC">
              <w:rPr>
                <w:b/>
              </w:rPr>
              <w:t xml:space="preserve">Пункт </w:t>
            </w:r>
            <w:r w:rsidR="00D83980" w:rsidRPr="00D83980">
              <w:rPr>
                <w:b/>
              </w:rPr>
              <w:t>8</w:t>
            </w:r>
            <w:r w:rsidRPr="000F05FC">
              <w:rPr>
                <w:b/>
              </w:rPr>
              <w:t>.</w:t>
            </w:r>
            <w:r w:rsidRPr="00452973">
              <w:t> </w:t>
            </w:r>
          </w:p>
          <w:p w:rsidR="00355B95" w:rsidRPr="00E51FBC" w:rsidRDefault="00D83980" w:rsidP="00D158CF">
            <w:pPr>
              <w:tabs>
                <w:tab w:val="left" w:pos="426"/>
              </w:tabs>
              <w:spacing w:before="120" w:after="120" w:line="240" w:lineRule="atLeast"/>
              <w:ind w:firstLine="469"/>
              <w:jc w:val="both"/>
              <w:rPr>
                <w:b/>
              </w:rPr>
            </w:pPr>
            <w:r w:rsidRPr="00AE638A">
              <w:t xml:space="preserve">Место нахождения специализированного депозитария: </w:t>
            </w:r>
            <w:bookmarkStart w:id="14" w:name="OLE_LINK47"/>
            <w:bookmarkStart w:id="15" w:name="OLE_LINK48"/>
            <w:bookmarkStart w:id="16" w:name="OLE_LINK49"/>
            <w:r w:rsidR="005B6641" w:rsidRPr="005B6641">
              <w:rPr>
                <w:b/>
              </w:rPr>
              <w:t xml:space="preserve">Российская Федерация, </w:t>
            </w:r>
            <w:smartTag w:uri="urn:schemas-microsoft-com:office:smarttags" w:element="metricconverter">
              <w:smartTagPr>
                <w:attr w:name="ProductID" w:val="197372, г"/>
              </w:smartTagPr>
              <w:r w:rsidR="005B6641" w:rsidRPr="005B6641">
                <w:rPr>
                  <w:b/>
                </w:rPr>
                <w:t>125167, г</w:t>
              </w:r>
            </w:smartTag>
            <w:r w:rsidR="005B6641" w:rsidRPr="005B6641">
              <w:rPr>
                <w:b/>
              </w:rPr>
              <w:t>. Москва, ул. Восьмого марта 4-я, д.6А.</w:t>
            </w:r>
            <w:bookmarkEnd w:id="12"/>
            <w:bookmarkEnd w:id="13"/>
            <w:bookmarkEnd w:id="14"/>
            <w:bookmarkEnd w:id="15"/>
            <w:bookmarkEnd w:id="16"/>
          </w:p>
        </w:tc>
      </w:tr>
      <w:tr w:rsidR="00CD57C8" w:rsidTr="0015192C">
        <w:tc>
          <w:tcPr>
            <w:tcW w:w="4918" w:type="dxa"/>
            <w:tcBorders>
              <w:top w:val="single" w:sz="4" w:space="0" w:color="auto"/>
              <w:left w:val="single" w:sz="4" w:space="0" w:color="auto"/>
              <w:bottom w:val="single" w:sz="4" w:space="0" w:color="auto"/>
              <w:right w:val="single" w:sz="4" w:space="0" w:color="auto"/>
            </w:tcBorders>
          </w:tcPr>
          <w:p w:rsidR="000F05FC" w:rsidRDefault="000F05FC" w:rsidP="005C7B5C">
            <w:pPr>
              <w:tabs>
                <w:tab w:val="left" w:pos="9072"/>
              </w:tabs>
              <w:autoSpaceDE w:val="0"/>
              <w:autoSpaceDN w:val="0"/>
              <w:adjustRightInd w:val="0"/>
              <w:spacing w:line="240" w:lineRule="atLeast"/>
              <w:ind w:firstLine="426"/>
              <w:jc w:val="both"/>
            </w:pPr>
            <w:bookmarkStart w:id="17" w:name="OLE_LINK23"/>
            <w:bookmarkStart w:id="18" w:name="OLE_LINK24"/>
            <w:bookmarkStart w:id="19" w:name="OLE_LINK25"/>
            <w:r w:rsidRPr="000F05FC">
              <w:rPr>
                <w:b/>
              </w:rPr>
              <w:t xml:space="preserve">Пункт </w:t>
            </w:r>
            <w:r w:rsidR="00D83980" w:rsidRPr="00D83980">
              <w:rPr>
                <w:b/>
              </w:rPr>
              <w:t>9</w:t>
            </w:r>
            <w:r w:rsidRPr="000F05FC">
              <w:rPr>
                <w:b/>
              </w:rPr>
              <w:t>.</w:t>
            </w:r>
            <w:r w:rsidRPr="00452973">
              <w:t> </w:t>
            </w:r>
          </w:p>
          <w:p w:rsidR="00CD57C8" w:rsidRDefault="00D83980" w:rsidP="00D83980">
            <w:pPr>
              <w:tabs>
                <w:tab w:val="left" w:pos="426"/>
              </w:tabs>
              <w:spacing w:before="120" w:after="120" w:line="240" w:lineRule="atLeast"/>
              <w:ind w:firstLine="426"/>
              <w:jc w:val="both"/>
            </w:pPr>
            <w:bookmarkStart w:id="20" w:name="OLE_LINK21"/>
            <w:bookmarkStart w:id="21" w:name="OLE_LINK22"/>
            <w:r w:rsidRPr="00C00C00">
              <w:t>Лицензия специализированного депоз</w:t>
            </w:r>
            <w:r w:rsidRPr="00C00C00">
              <w:t>и</w:t>
            </w:r>
            <w:r w:rsidRPr="00C00C00">
              <w:t>тария на осуществление деятельности сп</w:t>
            </w:r>
            <w:r w:rsidRPr="00C00C00">
              <w:t>е</w:t>
            </w:r>
            <w:r w:rsidRPr="00C00C00">
              <w:t>циализированного депозитария инвестиц</w:t>
            </w:r>
            <w:r w:rsidRPr="00C00C00">
              <w:t>и</w:t>
            </w:r>
            <w:r w:rsidRPr="00C00C00">
              <w:t xml:space="preserve">онных фондов, </w:t>
            </w:r>
            <w:bookmarkEnd w:id="17"/>
            <w:bookmarkEnd w:id="18"/>
            <w:bookmarkEnd w:id="19"/>
            <w:r w:rsidRPr="00C00C00">
              <w:t xml:space="preserve">паевых инвестиционных фондов и негосударственных пенсионных фондов от </w:t>
            </w:r>
            <w:r w:rsidRPr="005B13FF">
              <w:t xml:space="preserve">«05» октября </w:t>
            </w:r>
            <w:smartTag w:uri="urn:schemas-microsoft-com:office:smarttags" w:element="metricconverter">
              <w:smartTagPr>
                <w:attr w:name="ProductID" w:val="197372, г"/>
              </w:smartTagPr>
              <w:r w:rsidRPr="005B13FF">
                <w:t>2010 г</w:t>
              </w:r>
            </w:smartTag>
            <w:r w:rsidRPr="005B13FF">
              <w:t>. № 22-000-0-00097</w:t>
            </w:r>
            <w:r w:rsidRPr="00C00C00">
              <w:t>, предоставленная Федеральной слу</w:t>
            </w:r>
            <w:r w:rsidRPr="00C00C00">
              <w:t>ж</w:t>
            </w:r>
            <w:r w:rsidRPr="00C00C00">
              <w:t>бой по финансовым рынкам.</w:t>
            </w:r>
            <w:bookmarkEnd w:id="20"/>
            <w:bookmarkEnd w:id="21"/>
          </w:p>
        </w:tc>
        <w:tc>
          <w:tcPr>
            <w:tcW w:w="4961" w:type="dxa"/>
            <w:tcBorders>
              <w:top w:val="single" w:sz="4" w:space="0" w:color="auto"/>
              <w:left w:val="single" w:sz="4" w:space="0" w:color="auto"/>
              <w:bottom w:val="single" w:sz="4" w:space="0" w:color="auto"/>
              <w:right w:val="single" w:sz="4" w:space="0" w:color="auto"/>
            </w:tcBorders>
          </w:tcPr>
          <w:p w:rsidR="000F05FC" w:rsidRDefault="000F05FC" w:rsidP="00D158CF">
            <w:pPr>
              <w:tabs>
                <w:tab w:val="left" w:pos="9072"/>
              </w:tabs>
              <w:autoSpaceDE w:val="0"/>
              <w:autoSpaceDN w:val="0"/>
              <w:adjustRightInd w:val="0"/>
              <w:spacing w:line="240" w:lineRule="atLeast"/>
              <w:ind w:firstLine="469"/>
              <w:jc w:val="both"/>
            </w:pPr>
            <w:r w:rsidRPr="000F05FC">
              <w:rPr>
                <w:b/>
              </w:rPr>
              <w:t xml:space="preserve">Пункт </w:t>
            </w:r>
            <w:r w:rsidR="00D83980" w:rsidRPr="00D83980">
              <w:rPr>
                <w:b/>
              </w:rPr>
              <w:t>9</w:t>
            </w:r>
            <w:r w:rsidRPr="000F05FC">
              <w:rPr>
                <w:b/>
              </w:rPr>
              <w:t>.</w:t>
            </w:r>
            <w:r w:rsidRPr="00452973">
              <w:t> </w:t>
            </w:r>
            <w:r w:rsidR="00CD57C8" w:rsidRPr="00452973">
              <w:t> </w:t>
            </w:r>
          </w:p>
          <w:p w:rsidR="00CD57C8" w:rsidRDefault="005B6641" w:rsidP="00D158CF">
            <w:pPr>
              <w:tabs>
                <w:tab w:val="left" w:pos="426"/>
              </w:tabs>
              <w:spacing w:before="120" w:after="120" w:line="240" w:lineRule="atLeast"/>
              <w:ind w:firstLine="469"/>
              <w:jc w:val="both"/>
            </w:pPr>
            <w:r w:rsidRPr="00C00C00">
              <w:t>Лицензия специализированного депоз</w:t>
            </w:r>
            <w:r w:rsidRPr="00C00C00">
              <w:t>и</w:t>
            </w:r>
            <w:r w:rsidRPr="00C00C00">
              <w:t>тария на осуществление деятельности сп</w:t>
            </w:r>
            <w:r w:rsidRPr="00C00C00">
              <w:t>е</w:t>
            </w:r>
            <w:r w:rsidRPr="00C00C00">
              <w:t>циализированного депозитария инвестицио</w:t>
            </w:r>
            <w:r w:rsidRPr="00C00C00">
              <w:t>н</w:t>
            </w:r>
            <w:r w:rsidRPr="00C00C00">
              <w:t xml:space="preserve">ных фондов, паевых инвестиционных фондов и негосударственных пенсионных фондов от </w:t>
            </w:r>
            <w:bookmarkStart w:id="22" w:name="OLE_LINK50"/>
            <w:bookmarkStart w:id="23" w:name="OLE_LINK51"/>
            <w:bookmarkStart w:id="24" w:name="OLE_LINK52"/>
            <w:r w:rsidRPr="005B6641">
              <w:rPr>
                <w:b/>
              </w:rPr>
              <w:t xml:space="preserve">«08» августа </w:t>
            </w:r>
            <w:smartTag w:uri="urn:schemas-microsoft-com:office:smarttags" w:element="metricconverter">
              <w:smartTagPr>
                <w:attr w:name="ProductID" w:val="197372, г"/>
              </w:smartTagPr>
              <w:r w:rsidRPr="005B6641">
                <w:rPr>
                  <w:b/>
                </w:rPr>
                <w:t>1996 г</w:t>
              </w:r>
            </w:smartTag>
            <w:r w:rsidRPr="005B6641">
              <w:rPr>
                <w:b/>
              </w:rPr>
              <w:t>. № 22-000-1-00001</w:t>
            </w:r>
            <w:bookmarkEnd w:id="22"/>
            <w:bookmarkEnd w:id="23"/>
            <w:bookmarkEnd w:id="24"/>
            <w:r w:rsidRPr="00C00C00">
              <w:t>, пр</w:t>
            </w:r>
            <w:r w:rsidRPr="00C00C00">
              <w:t>е</w:t>
            </w:r>
            <w:r w:rsidRPr="00C00C00">
              <w:t>доставленная Федеральной службой по ф</w:t>
            </w:r>
            <w:r w:rsidRPr="00C00C00">
              <w:t>и</w:t>
            </w:r>
            <w:r w:rsidRPr="00C00C00">
              <w:t>нансовым рынкам.</w:t>
            </w:r>
          </w:p>
        </w:tc>
      </w:tr>
      <w:tr w:rsidR="00D83980" w:rsidTr="0015192C">
        <w:tc>
          <w:tcPr>
            <w:tcW w:w="4918" w:type="dxa"/>
            <w:tcBorders>
              <w:top w:val="single" w:sz="4" w:space="0" w:color="auto"/>
              <w:left w:val="single" w:sz="4" w:space="0" w:color="auto"/>
              <w:bottom w:val="single" w:sz="4" w:space="0" w:color="auto"/>
              <w:right w:val="single" w:sz="4" w:space="0" w:color="auto"/>
            </w:tcBorders>
          </w:tcPr>
          <w:p w:rsidR="00D158CF" w:rsidRDefault="00D158CF" w:rsidP="00D158CF">
            <w:pPr>
              <w:tabs>
                <w:tab w:val="left" w:pos="9072"/>
              </w:tabs>
              <w:autoSpaceDE w:val="0"/>
              <w:autoSpaceDN w:val="0"/>
              <w:adjustRightInd w:val="0"/>
              <w:spacing w:line="240" w:lineRule="atLeast"/>
              <w:ind w:firstLine="426"/>
              <w:jc w:val="both"/>
            </w:pPr>
            <w:bookmarkStart w:id="25" w:name="OLE_LINK26"/>
            <w:bookmarkStart w:id="26" w:name="OLE_LINK27"/>
            <w:bookmarkStart w:id="27" w:name="OLE_LINK28"/>
            <w:r w:rsidRPr="000F05FC">
              <w:rPr>
                <w:b/>
              </w:rPr>
              <w:t xml:space="preserve">Пункт </w:t>
            </w:r>
            <w:r w:rsidRPr="00D158CF">
              <w:rPr>
                <w:b/>
              </w:rPr>
              <w:t>10</w:t>
            </w:r>
            <w:r w:rsidRPr="000F05FC">
              <w:rPr>
                <w:b/>
              </w:rPr>
              <w:t>.</w:t>
            </w:r>
            <w:r w:rsidRPr="00452973">
              <w:t> </w:t>
            </w:r>
          </w:p>
          <w:p w:rsidR="00D83980" w:rsidRPr="000F05FC" w:rsidRDefault="00D158CF" w:rsidP="00D158CF">
            <w:pPr>
              <w:tabs>
                <w:tab w:val="left" w:pos="426"/>
              </w:tabs>
              <w:spacing w:before="120" w:after="120" w:line="240" w:lineRule="atLeast"/>
              <w:ind w:firstLine="426"/>
              <w:jc w:val="both"/>
              <w:rPr>
                <w:b/>
              </w:rPr>
            </w:pPr>
            <w:bookmarkStart w:id="28" w:name="p_10"/>
            <w:bookmarkStart w:id="29" w:name="p_11"/>
            <w:bookmarkEnd w:id="28"/>
            <w:bookmarkEnd w:id="29"/>
            <w:r w:rsidRPr="00AE638A">
              <w:t>Полное фирменное наименование лица, осуществляющего ведение реестра владел</w:t>
            </w:r>
            <w:r w:rsidRPr="00AE638A">
              <w:t>ь</w:t>
            </w:r>
            <w:r w:rsidRPr="00AE638A">
              <w:t xml:space="preserve">цев инвестиционных паев фонда (далее - </w:t>
            </w:r>
            <w:r>
              <w:t>р</w:t>
            </w:r>
            <w:r>
              <w:t>е</w:t>
            </w:r>
            <w:r>
              <w:t>гистратор</w:t>
            </w:r>
            <w:r w:rsidRPr="00AE638A">
              <w:t xml:space="preserve">): </w:t>
            </w:r>
            <w:r w:rsidRPr="005B13FF">
              <w:t>Общество с ограниченной отве</w:t>
            </w:r>
            <w:r w:rsidRPr="005B13FF">
              <w:t>т</w:t>
            </w:r>
            <w:r w:rsidRPr="005B13FF">
              <w:t>ственностью «Специализированный депоз</w:t>
            </w:r>
            <w:r w:rsidRPr="005B13FF">
              <w:t>и</w:t>
            </w:r>
            <w:r w:rsidRPr="005B13FF">
              <w:t>тарий Сбербанка».</w:t>
            </w:r>
            <w:bookmarkEnd w:id="25"/>
            <w:bookmarkEnd w:id="26"/>
            <w:bookmarkEnd w:id="27"/>
          </w:p>
        </w:tc>
        <w:tc>
          <w:tcPr>
            <w:tcW w:w="4961" w:type="dxa"/>
            <w:tcBorders>
              <w:top w:val="single" w:sz="4" w:space="0" w:color="auto"/>
              <w:left w:val="single" w:sz="4" w:space="0" w:color="auto"/>
              <w:bottom w:val="single" w:sz="4" w:space="0" w:color="auto"/>
              <w:right w:val="single" w:sz="4" w:space="0" w:color="auto"/>
            </w:tcBorders>
          </w:tcPr>
          <w:p w:rsidR="00D158CF" w:rsidRDefault="00D158CF" w:rsidP="00D158CF">
            <w:pPr>
              <w:tabs>
                <w:tab w:val="left" w:pos="9072"/>
              </w:tabs>
              <w:autoSpaceDE w:val="0"/>
              <w:autoSpaceDN w:val="0"/>
              <w:adjustRightInd w:val="0"/>
              <w:spacing w:line="240" w:lineRule="atLeast"/>
              <w:ind w:firstLine="469"/>
              <w:jc w:val="both"/>
            </w:pPr>
            <w:r w:rsidRPr="000F05FC">
              <w:rPr>
                <w:b/>
              </w:rPr>
              <w:t xml:space="preserve">Пункт </w:t>
            </w:r>
            <w:r w:rsidRPr="00D158CF">
              <w:rPr>
                <w:b/>
              </w:rPr>
              <w:t>10</w:t>
            </w:r>
            <w:r w:rsidRPr="000F05FC">
              <w:rPr>
                <w:b/>
              </w:rPr>
              <w:t>.</w:t>
            </w:r>
            <w:r w:rsidRPr="00452973">
              <w:t> </w:t>
            </w:r>
          </w:p>
          <w:p w:rsidR="00D83980" w:rsidRPr="005B6641" w:rsidRDefault="00D158CF" w:rsidP="005B6641">
            <w:pPr>
              <w:tabs>
                <w:tab w:val="left" w:pos="426"/>
              </w:tabs>
              <w:spacing w:before="120" w:after="120" w:line="240" w:lineRule="atLeast"/>
              <w:ind w:firstLine="426"/>
              <w:jc w:val="both"/>
              <w:rPr>
                <w:b/>
              </w:rPr>
            </w:pPr>
            <w:r w:rsidRPr="00AE638A">
              <w:t>Полное фирменное наименование лица, осуществляющего ведение реестра владел</w:t>
            </w:r>
            <w:r w:rsidRPr="00AE638A">
              <w:t>ь</w:t>
            </w:r>
            <w:r w:rsidRPr="00AE638A">
              <w:t xml:space="preserve">цев инвестиционных паев фонда (далее - </w:t>
            </w:r>
            <w:r>
              <w:t>р</w:t>
            </w:r>
            <w:r>
              <w:t>е</w:t>
            </w:r>
            <w:r>
              <w:t>гистратор</w:t>
            </w:r>
            <w:r w:rsidRPr="00AE638A">
              <w:t xml:space="preserve">): </w:t>
            </w:r>
            <w:r w:rsidR="005B6641" w:rsidRPr="005B6641">
              <w:rPr>
                <w:b/>
              </w:rPr>
              <w:t>Закрытое акционерное общес</w:t>
            </w:r>
            <w:r w:rsidR="005B6641" w:rsidRPr="005B6641">
              <w:rPr>
                <w:b/>
              </w:rPr>
              <w:t>т</w:t>
            </w:r>
            <w:r w:rsidR="005B6641" w:rsidRPr="005B6641">
              <w:rPr>
                <w:b/>
              </w:rPr>
              <w:t>во «Первый Специализированный Депоз</w:t>
            </w:r>
            <w:r w:rsidR="005B6641" w:rsidRPr="005B6641">
              <w:rPr>
                <w:b/>
              </w:rPr>
              <w:t>и</w:t>
            </w:r>
            <w:r w:rsidR="005B6641" w:rsidRPr="005B6641">
              <w:rPr>
                <w:b/>
              </w:rPr>
              <w:t>тарий».</w:t>
            </w:r>
          </w:p>
        </w:tc>
      </w:tr>
      <w:tr w:rsidR="00D158CF" w:rsidTr="0015192C">
        <w:tc>
          <w:tcPr>
            <w:tcW w:w="4918" w:type="dxa"/>
            <w:tcBorders>
              <w:top w:val="single" w:sz="4" w:space="0" w:color="auto"/>
              <w:left w:val="single" w:sz="4" w:space="0" w:color="auto"/>
              <w:bottom w:val="single" w:sz="4" w:space="0" w:color="auto"/>
              <w:right w:val="single" w:sz="4" w:space="0" w:color="auto"/>
            </w:tcBorders>
          </w:tcPr>
          <w:p w:rsidR="00D158CF" w:rsidRDefault="00D158CF" w:rsidP="00D158CF">
            <w:pPr>
              <w:tabs>
                <w:tab w:val="left" w:pos="9072"/>
              </w:tabs>
              <w:autoSpaceDE w:val="0"/>
              <w:autoSpaceDN w:val="0"/>
              <w:adjustRightInd w:val="0"/>
              <w:spacing w:line="240" w:lineRule="atLeast"/>
              <w:ind w:firstLine="426"/>
              <w:jc w:val="both"/>
            </w:pPr>
            <w:bookmarkStart w:id="30" w:name="OLE_LINK33"/>
            <w:bookmarkStart w:id="31" w:name="OLE_LINK34"/>
            <w:bookmarkStart w:id="32" w:name="OLE_LINK30"/>
            <w:bookmarkStart w:id="33" w:name="OLE_LINK31"/>
            <w:bookmarkStart w:id="34" w:name="OLE_LINK32"/>
            <w:r w:rsidRPr="000F05FC">
              <w:rPr>
                <w:b/>
              </w:rPr>
              <w:t xml:space="preserve">Пункт </w:t>
            </w:r>
            <w:r w:rsidRPr="00D158CF">
              <w:rPr>
                <w:b/>
              </w:rPr>
              <w:t>1</w:t>
            </w:r>
            <w:r w:rsidRPr="001C4E47">
              <w:rPr>
                <w:b/>
              </w:rPr>
              <w:t>1</w:t>
            </w:r>
            <w:r w:rsidRPr="000F05FC">
              <w:rPr>
                <w:b/>
              </w:rPr>
              <w:t>.</w:t>
            </w:r>
            <w:r w:rsidRPr="00452973">
              <w:t> </w:t>
            </w:r>
          </w:p>
          <w:p w:rsidR="00D158CF" w:rsidRPr="00D158CF" w:rsidRDefault="00D158CF" w:rsidP="00D158CF">
            <w:pPr>
              <w:tabs>
                <w:tab w:val="left" w:pos="426"/>
              </w:tabs>
              <w:spacing w:before="120" w:after="120" w:line="240" w:lineRule="atLeast"/>
              <w:ind w:firstLine="426"/>
              <w:jc w:val="both"/>
            </w:pPr>
            <w:bookmarkStart w:id="35" w:name="p_12"/>
            <w:bookmarkStart w:id="36" w:name="OLE_LINK29"/>
            <w:bookmarkEnd w:id="30"/>
            <w:bookmarkEnd w:id="31"/>
            <w:bookmarkEnd w:id="35"/>
            <w:r w:rsidRPr="00AE638A">
              <w:rPr>
                <w:rFonts w:cs="Times New Roman CYR"/>
              </w:rPr>
              <w:t xml:space="preserve">Место нахождения </w:t>
            </w:r>
            <w:r>
              <w:rPr>
                <w:rFonts w:cs="Times New Roman CYR"/>
              </w:rPr>
              <w:t>регистратора</w:t>
            </w:r>
            <w:r w:rsidRPr="00AE638A">
              <w:rPr>
                <w:rFonts w:cs="Times New Roman CYR"/>
              </w:rPr>
              <w:t xml:space="preserve">: </w:t>
            </w:r>
            <w:r w:rsidRPr="00AE638A">
              <w:t>Ро</w:t>
            </w:r>
            <w:r w:rsidRPr="00AE638A">
              <w:t>с</w:t>
            </w:r>
            <w:r w:rsidRPr="00AE638A">
              <w:t xml:space="preserve">сийская Федерация, </w:t>
            </w:r>
            <w:r w:rsidRPr="005B13FF">
              <w:t xml:space="preserve">119334, г. Москва, </w:t>
            </w:r>
            <w:r w:rsidRPr="007B4031">
              <w:t xml:space="preserve">              </w:t>
            </w:r>
            <w:r w:rsidRPr="005B13FF">
              <w:t>ул. Вавилова, д.3.</w:t>
            </w:r>
            <w:bookmarkEnd w:id="32"/>
            <w:bookmarkEnd w:id="33"/>
            <w:bookmarkEnd w:id="34"/>
            <w:bookmarkEnd w:id="36"/>
          </w:p>
        </w:tc>
        <w:tc>
          <w:tcPr>
            <w:tcW w:w="4961" w:type="dxa"/>
            <w:tcBorders>
              <w:top w:val="single" w:sz="4" w:space="0" w:color="auto"/>
              <w:left w:val="single" w:sz="4" w:space="0" w:color="auto"/>
              <w:bottom w:val="single" w:sz="4" w:space="0" w:color="auto"/>
              <w:right w:val="single" w:sz="4" w:space="0" w:color="auto"/>
            </w:tcBorders>
          </w:tcPr>
          <w:p w:rsidR="00D158CF" w:rsidRDefault="00D158CF" w:rsidP="00D158CF">
            <w:pPr>
              <w:tabs>
                <w:tab w:val="left" w:pos="9072"/>
              </w:tabs>
              <w:autoSpaceDE w:val="0"/>
              <w:autoSpaceDN w:val="0"/>
              <w:adjustRightInd w:val="0"/>
              <w:spacing w:line="240" w:lineRule="atLeast"/>
              <w:ind w:firstLine="469"/>
              <w:jc w:val="both"/>
            </w:pPr>
            <w:r w:rsidRPr="000F05FC">
              <w:rPr>
                <w:b/>
              </w:rPr>
              <w:t xml:space="preserve">Пункт </w:t>
            </w:r>
            <w:r w:rsidRPr="00D158CF">
              <w:rPr>
                <w:b/>
              </w:rPr>
              <w:t>1</w:t>
            </w:r>
            <w:r w:rsidRPr="005B6641">
              <w:rPr>
                <w:b/>
              </w:rPr>
              <w:t>1</w:t>
            </w:r>
            <w:r w:rsidRPr="000F05FC">
              <w:rPr>
                <w:b/>
              </w:rPr>
              <w:t>.</w:t>
            </w:r>
            <w:r w:rsidRPr="00452973">
              <w:t> </w:t>
            </w:r>
          </w:p>
          <w:p w:rsidR="00D158CF" w:rsidRPr="000F05FC" w:rsidRDefault="00D158CF" w:rsidP="00D158CF">
            <w:pPr>
              <w:tabs>
                <w:tab w:val="left" w:pos="9072"/>
              </w:tabs>
              <w:autoSpaceDE w:val="0"/>
              <w:autoSpaceDN w:val="0"/>
              <w:adjustRightInd w:val="0"/>
              <w:spacing w:before="120" w:line="240" w:lineRule="atLeast"/>
              <w:ind w:firstLine="469"/>
              <w:jc w:val="both"/>
              <w:rPr>
                <w:b/>
              </w:rPr>
            </w:pPr>
            <w:r w:rsidRPr="00AE638A">
              <w:rPr>
                <w:rFonts w:cs="Times New Roman CYR"/>
              </w:rPr>
              <w:t xml:space="preserve">Место нахождения </w:t>
            </w:r>
            <w:r>
              <w:rPr>
                <w:rFonts w:cs="Times New Roman CYR"/>
              </w:rPr>
              <w:t>регистратора</w:t>
            </w:r>
            <w:r w:rsidRPr="00AE638A">
              <w:rPr>
                <w:rFonts w:cs="Times New Roman CYR"/>
              </w:rPr>
              <w:t xml:space="preserve">: </w:t>
            </w:r>
            <w:r w:rsidR="005B6641" w:rsidRPr="005B6641">
              <w:rPr>
                <w:b/>
              </w:rPr>
              <w:t>Ро</w:t>
            </w:r>
            <w:r w:rsidR="005B6641" w:rsidRPr="005B6641">
              <w:rPr>
                <w:b/>
              </w:rPr>
              <w:t>с</w:t>
            </w:r>
            <w:r w:rsidR="005B6641" w:rsidRPr="005B6641">
              <w:rPr>
                <w:b/>
              </w:rPr>
              <w:t xml:space="preserve">сийская Федерация, </w:t>
            </w:r>
            <w:smartTag w:uri="urn:schemas-microsoft-com:office:smarttags" w:element="metricconverter">
              <w:smartTagPr>
                <w:attr w:name="ProductID" w:val="197372, г"/>
              </w:smartTagPr>
              <w:r w:rsidR="005B6641" w:rsidRPr="005B6641">
                <w:rPr>
                  <w:b/>
                </w:rPr>
                <w:t>125167, г</w:t>
              </w:r>
            </w:smartTag>
            <w:r w:rsidR="005B6641" w:rsidRPr="005B6641">
              <w:rPr>
                <w:b/>
              </w:rPr>
              <w:t xml:space="preserve">. Москва, </w:t>
            </w:r>
            <w:r w:rsidR="00F614E7">
              <w:rPr>
                <w:b/>
              </w:rPr>
              <w:t xml:space="preserve">     </w:t>
            </w:r>
            <w:r w:rsidR="005B6641" w:rsidRPr="005B6641">
              <w:rPr>
                <w:b/>
              </w:rPr>
              <w:t>ул. Восьмого марта 4-я, д.6А.</w:t>
            </w:r>
          </w:p>
        </w:tc>
      </w:tr>
      <w:tr w:rsidR="00D158CF" w:rsidTr="0015192C">
        <w:tc>
          <w:tcPr>
            <w:tcW w:w="4918" w:type="dxa"/>
            <w:tcBorders>
              <w:top w:val="single" w:sz="4" w:space="0" w:color="auto"/>
              <w:left w:val="single" w:sz="4" w:space="0" w:color="auto"/>
              <w:bottom w:val="single" w:sz="4" w:space="0" w:color="auto"/>
              <w:right w:val="single" w:sz="4" w:space="0" w:color="auto"/>
            </w:tcBorders>
          </w:tcPr>
          <w:p w:rsidR="00D158CF" w:rsidRDefault="00D158CF" w:rsidP="00D158CF">
            <w:pPr>
              <w:tabs>
                <w:tab w:val="left" w:pos="9072"/>
              </w:tabs>
              <w:autoSpaceDE w:val="0"/>
              <w:autoSpaceDN w:val="0"/>
              <w:adjustRightInd w:val="0"/>
              <w:spacing w:line="240" w:lineRule="atLeast"/>
              <w:ind w:firstLine="426"/>
              <w:jc w:val="both"/>
            </w:pPr>
            <w:bookmarkStart w:id="37" w:name="p_13"/>
            <w:bookmarkStart w:id="38" w:name="OLE_LINK53"/>
            <w:bookmarkStart w:id="39" w:name="OLE_LINK54"/>
            <w:bookmarkStart w:id="40" w:name="OLE_LINK35"/>
            <w:bookmarkStart w:id="41" w:name="OLE_LINK36"/>
            <w:bookmarkEnd w:id="37"/>
            <w:r w:rsidRPr="000F05FC">
              <w:rPr>
                <w:b/>
              </w:rPr>
              <w:lastRenderedPageBreak/>
              <w:t xml:space="preserve">Пункт </w:t>
            </w:r>
            <w:r w:rsidRPr="00D158CF">
              <w:rPr>
                <w:b/>
              </w:rPr>
              <w:t>1</w:t>
            </w:r>
            <w:r w:rsidRPr="001C4E47">
              <w:rPr>
                <w:b/>
              </w:rPr>
              <w:t>2</w:t>
            </w:r>
            <w:r w:rsidRPr="000F05FC">
              <w:rPr>
                <w:b/>
              </w:rPr>
              <w:t>.</w:t>
            </w:r>
            <w:r w:rsidRPr="00452973">
              <w:t> </w:t>
            </w:r>
          </w:p>
          <w:bookmarkEnd w:id="38"/>
          <w:bookmarkEnd w:id="39"/>
          <w:p w:rsidR="00D158CF" w:rsidRPr="00D158CF" w:rsidRDefault="00D158CF" w:rsidP="00D158CF">
            <w:pPr>
              <w:tabs>
                <w:tab w:val="left" w:pos="9072"/>
              </w:tabs>
              <w:autoSpaceDE w:val="0"/>
              <w:autoSpaceDN w:val="0"/>
              <w:adjustRightInd w:val="0"/>
              <w:spacing w:before="120" w:line="240" w:lineRule="atLeast"/>
              <w:ind w:firstLine="425"/>
              <w:jc w:val="both"/>
            </w:pPr>
            <w:r w:rsidRPr="00D158CF">
              <w:t>Лицензия регистратора на осуществл</w:t>
            </w:r>
            <w:r w:rsidRPr="00D158CF">
              <w:t>е</w:t>
            </w:r>
            <w:r w:rsidRPr="00D158CF">
              <w:t>ние деятельности специализированного д</w:t>
            </w:r>
            <w:r w:rsidRPr="00D158CF">
              <w:t>е</w:t>
            </w:r>
            <w:r w:rsidRPr="00D158CF">
              <w:t>позитария инвестиционных фондов, паевых инвестиционных фондов и негосударстве</w:t>
            </w:r>
            <w:r w:rsidRPr="00D158CF">
              <w:t>н</w:t>
            </w:r>
            <w:r w:rsidRPr="00D158CF">
              <w:t xml:space="preserve">ных пенсионных фондов от «05» октября </w:t>
            </w:r>
            <w:smartTag w:uri="urn:schemas-microsoft-com:office:smarttags" w:element="metricconverter">
              <w:smartTagPr>
                <w:attr w:name="ProductID" w:val="197372, г"/>
              </w:smartTagPr>
              <w:r w:rsidRPr="00D158CF">
                <w:t>2010 г</w:t>
              </w:r>
            </w:smartTag>
            <w:r w:rsidRPr="00D158CF">
              <w:t>. № 22-000-0-00097, предоставленная Федеральной службой по финансовым ры</w:t>
            </w:r>
            <w:r w:rsidRPr="00D158CF">
              <w:t>н</w:t>
            </w:r>
            <w:r w:rsidRPr="00D158CF">
              <w:t>кам.</w:t>
            </w:r>
            <w:bookmarkEnd w:id="40"/>
            <w:bookmarkEnd w:id="41"/>
          </w:p>
        </w:tc>
        <w:tc>
          <w:tcPr>
            <w:tcW w:w="4961" w:type="dxa"/>
            <w:tcBorders>
              <w:top w:val="single" w:sz="4" w:space="0" w:color="auto"/>
              <w:left w:val="single" w:sz="4" w:space="0" w:color="auto"/>
              <w:bottom w:val="single" w:sz="4" w:space="0" w:color="auto"/>
              <w:right w:val="single" w:sz="4" w:space="0" w:color="auto"/>
            </w:tcBorders>
          </w:tcPr>
          <w:p w:rsidR="00D158CF" w:rsidRPr="00436B41" w:rsidRDefault="00D158CF" w:rsidP="00436B41">
            <w:pPr>
              <w:tabs>
                <w:tab w:val="left" w:pos="9072"/>
              </w:tabs>
              <w:autoSpaceDE w:val="0"/>
              <w:autoSpaceDN w:val="0"/>
              <w:adjustRightInd w:val="0"/>
              <w:spacing w:line="240" w:lineRule="atLeast"/>
              <w:ind w:firstLine="426"/>
              <w:jc w:val="both"/>
              <w:rPr>
                <w:b/>
              </w:rPr>
            </w:pPr>
            <w:r w:rsidRPr="00436B41">
              <w:rPr>
                <w:b/>
              </w:rPr>
              <w:t>Пункт 12. </w:t>
            </w:r>
          </w:p>
          <w:p w:rsidR="00D158CF" w:rsidRPr="00436B41" w:rsidRDefault="00D158CF" w:rsidP="00436B41">
            <w:pPr>
              <w:tabs>
                <w:tab w:val="left" w:pos="9072"/>
              </w:tabs>
              <w:autoSpaceDE w:val="0"/>
              <w:autoSpaceDN w:val="0"/>
              <w:adjustRightInd w:val="0"/>
              <w:spacing w:before="120" w:line="240" w:lineRule="atLeast"/>
              <w:ind w:firstLine="426"/>
              <w:jc w:val="both"/>
            </w:pPr>
            <w:r w:rsidRPr="00436B41">
              <w:t>Лицензия регистратора на осуществление деятельности специализированного депоз</w:t>
            </w:r>
            <w:r w:rsidRPr="00436B41">
              <w:t>и</w:t>
            </w:r>
            <w:r w:rsidRPr="00436B41">
              <w:t>тария инвестиционных фондов, паевых инв</w:t>
            </w:r>
            <w:r w:rsidRPr="00436B41">
              <w:t>е</w:t>
            </w:r>
            <w:r w:rsidRPr="00436B41">
              <w:t xml:space="preserve">стиционных фондов и негосударственных пенсионных фондов от </w:t>
            </w:r>
            <w:r w:rsidR="005B6641" w:rsidRPr="005B6641">
              <w:rPr>
                <w:b/>
              </w:rPr>
              <w:t xml:space="preserve">«08» августа </w:t>
            </w:r>
            <w:smartTag w:uri="urn:schemas-microsoft-com:office:smarttags" w:element="metricconverter">
              <w:smartTagPr>
                <w:attr w:name="ProductID" w:val="197372, г"/>
              </w:smartTagPr>
              <w:r w:rsidR="005B6641" w:rsidRPr="005B6641">
                <w:rPr>
                  <w:b/>
                </w:rPr>
                <w:t>1996 г</w:t>
              </w:r>
            </w:smartTag>
            <w:r w:rsidR="005B6641" w:rsidRPr="005B6641">
              <w:rPr>
                <w:b/>
              </w:rPr>
              <w:t>. № 22-000-1-00001</w:t>
            </w:r>
            <w:r w:rsidRPr="00436B41">
              <w:t>, предоставленная Фед</w:t>
            </w:r>
            <w:r w:rsidRPr="00436B41">
              <w:t>е</w:t>
            </w:r>
            <w:r w:rsidRPr="00436B41">
              <w:t>ральной службой по финансовым рынкам.</w:t>
            </w:r>
          </w:p>
        </w:tc>
      </w:tr>
      <w:tr w:rsidR="001C4E47" w:rsidTr="0015192C">
        <w:tc>
          <w:tcPr>
            <w:tcW w:w="4918" w:type="dxa"/>
            <w:tcBorders>
              <w:top w:val="single" w:sz="4" w:space="0" w:color="auto"/>
              <w:left w:val="single" w:sz="4" w:space="0" w:color="auto"/>
              <w:bottom w:val="single" w:sz="4" w:space="0" w:color="auto"/>
              <w:right w:val="single" w:sz="4" w:space="0" w:color="auto"/>
            </w:tcBorders>
          </w:tcPr>
          <w:p w:rsidR="001C4E47" w:rsidRDefault="001C4E47" w:rsidP="001C4E47">
            <w:pPr>
              <w:tabs>
                <w:tab w:val="left" w:pos="9072"/>
              </w:tabs>
              <w:spacing w:line="240" w:lineRule="atLeast"/>
              <w:ind w:firstLine="426"/>
              <w:jc w:val="both"/>
            </w:pPr>
            <w:r w:rsidRPr="000F05FC">
              <w:rPr>
                <w:b/>
              </w:rPr>
              <w:t xml:space="preserve">Пункт </w:t>
            </w:r>
            <w:r>
              <w:rPr>
                <w:b/>
              </w:rPr>
              <w:t>2</w:t>
            </w:r>
            <w:r w:rsidRPr="001C4E47">
              <w:rPr>
                <w:b/>
              </w:rPr>
              <w:t>1</w:t>
            </w:r>
            <w:r w:rsidRPr="000F05FC">
              <w:rPr>
                <w:b/>
              </w:rPr>
              <w:t>.</w:t>
            </w:r>
            <w:r w:rsidRPr="00452973">
              <w:t> </w:t>
            </w:r>
          </w:p>
          <w:p w:rsidR="001C4E47" w:rsidRPr="00BA214E" w:rsidRDefault="001C4E47" w:rsidP="001C4E47">
            <w:pPr>
              <w:autoSpaceDE w:val="0"/>
              <w:autoSpaceDN w:val="0"/>
              <w:adjustRightInd w:val="0"/>
              <w:spacing w:before="120"/>
              <w:ind w:firstLine="426"/>
              <w:jc w:val="both"/>
              <w:rPr>
                <w:bCs/>
              </w:rPr>
            </w:pPr>
            <w:r w:rsidRPr="00BA214E">
              <w:rPr>
                <w:bCs/>
              </w:rPr>
              <w:t>Инвестиционной политикой Управля</w:t>
            </w:r>
            <w:r w:rsidRPr="00BA214E">
              <w:rPr>
                <w:bCs/>
              </w:rPr>
              <w:t>ю</w:t>
            </w:r>
            <w:r w:rsidRPr="00BA214E">
              <w:rPr>
                <w:bCs/>
              </w:rPr>
              <w:t>щей</w:t>
            </w:r>
            <w:r>
              <w:rPr>
                <w:bCs/>
              </w:rPr>
              <w:t xml:space="preserve"> </w:t>
            </w:r>
            <w:r w:rsidRPr="00BA214E">
              <w:rPr>
                <w:bCs/>
              </w:rPr>
              <w:t>компании является долгосрочное вл</w:t>
            </w:r>
            <w:r w:rsidRPr="00BA214E">
              <w:rPr>
                <w:bCs/>
              </w:rPr>
              <w:t>о</w:t>
            </w:r>
            <w:r w:rsidRPr="00BA214E">
              <w:rPr>
                <w:bCs/>
              </w:rPr>
              <w:t>жение</w:t>
            </w:r>
            <w:r>
              <w:rPr>
                <w:bCs/>
              </w:rPr>
              <w:t xml:space="preserve"> </w:t>
            </w:r>
            <w:r w:rsidRPr="00BA214E">
              <w:rPr>
                <w:bCs/>
              </w:rPr>
              <w:t>средств в ценные бумаги и кратк</w:t>
            </w:r>
            <w:r w:rsidRPr="00BA214E">
              <w:rPr>
                <w:bCs/>
              </w:rPr>
              <w:t>о</w:t>
            </w:r>
            <w:r w:rsidRPr="00BA214E">
              <w:rPr>
                <w:bCs/>
              </w:rPr>
              <w:t>срочное вложение средств в производные финансовые</w:t>
            </w:r>
            <w:r>
              <w:rPr>
                <w:bCs/>
              </w:rPr>
              <w:t xml:space="preserve"> </w:t>
            </w:r>
            <w:r w:rsidRPr="00BA214E">
              <w:rPr>
                <w:bCs/>
              </w:rPr>
              <w:t>инструменты (фьючерсные и опционные договоры (контракты)).</w:t>
            </w:r>
          </w:p>
          <w:p w:rsidR="001C4E47" w:rsidRPr="00BA214E" w:rsidRDefault="001C4E47" w:rsidP="001C4E47">
            <w:pPr>
              <w:autoSpaceDE w:val="0"/>
              <w:autoSpaceDN w:val="0"/>
              <w:adjustRightInd w:val="0"/>
              <w:ind w:firstLine="426"/>
              <w:jc w:val="both"/>
              <w:rPr>
                <w:bCs/>
              </w:rPr>
            </w:pPr>
            <w:r w:rsidRPr="00BA214E">
              <w:rPr>
                <w:bCs/>
              </w:rPr>
              <w:t>Производные финансовые инструменты (фьючерсные и опционные договоры</w:t>
            </w:r>
            <w:r>
              <w:rPr>
                <w:bCs/>
              </w:rPr>
              <w:t xml:space="preserve"> </w:t>
            </w:r>
            <w:r w:rsidRPr="00BA214E">
              <w:rPr>
                <w:bCs/>
              </w:rPr>
              <w:t>(ко</w:t>
            </w:r>
            <w:r w:rsidRPr="00BA214E">
              <w:rPr>
                <w:bCs/>
              </w:rPr>
              <w:t>н</w:t>
            </w:r>
            <w:r w:rsidRPr="00BA214E">
              <w:rPr>
                <w:bCs/>
              </w:rPr>
              <w:t>тракты)) могут составлять активы при усл</w:t>
            </w:r>
            <w:r w:rsidRPr="00BA214E">
              <w:rPr>
                <w:bCs/>
              </w:rPr>
              <w:t>о</w:t>
            </w:r>
            <w:r w:rsidRPr="00BA214E">
              <w:rPr>
                <w:bCs/>
              </w:rPr>
              <w:t>вии, что:</w:t>
            </w:r>
          </w:p>
          <w:p w:rsidR="001C4E47" w:rsidRPr="00BA214E" w:rsidRDefault="001C4E47" w:rsidP="001C4E47">
            <w:pPr>
              <w:autoSpaceDE w:val="0"/>
              <w:autoSpaceDN w:val="0"/>
              <w:adjustRightInd w:val="0"/>
              <w:ind w:firstLine="426"/>
              <w:jc w:val="both"/>
              <w:rPr>
                <w:bCs/>
              </w:rPr>
            </w:pPr>
            <w:r w:rsidRPr="00BA214E">
              <w:rPr>
                <w:bCs/>
              </w:rPr>
              <w:t>1) указанные договоры заключены на торгах фондовых, валютных бирж в соотве</w:t>
            </w:r>
            <w:r w:rsidRPr="00BA214E">
              <w:rPr>
                <w:bCs/>
              </w:rPr>
              <w:t>т</w:t>
            </w:r>
            <w:r w:rsidRPr="00BA214E">
              <w:rPr>
                <w:bCs/>
              </w:rPr>
              <w:t>ствии</w:t>
            </w:r>
            <w:r>
              <w:rPr>
                <w:bCs/>
              </w:rPr>
              <w:t xml:space="preserve"> </w:t>
            </w:r>
            <w:r w:rsidRPr="00BA214E">
              <w:rPr>
                <w:bCs/>
              </w:rPr>
              <w:t>с утверждёнными ими спецификаци</w:t>
            </w:r>
            <w:r w:rsidRPr="00BA214E">
              <w:rPr>
                <w:bCs/>
              </w:rPr>
              <w:t>я</w:t>
            </w:r>
            <w:r w:rsidRPr="00BA214E">
              <w:rPr>
                <w:bCs/>
              </w:rPr>
              <w:t>ми, определяющими стандартные условия</w:t>
            </w:r>
            <w:r>
              <w:rPr>
                <w:bCs/>
              </w:rPr>
              <w:t xml:space="preserve"> </w:t>
            </w:r>
            <w:r w:rsidRPr="00BA214E">
              <w:rPr>
                <w:bCs/>
              </w:rPr>
              <w:t>соответствующих договоров (контрактов);</w:t>
            </w:r>
          </w:p>
          <w:p w:rsidR="001C4E47" w:rsidRDefault="001C4E47" w:rsidP="001C4E47">
            <w:pPr>
              <w:autoSpaceDE w:val="0"/>
              <w:autoSpaceDN w:val="0"/>
              <w:adjustRightInd w:val="0"/>
              <w:ind w:firstLine="426"/>
              <w:jc w:val="both"/>
              <w:rPr>
                <w:bCs/>
              </w:rPr>
            </w:pPr>
            <w:r w:rsidRPr="00BA214E">
              <w:rPr>
                <w:bCs/>
              </w:rPr>
              <w:t>2) сумма величин открытой длинной п</w:t>
            </w:r>
            <w:r w:rsidRPr="00BA214E">
              <w:rPr>
                <w:bCs/>
              </w:rPr>
              <w:t>о</w:t>
            </w:r>
            <w:r w:rsidRPr="00BA214E">
              <w:rPr>
                <w:bCs/>
              </w:rPr>
              <w:t>зиции по всем фьючерсным и опционным</w:t>
            </w:r>
            <w:r>
              <w:rPr>
                <w:bCs/>
              </w:rPr>
              <w:t xml:space="preserve"> </w:t>
            </w:r>
            <w:r w:rsidRPr="00BA214E">
              <w:rPr>
                <w:bCs/>
              </w:rPr>
              <w:t>контрактам не превышает:</w:t>
            </w:r>
            <w:r>
              <w:rPr>
                <w:bCs/>
              </w:rPr>
              <w:t xml:space="preserve"> </w:t>
            </w:r>
          </w:p>
          <w:p w:rsidR="001C4E47" w:rsidRPr="00BA214E" w:rsidRDefault="001C4E47" w:rsidP="001C4E47">
            <w:pPr>
              <w:autoSpaceDE w:val="0"/>
              <w:autoSpaceDN w:val="0"/>
              <w:adjustRightInd w:val="0"/>
              <w:ind w:firstLine="426"/>
              <w:jc w:val="both"/>
              <w:rPr>
                <w:bCs/>
              </w:rPr>
            </w:pPr>
            <w:r w:rsidRPr="00BA214E">
              <w:rPr>
                <w:bCs/>
              </w:rPr>
              <w:t>сумму денежных средств, составляющих активы фонда и находящихся у</w:t>
            </w:r>
            <w:r>
              <w:rPr>
                <w:bCs/>
              </w:rPr>
              <w:t xml:space="preserve"> </w:t>
            </w:r>
            <w:r w:rsidRPr="00BA214E">
              <w:rPr>
                <w:bCs/>
              </w:rPr>
              <w:t>професси</w:t>
            </w:r>
            <w:r w:rsidRPr="00BA214E">
              <w:rPr>
                <w:bCs/>
              </w:rPr>
              <w:t>о</w:t>
            </w:r>
            <w:r w:rsidRPr="00BA214E">
              <w:rPr>
                <w:bCs/>
              </w:rPr>
              <w:t>нальных участников рынка ценных бумаг, за вычетом суммы обязательств по</w:t>
            </w:r>
            <w:r>
              <w:rPr>
                <w:bCs/>
              </w:rPr>
              <w:t xml:space="preserve"> </w:t>
            </w:r>
            <w:r w:rsidRPr="00BA214E">
              <w:rPr>
                <w:bCs/>
              </w:rPr>
              <w:t>передаче денежных средств, составляющих активы фонда, по сделкам, не являющимся</w:t>
            </w:r>
            <w:r>
              <w:rPr>
                <w:bCs/>
              </w:rPr>
              <w:t xml:space="preserve"> </w:t>
            </w:r>
            <w:r w:rsidRPr="00BA214E">
              <w:rPr>
                <w:bCs/>
              </w:rPr>
              <w:t>прои</w:t>
            </w:r>
            <w:r w:rsidRPr="00BA214E">
              <w:rPr>
                <w:bCs/>
              </w:rPr>
              <w:t>з</w:t>
            </w:r>
            <w:r w:rsidRPr="00BA214E">
              <w:rPr>
                <w:bCs/>
              </w:rPr>
              <w:t>водными финансовыми инструментами);</w:t>
            </w:r>
          </w:p>
          <w:p w:rsidR="001C4E47" w:rsidRDefault="001C4E47" w:rsidP="001C4E47">
            <w:pPr>
              <w:autoSpaceDE w:val="0"/>
              <w:autoSpaceDN w:val="0"/>
              <w:adjustRightInd w:val="0"/>
              <w:ind w:firstLine="426"/>
              <w:jc w:val="both"/>
              <w:rPr>
                <w:bCs/>
              </w:rPr>
            </w:pPr>
            <w:r w:rsidRPr="00BA214E">
              <w:rPr>
                <w:bCs/>
              </w:rPr>
              <w:t>и сумму денежных средств, включая иностранную валюту, составляющих активы</w:t>
            </w:r>
            <w:r>
              <w:rPr>
                <w:bCs/>
              </w:rPr>
              <w:t xml:space="preserve"> </w:t>
            </w:r>
            <w:r w:rsidRPr="00BA214E">
              <w:rPr>
                <w:bCs/>
              </w:rPr>
              <w:t>фонда, на банковских счетах;</w:t>
            </w:r>
            <w:r>
              <w:rPr>
                <w:bCs/>
              </w:rPr>
              <w:t xml:space="preserve"> </w:t>
            </w:r>
          </w:p>
          <w:p w:rsidR="001C4E47" w:rsidRPr="00BA214E" w:rsidRDefault="001C4E47" w:rsidP="001C4E47">
            <w:pPr>
              <w:autoSpaceDE w:val="0"/>
              <w:autoSpaceDN w:val="0"/>
              <w:adjustRightInd w:val="0"/>
              <w:ind w:firstLine="426"/>
              <w:jc w:val="both"/>
              <w:rPr>
                <w:bCs/>
              </w:rPr>
            </w:pPr>
            <w:r w:rsidRPr="00BA214E">
              <w:rPr>
                <w:bCs/>
              </w:rPr>
              <w:t>и сумму денежных средств, составля</w:t>
            </w:r>
            <w:r w:rsidRPr="00BA214E">
              <w:rPr>
                <w:bCs/>
              </w:rPr>
              <w:t>ю</w:t>
            </w:r>
            <w:r w:rsidRPr="00BA214E">
              <w:rPr>
                <w:bCs/>
              </w:rPr>
              <w:t>щих активы фонда, включая иностранную</w:t>
            </w:r>
            <w:r>
              <w:rPr>
                <w:bCs/>
              </w:rPr>
              <w:t xml:space="preserve"> </w:t>
            </w:r>
            <w:r w:rsidRPr="00BA214E">
              <w:rPr>
                <w:bCs/>
              </w:rPr>
              <w:t>валюту, во вкладах в кредитных организац</w:t>
            </w:r>
            <w:r w:rsidRPr="00BA214E">
              <w:rPr>
                <w:bCs/>
              </w:rPr>
              <w:t>и</w:t>
            </w:r>
            <w:r w:rsidRPr="00BA214E">
              <w:rPr>
                <w:bCs/>
              </w:rPr>
              <w:t>ях, имеющих рейтинг долгосрочной</w:t>
            </w:r>
            <w:r>
              <w:rPr>
                <w:bCs/>
              </w:rPr>
              <w:t xml:space="preserve"> </w:t>
            </w:r>
            <w:r w:rsidRPr="00BA214E">
              <w:rPr>
                <w:bCs/>
              </w:rPr>
              <w:t>кредит</w:t>
            </w:r>
            <w:r w:rsidRPr="00BA214E">
              <w:rPr>
                <w:bCs/>
              </w:rPr>
              <w:t>о</w:t>
            </w:r>
            <w:r w:rsidRPr="00BA214E">
              <w:rPr>
                <w:bCs/>
              </w:rPr>
              <w:t xml:space="preserve">способности не ниже уровня </w:t>
            </w:r>
            <w:r>
              <w:rPr>
                <w:bCs/>
              </w:rPr>
              <w:t>«</w:t>
            </w:r>
            <w:r w:rsidRPr="00BA214E">
              <w:rPr>
                <w:bCs/>
              </w:rPr>
              <w:t>BBB-</w:t>
            </w:r>
            <w:r>
              <w:rPr>
                <w:bCs/>
              </w:rPr>
              <w:t>«</w:t>
            </w:r>
            <w:r w:rsidRPr="00BA214E">
              <w:rPr>
                <w:bCs/>
              </w:rPr>
              <w:t xml:space="preserve"> по классификации рейтинговых агентств </w:t>
            </w:r>
            <w:r>
              <w:rPr>
                <w:bCs/>
              </w:rPr>
              <w:t>«</w:t>
            </w:r>
            <w:r w:rsidRPr="00BA214E">
              <w:rPr>
                <w:bCs/>
              </w:rPr>
              <w:t>Фитч</w:t>
            </w:r>
            <w:r>
              <w:rPr>
                <w:bCs/>
              </w:rPr>
              <w:t xml:space="preserve"> </w:t>
            </w:r>
            <w:r w:rsidRPr="00BA214E">
              <w:rPr>
                <w:bCs/>
              </w:rPr>
              <w:t>Рейтингс</w:t>
            </w:r>
            <w:r>
              <w:rPr>
                <w:bCs/>
              </w:rPr>
              <w:t>»</w:t>
            </w:r>
            <w:r w:rsidRPr="00BA214E">
              <w:rPr>
                <w:bCs/>
              </w:rPr>
              <w:t xml:space="preserve"> (Fitch-Ratings) или </w:t>
            </w:r>
            <w:r>
              <w:rPr>
                <w:bCs/>
              </w:rPr>
              <w:t>«</w:t>
            </w:r>
            <w:r w:rsidRPr="00BA214E">
              <w:rPr>
                <w:bCs/>
              </w:rPr>
              <w:t>Стандарт энд Пурс</w:t>
            </w:r>
            <w:r>
              <w:rPr>
                <w:bCs/>
              </w:rPr>
              <w:t>»</w:t>
            </w:r>
            <w:r w:rsidRPr="00BA214E">
              <w:rPr>
                <w:bCs/>
              </w:rPr>
              <w:t xml:space="preserve"> (Standard &amp; Poor's) либо не ниже уровня</w:t>
            </w:r>
            <w:r>
              <w:rPr>
                <w:bCs/>
              </w:rPr>
              <w:t xml:space="preserve"> «</w:t>
            </w:r>
            <w:r w:rsidRPr="00BA214E">
              <w:rPr>
                <w:bCs/>
              </w:rPr>
              <w:t>Baa3</w:t>
            </w:r>
            <w:r>
              <w:rPr>
                <w:bCs/>
              </w:rPr>
              <w:t>»</w:t>
            </w:r>
            <w:r w:rsidRPr="00BA214E">
              <w:rPr>
                <w:bCs/>
              </w:rPr>
              <w:t xml:space="preserve"> по классификации рейтинг</w:t>
            </w:r>
            <w:r w:rsidRPr="00BA214E">
              <w:rPr>
                <w:bCs/>
              </w:rPr>
              <w:t>о</w:t>
            </w:r>
            <w:r w:rsidRPr="00BA214E">
              <w:rPr>
                <w:bCs/>
              </w:rPr>
              <w:t>вого</w:t>
            </w:r>
            <w:r>
              <w:rPr>
                <w:bCs/>
              </w:rPr>
              <w:t xml:space="preserve"> </w:t>
            </w:r>
            <w:r w:rsidRPr="00BA214E">
              <w:rPr>
                <w:bCs/>
              </w:rPr>
              <w:t xml:space="preserve">агентства </w:t>
            </w:r>
            <w:r>
              <w:rPr>
                <w:bCs/>
              </w:rPr>
              <w:t>«</w:t>
            </w:r>
            <w:r w:rsidRPr="00BA214E">
              <w:rPr>
                <w:bCs/>
              </w:rPr>
              <w:t>Мудис Инвесторс Сервис</w:t>
            </w:r>
            <w:r>
              <w:rPr>
                <w:bCs/>
              </w:rPr>
              <w:t xml:space="preserve">» </w:t>
            </w:r>
            <w:r w:rsidRPr="00BA214E">
              <w:rPr>
                <w:bCs/>
              </w:rPr>
              <w:t>(Moody's</w:t>
            </w:r>
            <w:r>
              <w:rPr>
                <w:bCs/>
              </w:rPr>
              <w:t xml:space="preserve"> </w:t>
            </w:r>
            <w:r w:rsidRPr="00BA214E">
              <w:rPr>
                <w:bCs/>
              </w:rPr>
              <w:t>Investors Service);</w:t>
            </w:r>
          </w:p>
          <w:p w:rsidR="001C4E47" w:rsidRDefault="001C4E47" w:rsidP="001C4E47">
            <w:pPr>
              <w:autoSpaceDE w:val="0"/>
              <w:autoSpaceDN w:val="0"/>
              <w:adjustRightInd w:val="0"/>
              <w:ind w:firstLine="426"/>
              <w:jc w:val="both"/>
              <w:rPr>
                <w:bCs/>
              </w:rPr>
            </w:pPr>
            <w:r w:rsidRPr="00BA214E">
              <w:rPr>
                <w:bCs/>
              </w:rPr>
              <w:t>и стоимость государственных ценных бумаг Российской Федерации, составляющие</w:t>
            </w:r>
            <w:r>
              <w:rPr>
                <w:bCs/>
              </w:rPr>
              <w:t xml:space="preserve"> </w:t>
            </w:r>
            <w:r w:rsidRPr="00BA214E">
              <w:rPr>
                <w:bCs/>
              </w:rPr>
              <w:t>активы фонда, которые допущены к торгам организатора торговли на рынке ценных б</w:t>
            </w:r>
            <w:r w:rsidRPr="00BA214E">
              <w:rPr>
                <w:bCs/>
              </w:rPr>
              <w:t>у</w:t>
            </w:r>
            <w:r w:rsidRPr="00BA214E">
              <w:rPr>
                <w:bCs/>
              </w:rPr>
              <w:lastRenderedPageBreak/>
              <w:t>маг и</w:t>
            </w:r>
            <w:r>
              <w:rPr>
                <w:bCs/>
              </w:rPr>
              <w:t xml:space="preserve"> </w:t>
            </w:r>
            <w:r w:rsidRPr="00BA214E">
              <w:rPr>
                <w:bCs/>
              </w:rPr>
              <w:t>условиями выпуска которых не пред</w:t>
            </w:r>
            <w:r w:rsidRPr="00BA214E">
              <w:rPr>
                <w:bCs/>
              </w:rPr>
              <w:t>у</w:t>
            </w:r>
            <w:r w:rsidRPr="00BA214E">
              <w:rPr>
                <w:bCs/>
              </w:rPr>
              <w:t>смотрено ограничение их в обороте;</w:t>
            </w:r>
            <w:r>
              <w:rPr>
                <w:bCs/>
              </w:rPr>
              <w:t xml:space="preserve"> </w:t>
            </w:r>
          </w:p>
          <w:p w:rsidR="001C4E47" w:rsidRDefault="001C4E47" w:rsidP="001C4E47">
            <w:pPr>
              <w:autoSpaceDE w:val="0"/>
              <w:autoSpaceDN w:val="0"/>
              <w:adjustRightInd w:val="0"/>
              <w:ind w:firstLine="426"/>
              <w:jc w:val="both"/>
              <w:rPr>
                <w:bCs/>
              </w:rPr>
            </w:pPr>
            <w:r w:rsidRPr="00BA214E">
              <w:rPr>
                <w:bCs/>
              </w:rPr>
              <w:t>и стоимость облигаций иных эмитентов, составляющих активы фонда, имеющих</w:t>
            </w:r>
            <w:r>
              <w:rPr>
                <w:bCs/>
              </w:rPr>
              <w:t xml:space="preserve"> </w:t>
            </w:r>
            <w:r w:rsidRPr="00BA214E">
              <w:rPr>
                <w:bCs/>
              </w:rPr>
              <w:t xml:space="preserve">рейтинг не ниже уровня </w:t>
            </w:r>
            <w:r>
              <w:rPr>
                <w:bCs/>
              </w:rPr>
              <w:t>«BBB-»</w:t>
            </w:r>
            <w:r w:rsidRPr="00BA214E">
              <w:rPr>
                <w:bCs/>
              </w:rPr>
              <w:t xml:space="preserve"> по классификации рейтинговых агентств </w:t>
            </w:r>
            <w:r>
              <w:rPr>
                <w:bCs/>
              </w:rPr>
              <w:t>«</w:t>
            </w:r>
            <w:r w:rsidRPr="00BA214E">
              <w:rPr>
                <w:bCs/>
              </w:rPr>
              <w:t>Фитч Рейтингс</w:t>
            </w:r>
            <w:r>
              <w:rPr>
                <w:bCs/>
              </w:rPr>
              <w:t xml:space="preserve">» </w:t>
            </w:r>
            <w:r w:rsidRPr="00BA214E">
              <w:rPr>
                <w:bCs/>
              </w:rPr>
              <w:t xml:space="preserve">(Fitch-Ratings) или </w:t>
            </w:r>
            <w:r>
              <w:rPr>
                <w:bCs/>
              </w:rPr>
              <w:t>«</w:t>
            </w:r>
            <w:r w:rsidRPr="00BA214E">
              <w:rPr>
                <w:bCs/>
              </w:rPr>
              <w:t>Стандарт энд Пурс</w:t>
            </w:r>
            <w:r>
              <w:rPr>
                <w:bCs/>
              </w:rPr>
              <w:t>»</w:t>
            </w:r>
            <w:r w:rsidRPr="00BA214E">
              <w:rPr>
                <w:bCs/>
              </w:rPr>
              <w:t xml:space="preserve"> (Standard &amp; Poor's) либо не ниже уровня </w:t>
            </w:r>
            <w:r>
              <w:rPr>
                <w:bCs/>
              </w:rPr>
              <w:t>«</w:t>
            </w:r>
            <w:r w:rsidRPr="00BA214E">
              <w:rPr>
                <w:bCs/>
              </w:rPr>
              <w:t>Baa3</w:t>
            </w:r>
            <w:r>
              <w:rPr>
                <w:bCs/>
              </w:rPr>
              <w:t>»</w:t>
            </w:r>
            <w:r w:rsidRPr="00BA214E">
              <w:rPr>
                <w:bCs/>
              </w:rPr>
              <w:t xml:space="preserve"> по</w:t>
            </w:r>
            <w:r>
              <w:rPr>
                <w:bCs/>
              </w:rPr>
              <w:t xml:space="preserve"> </w:t>
            </w:r>
            <w:r w:rsidRPr="00BA214E">
              <w:rPr>
                <w:bCs/>
              </w:rPr>
              <w:t>классификации рейтингового</w:t>
            </w:r>
            <w:r>
              <w:rPr>
                <w:bCs/>
              </w:rPr>
              <w:t xml:space="preserve"> </w:t>
            </w:r>
            <w:r w:rsidRPr="00BA214E">
              <w:rPr>
                <w:bCs/>
              </w:rPr>
              <w:t xml:space="preserve">агентства </w:t>
            </w:r>
            <w:r>
              <w:rPr>
                <w:bCs/>
              </w:rPr>
              <w:t>«</w:t>
            </w:r>
            <w:r w:rsidRPr="00BA214E">
              <w:rPr>
                <w:bCs/>
              </w:rPr>
              <w:t>Мудис Инвесторс Сервис</w:t>
            </w:r>
            <w:r>
              <w:rPr>
                <w:bCs/>
              </w:rPr>
              <w:t>»</w:t>
            </w:r>
            <w:r w:rsidRPr="00BA214E">
              <w:rPr>
                <w:bCs/>
              </w:rPr>
              <w:t xml:space="preserve"> (Moody's Investors</w:t>
            </w:r>
            <w:r>
              <w:rPr>
                <w:bCs/>
              </w:rPr>
              <w:t xml:space="preserve"> </w:t>
            </w:r>
            <w:r w:rsidRPr="00BA214E">
              <w:rPr>
                <w:bCs/>
              </w:rPr>
              <w:t>Service);</w:t>
            </w:r>
          </w:p>
          <w:p w:rsidR="001C4E47" w:rsidRPr="000F05FC" w:rsidRDefault="001C4E47" w:rsidP="001C4E47">
            <w:pPr>
              <w:autoSpaceDE w:val="0"/>
              <w:autoSpaceDN w:val="0"/>
              <w:adjustRightInd w:val="0"/>
              <w:ind w:firstLine="426"/>
              <w:jc w:val="both"/>
              <w:rPr>
                <w:b/>
              </w:rPr>
            </w:pPr>
            <w:r w:rsidRPr="00BA214E">
              <w:t>3) величина совокупной короткой позиции по фьючерсным и опционным контрактам</w:t>
            </w:r>
            <w:r>
              <w:t xml:space="preserve"> </w:t>
            </w:r>
            <w:r w:rsidRPr="00BA214E">
              <w:t>(рассчитывается по договорам с одним и тем же базовым активом) не превышает величину</w:t>
            </w:r>
            <w:r>
              <w:t xml:space="preserve"> </w:t>
            </w:r>
            <w:r w:rsidRPr="00BA214E">
              <w:t>покрытия совокупной короткой позиции (рассчитывается по активам фонда, изменение цен</w:t>
            </w:r>
            <w:r>
              <w:t xml:space="preserve"> </w:t>
            </w:r>
            <w:r w:rsidRPr="00BA214E">
              <w:t>на которые коррелирует с изменением цен на базовый актив)».</w:t>
            </w:r>
            <w:r w:rsidRPr="00452973">
              <w:t> </w:t>
            </w:r>
          </w:p>
        </w:tc>
        <w:tc>
          <w:tcPr>
            <w:tcW w:w="4961" w:type="dxa"/>
            <w:tcBorders>
              <w:top w:val="single" w:sz="4" w:space="0" w:color="auto"/>
              <w:left w:val="single" w:sz="4" w:space="0" w:color="auto"/>
              <w:bottom w:val="single" w:sz="4" w:space="0" w:color="auto"/>
              <w:right w:val="single" w:sz="4" w:space="0" w:color="auto"/>
            </w:tcBorders>
          </w:tcPr>
          <w:p w:rsidR="001C4E47" w:rsidRDefault="001C4E47" w:rsidP="001C4E47">
            <w:pPr>
              <w:tabs>
                <w:tab w:val="left" w:pos="9072"/>
              </w:tabs>
              <w:spacing w:line="240" w:lineRule="atLeast"/>
              <w:ind w:firstLine="468"/>
              <w:jc w:val="both"/>
            </w:pPr>
            <w:r w:rsidRPr="000F05FC">
              <w:rPr>
                <w:b/>
              </w:rPr>
              <w:lastRenderedPageBreak/>
              <w:t xml:space="preserve">Пункт </w:t>
            </w:r>
            <w:r>
              <w:rPr>
                <w:b/>
              </w:rPr>
              <w:t>2</w:t>
            </w:r>
            <w:r w:rsidRPr="001C4E47">
              <w:rPr>
                <w:b/>
              </w:rPr>
              <w:t>1</w:t>
            </w:r>
            <w:r w:rsidRPr="000F05FC">
              <w:rPr>
                <w:b/>
              </w:rPr>
              <w:t>.</w:t>
            </w:r>
            <w:r w:rsidRPr="00452973">
              <w:t> </w:t>
            </w:r>
          </w:p>
          <w:p w:rsidR="001C4E47" w:rsidRPr="001C4E47" w:rsidRDefault="001C4E47" w:rsidP="001C4E47">
            <w:pPr>
              <w:tabs>
                <w:tab w:val="left" w:pos="9072"/>
              </w:tabs>
              <w:autoSpaceDE w:val="0"/>
              <w:autoSpaceDN w:val="0"/>
              <w:adjustRightInd w:val="0"/>
              <w:spacing w:before="120" w:line="240" w:lineRule="atLeast"/>
              <w:ind w:firstLine="468"/>
              <w:jc w:val="both"/>
              <w:rPr>
                <w:b/>
              </w:rPr>
            </w:pPr>
            <w:r w:rsidRPr="00BA214E">
              <w:rPr>
                <w:bCs/>
              </w:rPr>
              <w:t>Инвестиционной политикой Управля</w:t>
            </w:r>
            <w:r w:rsidRPr="00BA214E">
              <w:rPr>
                <w:bCs/>
              </w:rPr>
              <w:t>ю</w:t>
            </w:r>
            <w:r w:rsidRPr="00BA214E">
              <w:rPr>
                <w:bCs/>
              </w:rPr>
              <w:t>щей</w:t>
            </w:r>
            <w:r>
              <w:rPr>
                <w:bCs/>
              </w:rPr>
              <w:t xml:space="preserve"> </w:t>
            </w:r>
            <w:r w:rsidRPr="00BA214E">
              <w:rPr>
                <w:bCs/>
              </w:rPr>
              <w:t>компании является долгосрочное влож</w:t>
            </w:r>
            <w:r w:rsidRPr="00BA214E">
              <w:rPr>
                <w:bCs/>
              </w:rPr>
              <w:t>е</w:t>
            </w:r>
            <w:r w:rsidRPr="00BA214E">
              <w:rPr>
                <w:bCs/>
              </w:rPr>
              <w:t>ние</w:t>
            </w:r>
            <w:r>
              <w:rPr>
                <w:bCs/>
              </w:rPr>
              <w:t xml:space="preserve"> </w:t>
            </w:r>
            <w:r w:rsidRPr="00BA214E">
              <w:rPr>
                <w:bCs/>
              </w:rPr>
              <w:t>средств в ценные бумаги</w:t>
            </w:r>
            <w:r w:rsidRPr="001C4E47">
              <w:rPr>
                <w:bCs/>
              </w:rPr>
              <w:t>.</w:t>
            </w:r>
          </w:p>
        </w:tc>
      </w:tr>
      <w:tr w:rsidR="00436B41" w:rsidTr="0015192C">
        <w:tc>
          <w:tcPr>
            <w:tcW w:w="4918" w:type="dxa"/>
            <w:tcBorders>
              <w:top w:val="single" w:sz="4" w:space="0" w:color="auto"/>
              <w:left w:val="single" w:sz="4" w:space="0" w:color="auto"/>
              <w:bottom w:val="single" w:sz="4" w:space="0" w:color="auto"/>
              <w:right w:val="single" w:sz="4" w:space="0" w:color="auto"/>
            </w:tcBorders>
          </w:tcPr>
          <w:p w:rsidR="00436B41" w:rsidRDefault="00436B41" w:rsidP="005B6641">
            <w:pPr>
              <w:tabs>
                <w:tab w:val="left" w:pos="9072"/>
              </w:tabs>
              <w:spacing w:line="240" w:lineRule="atLeast"/>
              <w:ind w:firstLine="469"/>
              <w:jc w:val="both"/>
            </w:pPr>
            <w:bookmarkStart w:id="42" w:name="_Hlk519679261"/>
            <w:r w:rsidRPr="000F05FC">
              <w:rPr>
                <w:b/>
              </w:rPr>
              <w:lastRenderedPageBreak/>
              <w:t xml:space="preserve">Пункт </w:t>
            </w:r>
            <w:r>
              <w:rPr>
                <w:b/>
              </w:rPr>
              <w:t>22</w:t>
            </w:r>
            <w:r w:rsidRPr="000F05FC">
              <w:rPr>
                <w:b/>
              </w:rPr>
              <w:t>.</w:t>
            </w:r>
            <w:r w:rsidRPr="00452973">
              <w:t> </w:t>
            </w:r>
          </w:p>
          <w:p w:rsidR="00436B41" w:rsidRPr="00F93E77" w:rsidRDefault="00436B41" w:rsidP="005B6641">
            <w:pPr>
              <w:spacing w:before="120"/>
              <w:ind w:firstLine="471"/>
              <w:jc w:val="both"/>
            </w:pPr>
            <w:r w:rsidRPr="001A7777">
              <w:t>Объекты инвестирования, их состав и описание.</w:t>
            </w:r>
          </w:p>
          <w:p w:rsidR="00436B41" w:rsidRPr="001A7777" w:rsidRDefault="00436B41" w:rsidP="005B6641">
            <w:pPr>
              <w:autoSpaceDE w:val="0"/>
              <w:autoSpaceDN w:val="0"/>
              <w:adjustRightInd w:val="0"/>
              <w:ind w:firstLine="469"/>
              <w:jc w:val="both"/>
            </w:pPr>
            <w:r w:rsidRPr="001A7777">
              <w:t>22.1.</w:t>
            </w:r>
            <w:r>
              <w:t xml:space="preserve"> </w:t>
            </w:r>
            <w:r w:rsidRPr="001A7777">
              <w:t xml:space="preserve">Имущество, составляющее фонд, может быть инвестировано в следующие </w:t>
            </w:r>
            <w:r>
              <w:t xml:space="preserve">   </w:t>
            </w:r>
            <w:r w:rsidRPr="001A7777">
              <w:t>активы:</w:t>
            </w:r>
          </w:p>
          <w:p w:rsidR="00436B41" w:rsidRPr="006A1DD1" w:rsidRDefault="00436B41" w:rsidP="005B6641">
            <w:pPr>
              <w:autoSpaceDE w:val="0"/>
              <w:autoSpaceDN w:val="0"/>
              <w:adjustRightInd w:val="0"/>
              <w:ind w:firstLine="469"/>
              <w:jc w:val="both"/>
            </w:pPr>
            <w:r w:rsidRPr="001A7777">
              <w:t xml:space="preserve">1)  активы, допущенные к организованным торгам (или в отношении которых </w:t>
            </w:r>
            <w:r>
              <w:t xml:space="preserve">   </w:t>
            </w:r>
            <w:r w:rsidRPr="001A7777">
              <w:t xml:space="preserve">биржей принято решение о включении в </w:t>
            </w:r>
            <w:r>
              <w:t xml:space="preserve">    </w:t>
            </w:r>
            <w:r w:rsidRPr="001A7777">
              <w:t xml:space="preserve">котировальные списки) на биржах Российской Федерации и биржах, расположенных в иностранных государствах, являющихся </w:t>
            </w:r>
            <w:r>
              <w:t xml:space="preserve">  </w:t>
            </w:r>
            <w:r w:rsidRPr="001A7777">
              <w:t xml:space="preserve">членами Евразийского экономического союза (ЕАЭС), Организации экономического </w:t>
            </w:r>
            <w:r>
              <w:t xml:space="preserve">       </w:t>
            </w:r>
            <w:r w:rsidRPr="001A7777">
              <w:t>сотрудничества и развития (ОЭСР), Европейского союза, Китая, Индии, Бразилии, Южно-Африканской Республики (</w:t>
            </w:r>
            <w:r w:rsidRPr="006024C7">
              <w:t>далее - иностранные государства</w:t>
            </w:r>
            <w:r w:rsidRPr="00E9457A">
              <w:t>)</w:t>
            </w:r>
            <w:r w:rsidRPr="001A7777">
              <w:t xml:space="preserve"> и включенных в </w:t>
            </w:r>
            <w:hyperlink r:id="rId10" w:history="1">
              <w:r w:rsidRPr="001A7777">
                <w:t>перечень</w:t>
              </w:r>
            </w:hyperlink>
            <w:r w:rsidRPr="001A7777">
              <w:t xml:space="preserve"> иностранных бирж, утвержденный Указанием Банка России от 28 января 2016 года </w:t>
            </w:r>
            <w:r w:rsidRPr="009D0E7A">
              <w:t xml:space="preserve">            </w:t>
            </w:r>
            <w:r>
              <w:t>№</w:t>
            </w:r>
            <w:r w:rsidRPr="009D0E7A">
              <w:t xml:space="preserve"> </w:t>
            </w:r>
            <w:r w:rsidRPr="001A7777">
              <w:t xml:space="preserve">3949-У </w:t>
            </w:r>
            <w:r>
              <w:t>«</w:t>
            </w:r>
            <w:r w:rsidRPr="001A7777">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t xml:space="preserve">», </w:t>
            </w:r>
            <w:r w:rsidRPr="006A1DD1">
              <w:t>за исключением инвестиционных паев фондов для квалифицированных инвесторов.</w:t>
            </w:r>
          </w:p>
          <w:p w:rsidR="00436B41" w:rsidRPr="006A1DD1" w:rsidRDefault="00436B41" w:rsidP="005B6641">
            <w:pPr>
              <w:autoSpaceDE w:val="0"/>
              <w:autoSpaceDN w:val="0"/>
              <w:adjustRightInd w:val="0"/>
              <w:jc w:val="both"/>
            </w:pPr>
            <w:r w:rsidRPr="006A1DD1">
              <w:t>1.1) паи (акции) иностранных инвестиционных фондов, которым присвоен код CFI в</w:t>
            </w:r>
            <w:r>
              <w:t xml:space="preserve"> </w:t>
            </w:r>
            <w:r w:rsidRPr="006A1DD1">
              <w:t>соответствии с международным стандартом ISO 10962.</w:t>
            </w:r>
          </w:p>
          <w:p w:rsidR="00436B41" w:rsidRPr="006A1DD1" w:rsidRDefault="00436B41" w:rsidP="005B6641">
            <w:pPr>
              <w:autoSpaceDE w:val="0"/>
              <w:autoSpaceDN w:val="0"/>
              <w:adjustRightInd w:val="0"/>
              <w:ind w:firstLine="469"/>
              <w:jc w:val="both"/>
            </w:pPr>
            <w:r w:rsidRPr="006A1DD1">
              <w:t>В случае использования стандарта ISO 10962:2001, присвоенный указанным паям</w:t>
            </w:r>
            <w:r>
              <w:t xml:space="preserve"> </w:t>
            </w:r>
            <w:r w:rsidRPr="006A1DD1">
              <w:t xml:space="preserve">(акциям) код CFI должен иметь следующие значения: первая буква – значение </w:t>
            </w:r>
            <w:r>
              <w:t>«</w:t>
            </w:r>
            <w:r w:rsidRPr="006A1DD1">
              <w:t>E</w:t>
            </w:r>
            <w:r>
              <w:t>»</w:t>
            </w:r>
            <w:r w:rsidRPr="006A1DD1">
              <w:t>, вторая</w:t>
            </w:r>
            <w:r>
              <w:t xml:space="preserve"> </w:t>
            </w:r>
            <w:r w:rsidRPr="006A1DD1">
              <w:t xml:space="preserve">буква - значение </w:t>
            </w:r>
            <w:r>
              <w:t>«</w:t>
            </w:r>
            <w:r w:rsidRPr="006A1DD1">
              <w:t>U</w:t>
            </w:r>
            <w:r>
              <w:t>»</w:t>
            </w:r>
            <w:r w:rsidRPr="006A1DD1">
              <w:t xml:space="preserve">, третья буква - значение </w:t>
            </w:r>
            <w:r>
              <w:t>«</w:t>
            </w:r>
            <w:r w:rsidRPr="006A1DD1">
              <w:t>O</w:t>
            </w:r>
            <w:r>
              <w:t>»</w:t>
            </w:r>
            <w:r w:rsidRPr="006A1DD1">
              <w:t>, или если паи (акции) этого фонда прошли</w:t>
            </w:r>
            <w:r>
              <w:t xml:space="preserve"> </w:t>
            </w:r>
            <w:r w:rsidRPr="006A1DD1">
              <w:t>процедуру листинга хотя бы на одной из фондовых бирж, указанных в настоящих Правилах,</w:t>
            </w:r>
            <w:r>
              <w:t xml:space="preserve"> </w:t>
            </w:r>
            <w:r w:rsidRPr="006A1DD1">
              <w:t xml:space="preserve">значение </w:t>
            </w:r>
            <w:r>
              <w:t>«</w:t>
            </w:r>
            <w:r w:rsidRPr="006A1DD1">
              <w:t>C</w:t>
            </w:r>
            <w:r>
              <w:t>»</w:t>
            </w:r>
            <w:r w:rsidRPr="006A1DD1">
              <w:t xml:space="preserve">, пятая буква - значение </w:t>
            </w:r>
            <w:r>
              <w:t>«</w:t>
            </w:r>
            <w:r w:rsidRPr="006A1DD1">
              <w:t>S</w:t>
            </w:r>
            <w:r>
              <w:t>»</w:t>
            </w:r>
            <w:r w:rsidRPr="006A1DD1">
              <w:t>.</w:t>
            </w:r>
          </w:p>
          <w:p w:rsidR="00436B41" w:rsidRPr="006A1DD1" w:rsidRDefault="00436B41" w:rsidP="005B6641">
            <w:pPr>
              <w:autoSpaceDE w:val="0"/>
              <w:autoSpaceDN w:val="0"/>
              <w:adjustRightInd w:val="0"/>
              <w:ind w:firstLine="469"/>
              <w:jc w:val="both"/>
            </w:pPr>
            <w:r w:rsidRPr="006A1DD1">
              <w:t>В случае использования стандарта ISO 10962:2015, присвоенный указанным паям</w:t>
            </w:r>
            <w:r>
              <w:t xml:space="preserve"> </w:t>
            </w:r>
            <w:r w:rsidRPr="006A1DD1">
              <w:t xml:space="preserve">(акциям) код CFI должен иметь следующие значения: первая буква – значение </w:t>
            </w:r>
            <w:r>
              <w:t>«</w:t>
            </w:r>
            <w:r w:rsidRPr="006A1DD1">
              <w:t>С</w:t>
            </w:r>
            <w:r>
              <w:t>»</w:t>
            </w:r>
            <w:r w:rsidRPr="006A1DD1">
              <w:t>, вторая</w:t>
            </w:r>
            <w:r>
              <w:t xml:space="preserve"> </w:t>
            </w:r>
            <w:r w:rsidRPr="006A1DD1">
              <w:t xml:space="preserve">буква - значение </w:t>
            </w:r>
            <w:r>
              <w:t>«</w:t>
            </w:r>
            <w:r w:rsidRPr="006A1DD1">
              <w:t>I</w:t>
            </w:r>
            <w:r>
              <w:t>»</w:t>
            </w:r>
            <w:r w:rsidRPr="006A1DD1">
              <w:t xml:space="preserve">, или </w:t>
            </w:r>
            <w:r>
              <w:t>«</w:t>
            </w:r>
            <w:r w:rsidRPr="006A1DD1">
              <w:t>E</w:t>
            </w:r>
            <w:r>
              <w:t>»</w:t>
            </w:r>
            <w:r w:rsidRPr="006A1DD1">
              <w:t xml:space="preserve">, или </w:t>
            </w:r>
            <w:r>
              <w:t>«</w:t>
            </w:r>
            <w:r w:rsidRPr="006A1DD1">
              <w:t>B</w:t>
            </w:r>
            <w:r>
              <w:t>»</w:t>
            </w:r>
            <w:r w:rsidRPr="006A1DD1">
              <w:t xml:space="preserve"> или </w:t>
            </w:r>
            <w:r>
              <w:t>«</w:t>
            </w:r>
            <w:r w:rsidRPr="006A1DD1">
              <w:t>F</w:t>
            </w:r>
            <w:r>
              <w:t>»</w:t>
            </w:r>
            <w:r w:rsidRPr="006A1DD1">
              <w:t>;</w:t>
            </w:r>
          </w:p>
          <w:p w:rsidR="00436B41" w:rsidRPr="006A1DD1" w:rsidRDefault="00436B41" w:rsidP="005B6641">
            <w:pPr>
              <w:autoSpaceDE w:val="0"/>
              <w:autoSpaceDN w:val="0"/>
              <w:adjustRightInd w:val="0"/>
              <w:jc w:val="both"/>
            </w:pPr>
            <w:r w:rsidRPr="006A1DD1">
              <w:t>1.2) полностью оплаченные акции российских акционерных обществ, за исключением</w:t>
            </w:r>
            <w:r>
              <w:t xml:space="preserve"> </w:t>
            </w:r>
            <w:r w:rsidRPr="006A1DD1">
              <w:t>акций акционерных инвестиционных фондов;</w:t>
            </w:r>
          </w:p>
          <w:p w:rsidR="00436B41" w:rsidRPr="006A1DD1" w:rsidRDefault="00436B41" w:rsidP="005B6641">
            <w:pPr>
              <w:autoSpaceDE w:val="0"/>
              <w:autoSpaceDN w:val="0"/>
              <w:adjustRightInd w:val="0"/>
              <w:jc w:val="both"/>
            </w:pPr>
            <w:r w:rsidRPr="006A1DD1">
              <w:t>1.3) полностью оплаченные акции иностранных акционерных обществ;</w:t>
            </w:r>
          </w:p>
          <w:p w:rsidR="00436B41" w:rsidRPr="006A1DD1" w:rsidRDefault="00436B41" w:rsidP="005B6641">
            <w:pPr>
              <w:autoSpaceDE w:val="0"/>
              <w:autoSpaceDN w:val="0"/>
              <w:adjustRightInd w:val="0"/>
              <w:jc w:val="both"/>
            </w:pPr>
            <w:r w:rsidRPr="006A1DD1">
              <w:t>1.4) долговые инструменты;</w:t>
            </w:r>
          </w:p>
          <w:p w:rsidR="00436B41" w:rsidRPr="006A1DD1" w:rsidRDefault="00436B41" w:rsidP="005B6641">
            <w:pPr>
              <w:autoSpaceDE w:val="0"/>
              <w:autoSpaceDN w:val="0"/>
              <w:adjustRightInd w:val="0"/>
              <w:jc w:val="both"/>
            </w:pPr>
            <w:r w:rsidRPr="006A1DD1">
              <w:t>1.5) производные финансовые инструменты (фьючерсные и опционные договоры</w:t>
            </w:r>
          </w:p>
          <w:p w:rsidR="00436B41" w:rsidRPr="001A7777" w:rsidRDefault="00436B41" w:rsidP="005B6641">
            <w:pPr>
              <w:autoSpaceDE w:val="0"/>
              <w:autoSpaceDN w:val="0"/>
              <w:adjustRightInd w:val="0"/>
              <w:jc w:val="both"/>
            </w:pPr>
            <w:r w:rsidRPr="006A1DD1">
              <w:t xml:space="preserve">(контракты) при соблюдении условии, </w:t>
            </w:r>
            <w:r w:rsidRPr="00D86855">
              <w:t>предусмотренных пунктом 22.4 настоящих</w:t>
            </w:r>
            <w:r w:rsidRPr="006A1DD1">
              <w:t xml:space="preserve"> Правил.</w:t>
            </w:r>
          </w:p>
          <w:p w:rsidR="00436B41" w:rsidRPr="00F93E77" w:rsidRDefault="00436B41" w:rsidP="005B6641">
            <w:pPr>
              <w:autoSpaceDE w:val="0"/>
              <w:autoSpaceDN w:val="0"/>
              <w:adjustRightInd w:val="0"/>
              <w:ind w:firstLine="469"/>
              <w:jc w:val="both"/>
            </w:pPr>
            <w:r w:rsidRPr="001A7777">
              <w:t xml:space="preserve">2) инвестиционные </w:t>
            </w:r>
            <w:r w:rsidRPr="007364CF">
              <w:t xml:space="preserve">паи открытых паевых инвестиционных фондов, относящихся к </w:t>
            </w:r>
            <w:r w:rsidRPr="009D0E7A">
              <w:t xml:space="preserve">           </w:t>
            </w:r>
            <w:r w:rsidRPr="007364CF">
              <w:t>категории фондов рыночных финансовых инструментов</w:t>
            </w:r>
            <w:r>
              <w:t>.</w:t>
            </w:r>
          </w:p>
          <w:p w:rsidR="00436B41" w:rsidRDefault="00436B41" w:rsidP="005B6641">
            <w:pPr>
              <w:autoSpaceDE w:val="0"/>
              <w:autoSpaceDN w:val="0"/>
              <w:adjustRightInd w:val="0"/>
              <w:ind w:firstLine="469"/>
              <w:jc w:val="both"/>
            </w:pPr>
            <w:r w:rsidRPr="001A7777">
              <w:t xml:space="preserve">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w:t>
            </w:r>
            <w:r>
              <w:t xml:space="preserve">        </w:t>
            </w:r>
            <w:r w:rsidRPr="001A7777">
              <w:t xml:space="preserve">которых они зарегистрированы (далее - </w:t>
            </w:r>
            <w:r w:rsidRPr="00E9457A">
              <w:t>иностранные банки</w:t>
            </w:r>
            <w:r w:rsidRPr="00A75C15">
              <w:t>)</w:t>
            </w:r>
            <w:r>
              <w:t xml:space="preserve">,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436B41" w:rsidRPr="001A7777" w:rsidRDefault="00436B41" w:rsidP="005B6641">
            <w:pPr>
              <w:autoSpaceDE w:val="0"/>
              <w:autoSpaceDN w:val="0"/>
              <w:adjustRightInd w:val="0"/>
              <w:ind w:firstLine="469"/>
              <w:jc w:val="both"/>
            </w:pPr>
            <w:r w:rsidRPr="001A7777">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436B41" w:rsidRPr="001A7777" w:rsidRDefault="00436B41" w:rsidP="005B6641">
            <w:pPr>
              <w:autoSpaceDE w:val="0"/>
              <w:autoSpaceDN w:val="0"/>
              <w:adjustRightInd w:val="0"/>
              <w:ind w:firstLine="469"/>
              <w:jc w:val="both"/>
            </w:pPr>
            <w:r w:rsidRPr="001A7777">
              <w:t>4) права требования из договоров,</w:t>
            </w:r>
            <w:r>
              <w:t xml:space="preserve">       </w:t>
            </w:r>
            <w:r w:rsidRPr="001A7777">
              <w:t>заключенных для целей доверительного управления в отношении указанных активов;</w:t>
            </w:r>
          </w:p>
          <w:p w:rsidR="00436B41" w:rsidRPr="001A7777" w:rsidRDefault="00436B41" w:rsidP="005B6641">
            <w:pPr>
              <w:autoSpaceDE w:val="0"/>
              <w:autoSpaceDN w:val="0"/>
              <w:adjustRightInd w:val="0"/>
              <w:ind w:firstLine="469"/>
              <w:jc w:val="both"/>
            </w:pPr>
            <w:r w:rsidRPr="001A7777">
              <w:t>5) иные активы, включаемые в состав</w:t>
            </w:r>
            <w:r w:rsidRPr="009D0E7A">
              <w:t xml:space="preserve"> </w:t>
            </w:r>
            <w:r w:rsidRPr="001A7777">
              <w:t>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436B41" w:rsidRPr="00A678D0" w:rsidRDefault="00436B41" w:rsidP="005B6641">
            <w:pPr>
              <w:autoSpaceDE w:val="0"/>
              <w:autoSpaceDN w:val="0"/>
              <w:adjustRightInd w:val="0"/>
              <w:ind w:firstLine="469"/>
              <w:jc w:val="both"/>
            </w:pPr>
            <w:r w:rsidRPr="001A7777">
              <w:t>22.</w:t>
            </w:r>
            <w:r>
              <w:t>2</w:t>
            </w:r>
            <w:r w:rsidRPr="001A7777">
              <w:t xml:space="preserve">. </w:t>
            </w:r>
            <w:r w:rsidRPr="00A678D0">
              <w:t>В целях настоящих Правил под долговыми инструментами понимаются:</w:t>
            </w:r>
          </w:p>
          <w:p w:rsidR="00436B41" w:rsidRPr="00A678D0" w:rsidRDefault="00436B41" w:rsidP="005B6641">
            <w:pPr>
              <w:autoSpaceDE w:val="0"/>
              <w:autoSpaceDN w:val="0"/>
              <w:adjustRightInd w:val="0"/>
              <w:ind w:firstLine="469"/>
              <w:jc w:val="both"/>
            </w:pPr>
            <w:r w:rsidRPr="00A678D0">
              <w:t>а) облигации российских эмитентов;</w:t>
            </w:r>
          </w:p>
          <w:p w:rsidR="00436B41" w:rsidRPr="00A678D0" w:rsidRDefault="00436B41" w:rsidP="005B6641">
            <w:pPr>
              <w:autoSpaceDE w:val="0"/>
              <w:autoSpaceDN w:val="0"/>
              <w:adjustRightInd w:val="0"/>
              <w:ind w:firstLine="469"/>
              <w:jc w:val="both"/>
            </w:pPr>
            <w:r w:rsidRPr="00A678D0">
              <w:t>б) биржевые облигации российских эмитентов;</w:t>
            </w:r>
          </w:p>
          <w:p w:rsidR="00436B41" w:rsidRPr="00A678D0" w:rsidRDefault="00436B41" w:rsidP="005B6641">
            <w:pPr>
              <w:autoSpaceDE w:val="0"/>
              <w:autoSpaceDN w:val="0"/>
              <w:adjustRightInd w:val="0"/>
              <w:ind w:firstLine="469"/>
              <w:jc w:val="both"/>
            </w:pPr>
            <w:r w:rsidRPr="00A678D0">
              <w:t>в) государственные ценные бумаги Российской Федерации, государственные ценные</w:t>
            </w:r>
          </w:p>
          <w:p w:rsidR="00436B41" w:rsidRPr="00A678D0" w:rsidRDefault="00436B41" w:rsidP="005B6641">
            <w:pPr>
              <w:autoSpaceDE w:val="0"/>
              <w:autoSpaceDN w:val="0"/>
              <w:adjustRightInd w:val="0"/>
              <w:ind w:firstLine="469"/>
              <w:jc w:val="both"/>
            </w:pPr>
            <w:r w:rsidRPr="00A678D0">
              <w:t>бумаги субъектов Российской Федерации и муниципальные ценные бумаги;</w:t>
            </w:r>
          </w:p>
          <w:p w:rsidR="00436B41" w:rsidRPr="00A678D0" w:rsidRDefault="00436B41" w:rsidP="005B6641">
            <w:pPr>
              <w:autoSpaceDE w:val="0"/>
              <w:autoSpaceDN w:val="0"/>
              <w:adjustRightInd w:val="0"/>
              <w:ind w:firstLine="469"/>
              <w:jc w:val="both"/>
            </w:pPr>
            <w:r w:rsidRPr="00A678D0">
              <w:t>г) облигации иностранных эмитентов и международных финансовых организаций.</w:t>
            </w:r>
          </w:p>
          <w:p w:rsidR="00436B41" w:rsidRDefault="00436B41" w:rsidP="005B6641">
            <w:pPr>
              <w:autoSpaceDE w:val="0"/>
              <w:autoSpaceDN w:val="0"/>
              <w:adjustRightInd w:val="0"/>
              <w:ind w:firstLine="469"/>
              <w:jc w:val="both"/>
            </w:pPr>
            <w:r w:rsidRPr="00A678D0">
              <w:t>д) российские и иностранные депозитарные расписки на ценные бумаги,</w:t>
            </w:r>
            <w:r>
              <w:t xml:space="preserve"> </w:t>
            </w:r>
            <w:r w:rsidRPr="00A678D0">
              <w:t>предусмотренные настоящим пунктом.</w:t>
            </w:r>
          </w:p>
          <w:p w:rsidR="00436B41" w:rsidRPr="00A678D0" w:rsidRDefault="00436B41" w:rsidP="005B6641">
            <w:pPr>
              <w:autoSpaceDE w:val="0"/>
              <w:autoSpaceDN w:val="0"/>
              <w:adjustRightInd w:val="0"/>
              <w:ind w:firstLine="469"/>
              <w:jc w:val="both"/>
            </w:pPr>
            <w:r>
              <w:t xml:space="preserve">22.3. </w:t>
            </w:r>
            <w:r w:rsidRPr="00A678D0">
              <w:t>Имущество, составляющее фонд, может быть инвестировано в облигации,</w:t>
            </w:r>
            <w:r>
              <w:t xml:space="preserve"> </w:t>
            </w:r>
            <w:r w:rsidRPr="00A678D0">
              <w:t>эмитентами которых могут быть:</w:t>
            </w:r>
          </w:p>
          <w:p w:rsidR="00436B41" w:rsidRPr="00A678D0" w:rsidRDefault="00436B41" w:rsidP="009A2E33">
            <w:pPr>
              <w:autoSpaceDE w:val="0"/>
              <w:autoSpaceDN w:val="0"/>
              <w:adjustRightInd w:val="0"/>
              <w:jc w:val="both"/>
            </w:pPr>
            <w:r w:rsidRPr="00A678D0">
              <w:t>- российские органы государственной власти;</w:t>
            </w:r>
          </w:p>
          <w:p w:rsidR="00436B41" w:rsidRPr="00A678D0" w:rsidRDefault="00436B41" w:rsidP="009A2E33">
            <w:pPr>
              <w:autoSpaceDE w:val="0"/>
              <w:autoSpaceDN w:val="0"/>
              <w:adjustRightInd w:val="0"/>
              <w:jc w:val="both"/>
            </w:pPr>
            <w:r w:rsidRPr="00A678D0">
              <w:t>- иностранные органы государственной власти;</w:t>
            </w:r>
          </w:p>
          <w:p w:rsidR="00436B41" w:rsidRPr="00A678D0" w:rsidRDefault="00436B41" w:rsidP="009A2E33">
            <w:pPr>
              <w:autoSpaceDE w:val="0"/>
              <w:autoSpaceDN w:val="0"/>
              <w:adjustRightInd w:val="0"/>
              <w:jc w:val="both"/>
            </w:pPr>
            <w:r w:rsidRPr="00A678D0">
              <w:t>- органы местного самоуправления;</w:t>
            </w:r>
          </w:p>
          <w:p w:rsidR="00436B41" w:rsidRPr="00A678D0" w:rsidRDefault="00436B41" w:rsidP="009A2E33">
            <w:pPr>
              <w:autoSpaceDE w:val="0"/>
              <w:autoSpaceDN w:val="0"/>
              <w:adjustRightInd w:val="0"/>
              <w:jc w:val="both"/>
            </w:pPr>
            <w:r w:rsidRPr="00A678D0">
              <w:t>- международные финансовые организации;</w:t>
            </w:r>
          </w:p>
          <w:p w:rsidR="00436B41" w:rsidRPr="00A678D0" w:rsidRDefault="00436B41" w:rsidP="009A2E33">
            <w:pPr>
              <w:autoSpaceDE w:val="0"/>
              <w:autoSpaceDN w:val="0"/>
              <w:adjustRightInd w:val="0"/>
              <w:jc w:val="both"/>
            </w:pPr>
            <w:r w:rsidRPr="00A678D0">
              <w:t>- российские юридические лица;</w:t>
            </w:r>
          </w:p>
          <w:p w:rsidR="00436B41" w:rsidRPr="001A7777" w:rsidRDefault="00436B41" w:rsidP="009A2E33">
            <w:pPr>
              <w:autoSpaceDE w:val="0"/>
              <w:autoSpaceDN w:val="0"/>
              <w:adjustRightInd w:val="0"/>
              <w:jc w:val="both"/>
            </w:pPr>
            <w:r w:rsidRPr="00A678D0">
              <w:t>- иностранные юридические лица.</w:t>
            </w:r>
          </w:p>
          <w:p w:rsidR="00436B41" w:rsidRPr="001A7777" w:rsidRDefault="00436B41" w:rsidP="005B6641">
            <w:pPr>
              <w:spacing w:before="120"/>
              <w:ind w:firstLine="471"/>
              <w:jc w:val="both"/>
            </w:pPr>
            <w:r w:rsidRPr="001A7777">
              <w:t>Лица, обязанные по:</w:t>
            </w:r>
          </w:p>
          <w:p w:rsidR="00436B41" w:rsidRPr="001A7777" w:rsidRDefault="00436B41" w:rsidP="005B6641">
            <w:pPr>
              <w:ind w:firstLine="469"/>
              <w:jc w:val="both"/>
            </w:pPr>
            <w:r w:rsidRPr="001A7777">
              <w:t xml:space="preserve">- </w:t>
            </w:r>
            <w:r>
              <w:t xml:space="preserve">депозитным сертификатам российских кредитных организаций,  </w:t>
            </w:r>
            <w:r w:rsidRPr="001A7777">
              <w:t xml:space="preserve">государственным ценным бумагам Российской Федерации, </w:t>
            </w:r>
            <w:r w:rsidRPr="009D0E7A">
              <w:t xml:space="preserve">   </w:t>
            </w:r>
            <w:r w:rsidRPr="001A7777">
              <w:t xml:space="preserve">государственным ценным бумагам субъектов Российской Федерации, муниципальным ценным бумагам, </w:t>
            </w:r>
            <w:r>
              <w:t xml:space="preserve">биржевым облигациям российских эмитентов, </w:t>
            </w:r>
            <w:r w:rsidRPr="001A7777">
              <w:t xml:space="preserve">облигациям российских </w:t>
            </w:r>
            <w:r>
              <w:t>эмитентов</w:t>
            </w:r>
            <w:r w:rsidRPr="001A7777">
              <w:t xml:space="preserve">, акциям российских акционерных обществ, </w:t>
            </w:r>
            <w:r>
              <w:t xml:space="preserve">акциям акционерных инвестиционных фондов, </w:t>
            </w:r>
            <w:r w:rsidRPr="001A7777">
              <w:t xml:space="preserve">инвестиционным паям паевых инвестиционных фондов, </w:t>
            </w:r>
            <w:r>
              <w:t xml:space="preserve">ипотечным ценным бумагам, </w:t>
            </w:r>
            <w:r w:rsidRPr="001A7777">
              <w:t>российским депозитарным распискам, должны быть зарегистрированы в Российской Федерации;</w:t>
            </w:r>
          </w:p>
          <w:p w:rsidR="00436B41" w:rsidRPr="001A7777" w:rsidRDefault="00436B41" w:rsidP="005B6641">
            <w:pPr>
              <w:autoSpaceDE w:val="0"/>
              <w:autoSpaceDN w:val="0"/>
              <w:adjustRightInd w:val="0"/>
              <w:ind w:firstLine="469"/>
              <w:jc w:val="both"/>
            </w:pPr>
            <w:r w:rsidRPr="001A7777">
              <w:t xml:space="preserve">- акциям иностранных акционерных </w:t>
            </w:r>
            <w:r w:rsidRPr="009D0E7A">
              <w:t xml:space="preserve">  </w:t>
            </w:r>
            <w:r w:rsidRPr="001A7777">
              <w:t>обществ, облигациям иностранных эмитентов и международных финансовых организаций</w:t>
            </w:r>
            <w:r>
              <w:t xml:space="preserve"> (паям, акциям) иностранных инвестиционных фондов</w:t>
            </w:r>
            <w:r w:rsidRPr="001A7777">
              <w:t xml:space="preserve">, иностранным депозитарным распискам, должны быть зарегистрированы в </w:t>
            </w:r>
            <w:r w:rsidRPr="00CA6A8C">
              <w:t>Соединенных Штатах Америки, Соединенном Королевстве</w:t>
            </w:r>
            <w:r>
              <w:t xml:space="preserve"> </w:t>
            </w:r>
            <w:r w:rsidRPr="00CA6A8C">
              <w:t>Великобритании и Северной Ирландии, Федеративной Республике Германия, Республике</w:t>
            </w:r>
            <w:r>
              <w:t xml:space="preserve"> </w:t>
            </w:r>
            <w:r w:rsidRPr="00CA6A8C">
              <w:t>Кипр и (или) в государствах, являющихся членами Европейского Союза и (или) Группы</w:t>
            </w:r>
            <w:r>
              <w:t xml:space="preserve"> </w:t>
            </w:r>
            <w:r w:rsidRPr="00CA6A8C">
              <w:t>разработки финансовых мер борьбы с отмыванием денег (ФАТФ)</w:t>
            </w:r>
            <w:r>
              <w:t>;</w:t>
            </w:r>
          </w:p>
          <w:p w:rsidR="00436B41" w:rsidRPr="00D86855" w:rsidRDefault="00436B41" w:rsidP="005B6641">
            <w:pPr>
              <w:shd w:val="clear" w:color="auto" w:fill="FFFFFF"/>
              <w:ind w:firstLine="469"/>
              <w:jc w:val="both"/>
            </w:pPr>
            <w:r>
              <w:t>- депозитным сертификатам иностранных банков иностранных государств,</w:t>
            </w:r>
            <w:r w:rsidRPr="001A7777">
              <w:t xml:space="preserve"> </w:t>
            </w:r>
            <w:r>
              <w:t>государственным ценным бумагам иностранных государств,</w:t>
            </w:r>
            <w:r w:rsidRPr="001A7777">
              <w:t xml:space="preserve"> должны быть зарегистрированы в </w:t>
            </w:r>
            <w:r>
              <w:t xml:space="preserve">иностранных </w:t>
            </w:r>
            <w:r w:rsidRPr="001A7777">
              <w:t>государствах,</w:t>
            </w:r>
            <w:r>
              <w:t xml:space="preserve"> </w:t>
            </w:r>
            <w:r w:rsidRPr="00D86855">
              <w:t>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w:t>
            </w:r>
          </w:p>
          <w:p w:rsidR="00436B41" w:rsidRPr="00D86855" w:rsidRDefault="00436B41" w:rsidP="005B6641">
            <w:pPr>
              <w:shd w:val="clear" w:color="auto" w:fill="FFFFFF"/>
              <w:jc w:val="both"/>
            </w:pPr>
            <w:r w:rsidRPr="00D86855">
              <w:t>-</w:t>
            </w:r>
            <w:r>
              <w:t xml:space="preserve"> </w:t>
            </w:r>
            <w:r w:rsidRPr="00D86855">
              <w:t>Африканской Республики.</w:t>
            </w:r>
          </w:p>
          <w:p w:rsidR="00436B41" w:rsidRPr="00D86855" w:rsidRDefault="00436B41" w:rsidP="005B6641">
            <w:pPr>
              <w:shd w:val="clear" w:color="auto" w:fill="FFFFFF"/>
              <w:ind w:firstLine="469"/>
              <w:jc w:val="both"/>
            </w:pPr>
            <w:r>
              <w:t xml:space="preserve">22.4. </w:t>
            </w:r>
            <w:r w:rsidRPr="00D86855">
              <w:t>Производные финансовые инструменты (фьючерсные и опционные договоры</w:t>
            </w:r>
            <w:r>
              <w:t xml:space="preserve"> </w:t>
            </w:r>
            <w:r w:rsidRPr="00D86855">
              <w:t>(контракты)) могут входить в состав активов фонда при условии, что изменение их</w:t>
            </w:r>
            <w:r>
              <w:t xml:space="preserve"> </w:t>
            </w:r>
            <w:r w:rsidRPr="00D86855">
              <w:t>стоимости зависит от изменения стоимости активов, указанных в подпунктах 1.1) – 1.4)</w:t>
            </w:r>
            <w:r>
              <w:t xml:space="preserve"> </w:t>
            </w:r>
            <w:r w:rsidRPr="00D86855">
              <w:t>подпункта 1) пункта 2</w:t>
            </w:r>
            <w:r>
              <w:t>2</w:t>
            </w:r>
            <w:r w:rsidRPr="00D86855">
              <w:t>.1 настоящих Правил (в том числе изменения значения индекса,</w:t>
            </w:r>
            <w:r>
              <w:t xml:space="preserve"> </w:t>
            </w:r>
            <w:r w:rsidRPr="00D86855">
              <w:t>рассчитываемого исходя из стоимости данных активов), от величины процентных ставок,</w:t>
            </w:r>
            <w:r>
              <w:t xml:space="preserve"> </w:t>
            </w:r>
            <w:r w:rsidRPr="00D86855">
              <w:t>уровня инфляции, курсов валют».</w:t>
            </w:r>
          </w:p>
          <w:p w:rsidR="00436B41" w:rsidRPr="00D86855" w:rsidRDefault="00436B41" w:rsidP="005B6641">
            <w:pPr>
              <w:shd w:val="clear" w:color="auto" w:fill="FFFFFF"/>
              <w:spacing w:before="120"/>
              <w:ind w:firstLine="471"/>
              <w:jc w:val="both"/>
            </w:pPr>
            <w:r w:rsidRPr="00D86855">
              <w:t>Ценные бумаги, в которые инвестируется имущество, составляющее</w:t>
            </w:r>
            <w:r>
              <w:t xml:space="preserve"> </w:t>
            </w:r>
            <w:r w:rsidRPr="00D86855">
              <w:t>Фонд,</w:t>
            </w:r>
            <w:r>
              <w:t xml:space="preserve"> </w:t>
            </w:r>
            <w:r w:rsidRPr="00D86855">
              <w:t>могут быть, как  допущены,  так  и  не допущены  к  торгам</w:t>
            </w:r>
            <w:r>
              <w:t xml:space="preserve"> </w:t>
            </w:r>
            <w:r w:rsidRPr="00D86855">
              <w:t>организаторов</w:t>
            </w:r>
            <w:r>
              <w:t xml:space="preserve"> </w:t>
            </w:r>
            <w:r w:rsidRPr="00D86855">
              <w:t>торговли на рынке  ценных бумаг.</w:t>
            </w:r>
          </w:p>
          <w:p w:rsidR="00436B41" w:rsidRPr="00D86855" w:rsidRDefault="00436B41" w:rsidP="005B6641">
            <w:pPr>
              <w:shd w:val="clear" w:color="auto" w:fill="FFFFFF"/>
              <w:ind w:firstLine="469"/>
              <w:jc w:val="both"/>
            </w:pPr>
            <w:r w:rsidRPr="00D86855">
              <w:t>Ценные бумаги, составляющие</w:t>
            </w:r>
            <w:r>
              <w:t xml:space="preserve"> </w:t>
            </w:r>
            <w:r w:rsidRPr="00D86855">
              <w:t>Фонд,</w:t>
            </w:r>
            <w:r>
              <w:t xml:space="preserve"> </w:t>
            </w:r>
            <w:r w:rsidRPr="00D86855">
              <w:t>могут быть, как включены, так и не включены в котировальные списки фондовых бирж.</w:t>
            </w:r>
          </w:p>
          <w:p w:rsidR="00436B41" w:rsidRPr="00D86855" w:rsidRDefault="00436B41" w:rsidP="005B6641">
            <w:pPr>
              <w:shd w:val="clear" w:color="auto" w:fill="FFFFFF"/>
              <w:ind w:firstLine="469"/>
              <w:jc w:val="both"/>
            </w:pPr>
            <w:r w:rsidRPr="00D86855">
              <w:t>Государственные ценные бумаги субъектов Российской Федерации</w:t>
            </w:r>
            <w:r>
              <w:t xml:space="preserve"> </w:t>
            </w:r>
            <w:r w:rsidRPr="00D86855">
              <w:t>и муниципальные</w:t>
            </w:r>
            <w:r>
              <w:t xml:space="preserve"> </w:t>
            </w:r>
            <w:r w:rsidRPr="00D86855">
              <w:t>ценные бумаги могут входить в состав активов Фонда</w:t>
            </w:r>
            <w:r>
              <w:t xml:space="preserve"> </w:t>
            </w:r>
            <w:r w:rsidRPr="00D86855">
              <w:t>только, если они допущены к торгам организатора торговли на рынке ценных бумаг.</w:t>
            </w:r>
          </w:p>
          <w:p w:rsidR="00436B41" w:rsidRPr="00D86855" w:rsidRDefault="00436B41" w:rsidP="005B6641">
            <w:pPr>
              <w:shd w:val="clear" w:color="auto" w:fill="FFFFFF"/>
              <w:ind w:firstLine="469"/>
              <w:jc w:val="both"/>
            </w:pPr>
            <w:r w:rsidRPr="00D86855">
              <w:t xml:space="preserve">В состав активов Фонда могут входить как обыкновенные, так и привилегированные </w:t>
            </w:r>
          </w:p>
          <w:p w:rsidR="00436B41" w:rsidRPr="000F05FC" w:rsidRDefault="00436B41" w:rsidP="009A2E33">
            <w:pPr>
              <w:shd w:val="clear" w:color="auto" w:fill="FFFFFF"/>
              <w:jc w:val="both"/>
              <w:rPr>
                <w:b/>
              </w:rPr>
            </w:pPr>
            <w:r>
              <w:t>а</w:t>
            </w:r>
            <w:r w:rsidRPr="00D86855">
              <w:t>кции</w:t>
            </w:r>
            <w:r>
              <w:t>.</w:t>
            </w:r>
          </w:p>
        </w:tc>
        <w:tc>
          <w:tcPr>
            <w:tcW w:w="4961" w:type="dxa"/>
            <w:tcBorders>
              <w:top w:val="single" w:sz="4" w:space="0" w:color="auto"/>
              <w:left w:val="single" w:sz="4" w:space="0" w:color="auto"/>
              <w:bottom w:val="single" w:sz="4" w:space="0" w:color="auto"/>
              <w:right w:val="single" w:sz="4" w:space="0" w:color="auto"/>
            </w:tcBorders>
          </w:tcPr>
          <w:p w:rsidR="00436B41" w:rsidRDefault="00436B41" w:rsidP="00F03EEF">
            <w:pPr>
              <w:tabs>
                <w:tab w:val="left" w:pos="9072"/>
              </w:tabs>
              <w:spacing w:line="240" w:lineRule="atLeast"/>
              <w:ind w:firstLine="469"/>
              <w:jc w:val="both"/>
            </w:pPr>
            <w:r w:rsidRPr="000F05FC">
              <w:rPr>
                <w:b/>
              </w:rPr>
              <w:t xml:space="preserve">Пункт </w:t>
            </w:r>
            <w:r>
              <w:rPr>
                <w:b/>
              </w:rPr>
              <w:t>22</w:t>
            </w:r>
            <w:r w:rsidRPr="000F05FC">
              <w:rPr>
                <w:b/>
              </w:rPr>
              <w:t>.</w:t>
            </w:r>
            <w:r w:rsidRPr="00452973">
              <w:t> </w:t>
            </w:r>
          </w:p>
          <w:p w:rsidR="00436B41" w:rsidRPr="00F93E77" w:rsidRDefault="00436B41" w:rsidP="00F03EEF">
            <w:pPr>
              <w:spacing w:before="120"/>
              <w:ind w:firstLine="469"/>
              <w:jc w:val="both"/>
            </w:pPr>
            <w:r w:rsidRPr="001A7777">
              <w:t>Объекты инвестирования, их состав и описание.</w:t>
            </w:r>
          </w:p>
          <w:p w:rsidR="00436B41" w:rsidRPr="001A7777" w:rsidRDefault="00436B41" w:rsidP="00F03EEF">
            <w:pPr>
              <w:autoSpaceDE w:val="0"/>
              <w:autoSpaceDN w:val="0"/>
              <w:adjustRightInd w:val="0"/>
              <w:ind w:firstLine="469"/>
              <w:jc w:val="both"/>
            </w:pPr>
            <w:r w:rsidRPr="001A7777">
              <w:t xml:space="preserve">Имущество, составляющее фонд, может быть инвестировано в следующие </w:t>
            </w:r>
            <w:r>
              <w:t xml:space="preserve">   </w:t>
            </w:r>
            <w:r w:rsidRPr="001A7777">
              <w:t>активы:</w:t>
            </w:r>
          </w:p>
          <w:p w:rsidR="007A589E" w:rsidRPr="007A589E" w:rsidRDefault="007A589E" w:rsidP="00F03EEF">
            <w:pPr>
              <w:tabs>
                <w:tab w:val="left" w:pos="9072"/>
              </w:tabs>
              <w:spacing w:line="240" w:lineRule="atLeast"/>
              <w:ind w:firstLine="469"/>
              <w:jc w:val="both"/>
              <w:rPr>
                <w:b/>
              </w:rPr>
            </w:pPr>
            <w:bookmarkStart w:id="43" w:name="_Hlk523224961"/>
            <w:r w:rsidRPr="007A589E">
              <w:rPr>
                <w:b/>
              </w:rPr>
              <w:t xml:space="preserve">1) обыкновенные и (или)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p>
          <w:p w:rsidR="007A589E" w:rsidRPr="007A589E" w:rsidRDefault="007A589E" w:rsidP="00F03EEF">
            <w:pPr>
              <w:tabs>
                <w:tab w:val="left" w:pos="9072"/>
              </w:tabs>
              <w:spacing w:line="240" w:lineRule="atLeast"/>
              <w:ind w:firstLine="469"/>
              <w:jc w:val="both"/>
              <w:rPr>
                <w:b/>
              </w:rPr>
            </w:pPr>
            <w:r w:rsidRPr="007A589E">
              <w:rPr>
                <w:b/>
              </w:rPr>
              <w:t xml:space="preserve">2) облигации российских юридических лиц, биржевые облигации российских юридических лиц, государственные ценные бумаги субъектов Российской Федерации, муниципальные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p>
          <w:p w:rsidR="007A589E" w:rsidRPr="007A589E" w:rsidRDefault="007A589E" w:rsidP="00F03EEF">
            <w:pPr>
              <w:tabs>
                <w:tab w:val="left" w:pos="9072"/>
              </w:tabs>
              <w:spacing w:line="240" w:lineRule="atLeast"/>
              <w:ind w:firstLine="469"/>
              <w:jc w:val="both"/>
              <w:rPr>
                <w:b/>
              </w:rPr>
            </w:pPr>
            <w:r w:rsidRPr="007A589E">
              <w:rPr>
                <w:b/>
              </w:rPr>
              <w:t xml:space="preserve">3) денежные средства в рублях на счетах и во вкладах (депозитах) в российских кредитных организациях, государственные ценные бумаги Российской Федерации (далее – инструменты денежного рынка); </w:t>
            </w:r>
          </w:p>
          <w:p w:rsidR="007A589E" w:rsidRPr="007A589E" w:rsidRDefault="007A589E" w:rsidP="00F03EEF">
            <w:pPr>
              <w:tabs>
                <w:tab w:val="left" w:pos="9072"/>
              </w:tabs>
              <w:spacing w:line="240" w:lineRule="atLeast"/>
              <w:ind w:firstLine="469"/>
              <w:jc w:val="both"/>
              <w:rPr>
                <w:b/>
              </w:rPr>
            </w:pPr>
            <w:r w:rsidRPr="007A589E">
              <w:rPr>
                <w:b/>
              </w:rPr>
              <w:t xml:space="preserve">4) права требования из договоров, заключенных для целей доверительного управления в отношении указанных активов; </w:t>
            </w:r>
          </w:p>
          <w:p w:rsidR="007A589E" w:rsidRPr="007A589E" w:rsidRDefault="007A589E" w:rsidP="00F03EEF">
            <w:pPr>
              <w:tabs>
                <w:tab w:val="left" w:pos="9072"/>
              </w:tabs>
              <w:spacing w:line="240" w:lineRule="atLeast"/>
              <w:ind w:firstLine="469"/>
              <w:jc w:val="both"/>
              <w:rPr>
                <w:b/>
              </w:rPr>
            </w:pPr>
            <w:r w:rsidRPr="007A589E">
              <w:rPr>
                <w:b/>
              </w:rPr>
              <w:t xml:space="preserve">5)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7A589E" w:rsidRPr="007A589E" w:rsidRDefault="007A589E" w:rsidP="00F03EEF">
            <w:pPr>
              <w:tabs>
                <w:tab w:val="left" w:pos="9072"/>
              </w:tabs>
              <w:spacing w:line="240" w:lineRule="atLeast"/>
              <w:ind w:firstLine="469"/>
              <w:jc w:val="both"/>
              <w:rPr>
                <w:b/>
              </w:rPr>
            </w:pPr>
            <w:r w:rsidRPr="007A589E">
              <w:rPr>
                <w:b/>
              </w:rPr>
              <w:t xml:space="preserve">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 </w:t>
            </w:r>
          </w:p>
          <w:p w:rsidR="007A589E" w:rsidRPr="007A589E" w:rsidRDefault="007A589E" w:rsidP="00F03EEF">
            <w:pPr>
              <w:tabs>
                <w:tab w:val="left" w:pos="9072"/>
              </w:tabs>
              <w:spacing w:line="240" w:lineRule="atLeast"/>
              <w:ind w:firstLine="469"/>
              <w:jc w:val="both"/>
              <w:rPr>
                <w:b/>
              </w:rPr>
            </w:pPr>
            <w:r w:rsidRPr="007A589E">
              <w:rPr>
                <w:b/>
              </w:rPr>
              <w:t>Лица, обязанные по акциям российских акционерных обществ, облигациям российских юридических лиц, биржевым облигациям российских юридических лиц, государственным ценным бумагам Российской Федерации, государственным ценным бумагам субъектов Российской Федерации, муниципальным ценным бумагам должны быть зарегистрированы в Российской Федерации.</w:t>
            </w:r>
          </w:p>
          <w:p w:rsidR="007A589E" w:rsidRDefault="007A589E" w:rsidP="00F03EEF">
            <w:pPr>
              <w:tabs>
                <w:tab w:val="left" w:pos="9072"/>
              </w:tabs>
              <w:spacing w:line="240" w:lineRule="atLeast"/>
              <w:ind w:firstLine="469"/>
              <w:jc w:val="both"/>
              <w:rPr>
                <w:b/>
              </w:rPr>
            </w:pPr>
            <w:r w:rsidRPr="007A589E">
              <w:rPr>
                <w:b/>
              </w:rPr>
              <w:t xml:space="preserve">Имущество, составляющее Фонд, может быть инвестировано в облигации, эмитентами которых могут быть: </w:t>
            </w:r>
          </w:p>
          <w:p w:rsidR="007A589E" w:rsidRDefault="007A589E" w:rsidP="00F03EEF">
            <w:pPr>
              <w:tabs>
                <w:tab w:val="left" w:pos="9072"/>
              </w:tabs>
              <w:spacing w:line="240" w:lineRule="atLeast"/>
              <w:ind w:firstLine="469"/>
              <w:jc w:val="both"/>
              <w:rPr>
                <w:b/>
              </w:rPr>
            </w:pPr>
            <w:r w:rsidRPr="007A589E">
              <w:rPr>
                <w:b/>
              </w:rPr>
              <w:t xml:space="preserve">- российские органы государственной власти; </w:t>
            </w:r>
          </w:p>
          <w:p w:rsidR="007A589E" w:rsidRDefault="007A589E" w:rsidP="00F03EEF">
            <w:pPr>
              <w:tabs>
                <w:tab w:val="left" w:pos="9072"/>
              </w:tabs>
              <w:spacing w:line="240" w:lineRule="atLeast"/>
              <w:ind w:firstLine="469"/>
              <w:jc w:val="both"/>
              <w:rPr>
                <w:b/>
              </w:rPr>
            </w:pPr>
            <w:r w:rsidRPr="007A589E">
              <w:rPr>
                <w:b/>
              </w:rPr>
              <w:t xml:space="preserve">- органы местного самоуправления; </w:t>
            </w:r>
          </w:p>
          <w:p w:rsidR="00436B41" w:rsidRPr="000F05FC" w:rsidRDefault="007A589E" w:rsidP="00F03EEF">
            <w:pPr>
              <w:tabs>
                <w:tab w:val="left" w:pos="9072"/>
              </w:tabs>
              <w:spacing w:line="240" w:lineRule="atLeast"/>
              <w:ind w:firstLine="469"/>
              <w:jc w:val="both"/>
              <w:rPr>
                <w:b/>
              </w:rPr>
            </w:pPr>
            <w:r w:rsidRPr="007A589E">
              <w:rPr>
                <w:b/>
              </w:rPr>
              <w:t>- российские юридические лица.</w:t>
            </w:r>
            <w:r>
              <w:t xml:space="preserve"> </w:t>
            </w:r>
            <w:bookmarkEnd w:id="43"/>
          </w:p>
        </w:tc>
      </w:tr>
      <w:tr w:rsidR="007A589E" w:rsidTr="0015192C">
        <w:tc>
          <w:tcPr>
            <w:tcW w:w="4918" w:type="dxa"/>
            <w:tcBorders>
              <w:top w:val="single" w:sz="4" w:space="0" w:color="auto"/>
              <w:left w:val="single" w:sz="4" w:space="0" w:color="auto"/>
              <w:bottom w:val="single" w:sz="4" w:space="0" w:color="auto"/>
              <w:right w:val="single" w:sz="4" w:space="0" w:color="auto"/>
            </w:tcBorders>
          </w:tcPr>
          <w:p w:rsidR="007A589E" w:rsidRDefault="007A589E" w:rsidP="007A589E">
            <w:pPr>
              <w:tabs>
                <w:tab w:val="left" w:pos="9072"/>
              </w:tabs>
              <w:spacing w:line="240" w:lineRule="atLeast"/>
              <w:ind w:firstLine="469"/>
              <w:jc w:val="both"/>
            </w:pPr>
            <w:r w:rsidRPr="000F05FC">
              <w:rPr>
                <w:b/>
              </w:rPr>
              <w:t xml:space="preserve">Пункт </w:t>
            </w:r>
            <w:r>
              <w:rPr>
                <w:b/>
              </w:rPr>
              <w:t>23</w:t>
            </w:r>
            <w:r w:rsidRPr="000F05FC">
              <w:rPr>
                <w:b/>
              </w:rPr>
              <w:t>.</w:t>
            </w:r>
            <w:r w:rsidRPr="00452973">
              <w:t> </w:t>
            </w:r>
          </w:p>
          <w:p w:rsidR="000F28FA" w:rsidRPr="00FD32AB" w:rsidRDefault="000F28FA" w:rsidP="000F28FA">
            <w:pPr>
              <w:spacing w:before="120"/>
              <w:ind w:firstLine="426"/>
              <w:jc w:val="both"/>
            </w:pPr>
            <w:r w:rsidRPr="00FD32AB">
              <w:t>Структура активов Фонда должна</w:t>
            </w:r>
            <w:r>
              <w:t xml:space="preserve"> </w:t>
            </w:r>
            <w:r w:rsidRPr="00FD32AB">
              <w:t>одновременно соответствовать следующим</w:t>
            </w:r>
            <w:r>
              <w:t xml:space="preserve"> </w:t>
            </w:r>
            <w:r w:rsidRPr="00FD32AB">
              <w:t>требованиям:</w:t>
            </w:r>
          </w:p>
          <w:p w:rsidR="000F28FA" w:rsidRPr="00FD32AB" w:rsidRDefault="000F28FA" w:rsidP="000F28FA">
            <w:pPr>
              <w:ind w:firstLine="426"/>
              <w:jc w:val="both"/>
            </w:pPr>
            <w:r w:rsidRPr="00FD32AB">
              <w:t>1) оценочная стоимость ценных бумаг</w:t>
            </w:r>
            <w:r>
              <w:t xml:space="preserve"> </w:t>
            </w:r>
            <w:r w:rsidRPr="00FD32AB">
              <w:t>одного юридического лица, денежные</w:t>
            </w:r>
            <w:r>
              <w:t xml:space="preserve"> </w:t>
            </w:r>
            <w:r w:rsidRPr="00FD32AB">
              <w:t>средства в рублях и в иностранной валюте на</w:t>
            </w:r>
            <w:r>
              <w:t xml:space="preserve"> </w:t>
            </w:r>
            <w:r w:rsidRPr="00FD32AB">
              <w:t>счетах и во вкладах (депозитах) в таком</w:t>
            </w:r>
            <w:r>
              <w:t xml:space="preserve"> </w:t>
            </w:r>
            <w:r w:rsidRPr="00FD32AB">
              <w:t>юридическом лице (если соответствующее</w:t>
            </w:r>
            <w:r>
              <w:t xml:space="preserve"> </w:t>
            </w:r>
            <w:r w:rsidRPr="00FD32AB">
              <w:t>юридическое лицо является кредитной</w:t>
            </w:r>
            <w:r>
              <w:t xml:space="preserve"> </w:t>
            </w:r>
            <w:r w:rsidRPr="00FD32AB">
              <w:t>организацией или иностранным банком</w:t>
            </w:r>
            <w:r>
              <w:t xml:space="preserve"> </w:t>
            </w:r>
            <w:r w:rsidRPr="00FD32AB">
              <w:t>иностранного государства), требования к</w:t>
            </w:r>
            <w:r>
              <w:t xml:space="preserve"> </w:t>
            </w:r>
            <w:r w:rsidRPr="00FD32AB">
              <w:t>этому юридическому лицу выплатить</w:t>
            </w:r>
            <w:r>
              <w:t xml:space="preserve"> </w:t>
            </w:r>
            <w:r w:rsidRPr="00FD32AB">
              <w:t>денежный эквивалент драгоценных металлов</w:t>
            </w:r>
            <w:r>
              <w:t xml:space="preserve"> </w:t>
            </w:r>
            <w:r w:rsidRPr="00FD32AB">
              <w:t>по текущему курсу (если соответствующее</w:t>
            </w:r>
            <w:r>
              <w:t xml:space="preserve"> </w:t>
            </w:r>
            <w:r w:rsidRPr="00FD32AB">
              <w:t>юридическое лицо является кредитной</w:t>
            </w:r>
            <w:r>
              <w:t xml:space="preserve"> </w:t>
            </w:r>
            <w:r w:rsidRPr="00FD32AB">
              <w:t>организацией), права требования к такому</w:t>
            </w:r>
            <w:r>
              <w:t xml:space="preserve"> </w:t>
            </w:r>
            <w:r w:rsidRPr="00FD32AB">
              <w:t>юридическому лицу, возникающие в</w:t>
            </w:r>
            <w:r>
              <w:t xml:space="preserve"> </w:t>
            </w:r>
            <w:r w:rsidRPr="00FD32AB">
              <w:t>результате приобретения (отчуждения) ценных</w:t>
            </w:r>
            <w:r>
              <w:t xml:space="preserve"> </w:t>
            </w:r>
            <w:r w:rsidRPr="00FD32AB">
              <w:t>бумаг, а также возникающие на основании</w:t>
            </w:r>
            <w:r>
              <w:t xml:space="preserve"> </w:t>
            </w:r>
            <w:r w:rsidRPr="00FD32AB">
              <w:t>договора на брокерское обслуживание с таким</w:t>
            </w:r>
            <w:r>
              <w:t xml:space="preserve"> </w:t>
            </w:r>
            <w:r w:rsidRPr="00FD32AB">
              <w:t>юридическим лицом, в совокупности не</w:t>
            </w:r>
            <w:r>
              <w:t xml:space="preserve"> </w:t>
            </w:r>
            <w:r w:rsidRPr="00FD32AB">
              <w:t>должны превышать 15 процентов стоимости</w:t>
            </w:r>
            <w:r>
              <w:t xml:space="preserve"> </w:t>
            </w:r>
            <w:r w:rsidRPr="00FD32AB">
              <w:t>активов Фонда. Требования настоящего абзаца</w:t>
            </w:r>
            <w:r>
              <w:t xml:space="preserve"> </w:t>
            </w:r>
            <w:r w:rsidRPr="00FD32AB">
              <w:t>не распространяются на государственные</w:t>
            </w:r>
            <w:r>
              <w:t xml:space="preserve"> </w:t>
            </w:r>
            <w:r w:rsidRPr="00FD32AB">
              <w:t>ценные бумаги Российской Федерации и на</w:t>
            </w:r>
            <w:r>
              <w:t xml:space="preserve"> </w:t>
            </w:r>
            <w:r w:rsidRPr="00FD32AB">
              <w:t>права требования к центральному контрагенту.</w:t>
            </w:r>
          </w:p>
          <w:p w:rsidR="000F28FA" w:rsidRPr="00FD32AB" w:rsidRDefault="000F28FA" w:rsidP="000F28FA">
            <w:pPr>
              <w:ind w:firstLine="426"/>
              <w:jc w:val="both"/>
            </w:pPr>
            <w:r w:rsidRPr="00FD32AB">
              <w:t>Оценочная стоимость ценных бумаг</w:t>
            </w:r>
            <w:r>
              <w:t xml:space="preserve"> </w:t>
            </w:r>
            <w:r w:rsidRPr="00FD32AB">
              <w:t>одного субъекта Российской Федерации</w:t>
            </w:r>
            <w:r>
              <w:t xml:space="preserve"> </w:t>
            </w:r>
            <w:r w:rsidRPr="00FD32AB">
              <w:t>(административно-территориального</w:t>
            </w:r>
            <w:r>
              <w:t xml:space="preserve"> </w:t>
            </w:r>
            <w:r w:rsidRPr="00FD32AB">
              <w:t>образования иностранного государства),</w:t>
            </w:r>
            <w:r>
              <w:t xml:space="preserve"> </w:t>
            </w:r>
            <w:r w:rsidRPr="00FD32AB">
              <w:t>муниципального образования,</w:t>
            </w:r>
            <w:r>
              <w:t xml:space="preserve"> </w:t>
            </w:r>
            <w:r w:rsidRPr="00FD32AB">
              <w:t>государственных ценных бумаг одного</w:t>
            </w:r>
            <w:r>
              <w:t xml:space="preserve"> </w:t>
            </w:r>
            <w:r w:rsidRPr="00FD32AB">
              <w:t>иностранного государства не должна</w:t>
            </w:r>
            <w:r>
              <w:t xml:space="preserve"> </w:t>
            </w:r>
            <w:r w:rsidRPr="00FD32AB">
              <w:t>превышать 15 процентов стоимости активов</w:t>
            </w:r>
            <w:r>
              <w:t xml:space="preserve"> </w:t>
            </w:r>
            <w:r w:rsidRPr="00FD32AB">
              <w:t>Фонда.</w:t>
            </w:r>
          </w:p>
          <w:p w:rsidR="000F28FA" w:rsidRPr="00FD32AB" w:rsidRDefault="000F28FA" w:rsidP="000F28FA">
            <w:pPr>
              <w:ind w:firstLine="426"/>
              <w:jc w:val="both"/>
            </w:pPr>
            <w:r w:rsidRPr="00FD32AB">
              <w:t>Для целей настоящего подпункта</w:t>
            </w:r>
            <w:r>
              <w:t xml:space="preserve"> </w:t>
            </w:r>
            <w:r w:rsidRPr="00FD32AB">
              <w:t>российские и иностранные депозитарные</w:t>
            </w:r>
            <w:r>
              <w:t xml:space="preserve"> </w:t>
            </w:r>
            <w:r w:rsidRPr="00FD32AB">
              <w:t>расписки рассматриваются как ценные бумаги,</w:t>
            </w:r>
            <w:r>
              <w:t xml:space="preserve"> </w:t>
            </w:r>
            <w:r w:rsidRPr="00FD32AB">
              <w:t>права собственности на которые удостоверяют</w:t>
            </w:r>
            <w:r>
              <w:t xml:space="preserve"> </w:t>
            </w:r>
            <w:r w:rsidRPr="00FD32AB">
              <w:t>соответствующие депозитарные расписки.</w:t>
            </w:r>
          </w:p>
          <w:p w:rsidR="000F28FA" w:rsidRPr="00FD32AB" w:rsidRDefault="000F28FA" w:rsidP="000F28FA">
            <w:pPr>
              <w:ind w:firstLine="426"/>
              <w:jc w:val="both"/>
            </w:pPr>
            <w:r w:rsidRPr="00FD32AB">
              <w:t>Для целей настоящего подпункта ценные</w:t>
            </w:r>
            <w:r>
              <w:t xml:space="preserve"> </w:t>
            </w:r>
            <w:r w:rsidRPr="00FD32AB">
              <w:t>бумаги инвестиционных фондов, в том числе иностранных инвестиционных фондов, и</w:t>
            </w:r>
            <w:r>
              <w:t xml:space="preserve"> </w:t>
            </w:r>
            <w:r w:rsidRPr="00FD32AB">
              <w:t>ипотечные сертификаты участия,</w:t>
            </w:r>
            <w:r>
              <w:t xml:space="preserve"> </w:t>
            </w:r>
            <w:r w:rsidRPr="00FD32AB">
              <w:t>рассматриваются как совокупность активов, в</w:t>
            </w:r>
            <w:r>
              <w:t xml:space="preserve"> </w:t>
            </w:r>
            <w:r w:rsidRPr="00FD32AB">
              <w:t>которые инвестировано имущество</w:t>
            </w:r>
            <w:r>
              <w:t xml:space="preserve"> </w:t>
            </w:r>
            <w:r w:rsidRPr="00FD32AB">
              <w:t>соответствующего фонда (ипотечного</w:t>
            </w:r>
            <w:r>
              <w:t xml:space="preserve"> </w:t>
            </w:r>
            <w:r w:rsidRPr="00FD32AB">
              <w:t>покрытия). Если лицо, обязанное по ценным</w:t>
            </w:r>
            <w:r>
              <w:t xml:space="preserve"> </w:t>
            </w:r>
            <w:r w:rsidRPr="00FD32AB">
              <w:t>бумагам инвестиционного фонда, не</w:t>
            </w:r>
            <w:r>
              <w:t xml:space="preserve"> </w:t>
            </w:r>
            <w:r w:rsidRPr="00FD32AB">
              <w:t>предоставляет и (или) не раскрывает</w:t>
            </w:r>
            <w:r>
              <w:t xml:space="preserve"> </w:t>
            </w:r>
            <w:r w:rsidRPr="00FD32AB">
              <w:t>информацию об активах, в которые</w:t>
            </w:r>
            <w:r>
              <w:t xml:space="preserve"> </w:t>
            </w:r>
            <w:r w:rsidRPr="00FD32AB">
              <w:t>инвестировано имущество инвестиционного</w:t>
            </w:r>
            <w:r>
              <w:t xml:space="preserve"> </w:t>
            </w:r>
            <w:r w:rsidRPr="00FD32AB">
              <w:t>фонда, такие ценные бумаги могут</w:t>
            </w:r>
            <w:r>
              <w:t xml:space="preserve"> </w:t>
            </w:r>
            <w:r w:rsidRPr="00FD32AB">
              <w:t>приобретаться в состав активов Фонда (без</w:t>
            </w:r>
            <w:r>
              <w:t xml:space="preserve"> </w:t>
            </w:r>
            <w:r w:rsidRPr="00FD32AB">
              <w:t>учета требования, установленного абзацем</w:t>
            </w:r>
            <w:r>
              <w:t xml:space="preserve"> </w:t>
            </w:r>
            <w:r w:rsidRPr="00FD32AB">
              <w:t>первым подпункта один настоящего пункта),</w:t>
            </w:r>
            <w:r>
              <w:t xml:space="preserve"> </w:t>
            </w:r>
            <w:r w:rsidRPr="00FD32AB">
              <w:t>если в соответствии с личным законом лица,</w:t>
            </w:r>
            <w:r>
              <w:t xml:space="preserve"> </w:t>
            </w:r>
            <w:r w:rsidRPr="00FD32AB">
              <w:t>обязанного по ценным бумагам</w:t>
            </w:r>
            <w:r>
              <w:t xml:space="preserve"> </w:t>
            </w:r>
            <w:r w:rsidRPr="00FD32AB">
              <w:t>инвестиционного фонда, такие ценные бумаги</w:t>
            </w:r>
            <w:r>
              <w:t xml:space="preserve"> </w:t>
            </w:r>
            <w:r w:rsidRPr="00FD32AB">
              <w:t>могут приобретаться неквалифицированными</w:t>
            </w:r>
            <w:r>
              <w:t xml:space="preserve"> </w:t>
            </w:r>
            <w:r w:rsidRPr="00FD32AB">
              <w:t>(розничными) инвесторами (неограниченным</w:t>
            </w:r>
            <w:r>
              <w:t xml:space="preserve"> </w:t>
            </w:r>
            <w:r w:rsidRPr="00FD32AB">
              <w:t>кругом лиц) и исходя из требований,</w:t>
            </w:r>
            <w:r>
              <w:t xml:space="preserve"> </w:t>
            </w:r>
            <w:r w:rsidRPr="00FD32AB">
              <w:t>предъявляемых к деятельности</w:t>
            </w:r>
            <w:r>
              <w:t xml:space="preserve"> </w:t>
            </w:r>
            <w:r w:rsidRPr="00FD32AB">
              <w:t>инвестиционного фонда, или документов,</w:t>
            </w:r>
            <w:r>
              <w:t xml:space="preserve"> </w:t>
            </w:r>
            <w:r w:rsidRPr="00FD32AB">
              <w:t>регулирующих инвестиционную деятельность</w:t>
            </w:r>
            <w:r>
              <w:t xml:space="preserve"> </w:t>
            </w:r>
            <w:r w:rsidRPr="00FD32AB">
              <w:t>инвестиционного фонда (в том числе</w:t>
            </w:r>
            <w:r>
              <w:t xml:space="preserve"> </w:t>
            </w:r>
            <w:r w:rsidRPr="00FD32AB">
              <w:t>инвестиционной декларации, проспекта</w:t>
            </w:r>
            <w:r>
              <w:t xml:space="preserve"> </w:t>
            </w:r>
            <w:r w:rsidRPr="00FD32AB">
              <w:t>эмиссии, правил доверительного управления),</w:t>
            </w:r>
            <w:r>
              <w:t xml:space="preserve"> </w:t>
            </w:r>
            <w:r w:rsidRPr="00FD32AB">
              <w:t>доля ценных бумаг одного юридического лица</w:t>
            </w:r>
            <w:r>
              <w:t xml:space="preserve"> </w:t>
            </w:r>
            <w:r w:rsidRPr="00FD32AB">
              <w:t>не должна превышать 10 процентов стоимости</w:t>
            </w:r>
            <w:r>
              <w:t xml:space="preserve"> </w:t>
            </w:r>
            <w:r w:rsidRPr="00FD32AB">
              <w:t>активов инвестиционного Фонда.</w:t>
            </w:r>
          </w:p>
          <w:p w:rsidR="000F28FA" w:rsidRPr="00FD32AB" w:rsidRDefault="000F28FA" w:rsidP="000F28FA">
            <w:pPr>
              <w:ind w:firstLine="426"/>
              <w:jc w:val="both"/>
            </w:pPr>
            <w:r w:rsidRPr="00FD32AB">
              <w:t>Для целей расчета ограничения,</w:t>
            </w:r>
            <w:r>
              <w:t xml:space="preserve"> </w:t>
            </w:r>
            <w:r w:rsidRPr="00FD32AB">
              <w:t>указанного в абзаце первом подпункта один</w:t>
            </w:r>
            <w:r>
              <w:t xml:space="preserve"> </w:t>
            </w:r>
            <w:r w:rsidRPr="00FD32AB">
              <w:t>настоящего пункта, в сумме денежных средств</w:t>
            </w:r>
            <w:r>
              <w:t xml:space="preserve"> </w:t>
            </w:r>
            <w:r w:rsidRPr="00FD32AB">
              <w:t>в рублях и в иностранной валюте на счетах в</w:t>
            </w:r>
            <w:r>
              <w:t xml:space="preserve"> </w:t>
            </w:r>
            <w:r w:rsidRPr="00FD32AB">
              <w:t>одном юридическом лице, составляющей</w:t>
            </w:r>
            <w:r>
              <w:t xml:space="preserve"> </w:t>
            </w:r>
            <w:r w:rsidRPr="00FD32AB">
              <w:t>Фонд, не учитывается сумма (или ее часть)</w:t>
            </w:r>
            <w:r>
              <w:t xml:space="preserve"> </w:t>
            </w:r>
            <w:r w:rsidRPr="00FD32AB">
              <w:t>денежных средств, подлежащих выплате в</w:t>
            </w:r>
            <w:r>
              <w:t xml:space="preserve"> </w:t>
            </w:r>
            <w:r w:rsidRPr="00FD32AB">
              <w:t>связи с погашением и обменом</w:t>
            </w:r>
            <w:r>
              <w:t xml:space="preserve"> </w:t>
            </w:r>
            <w:r w:rsidRPr="00FD32AB">
              <w:t>инвестиционных паев Фонда на момент</w:t>
            </w:r>
            <w:r>
              <w:t xml:space="preserve"> </w:t>
            </w:r>
            <w:r w:rsidRPr="00FD32AB">
              <w:t>расчета ограничения. При этом общая сумма</w:t>
            </w:r>
            <w:r>
              <w:t xml:space="preserve"> </w:t>
            </w:r>
            <w:r w:rsidRPr="00FD32AB">
              <w:t>денежных средств, которая не учитывается</w:t>
            </w:r>
            <w:r>
              <w:t xml:space="preserve"> </w:t>
            </w:r>
            <w:r w:rsidRPr="00FD32AB">
              <w:t>при расчете указанного ограничения, в</w:t>
            </w:r>
            <w:r>
              <w:t xml:space="preserve"> </w:t>
            </w:r>
            <w:r w:rsidRPr="00FD32AB">
              <w:t>отношении всех денежных средств в рублях и</w:t>
            </w:r>
            <w:r>
              <w:t xml:space="preserve"> </w:t>
            </w:r>
            <w:r w:rsidRPr="00FD32AB">
              <w:t>в иностранной валюте на всех счетах,</w:t>
            </w:r>
            <w:r>
              <w:t xml:space="preserve"> </w:t>
            </w:r>
            <w:r w:rsidRPr="00FD32AB">
              <w:t>составляющих Фонд, не может превышать</w:t>
            </w:r>
            <w:r>
              <w:t xml:space="preserve"> </w:t>
            </w:r>
            <w:r w:rsidRPr="00FD32AB">
              <w:t>общую сумму денежных средств, подлежащих</w:t>
            </w:r>
            <w:r>
              <w:t xml:space="preserve"> </w:t>
            </w:r>
            <w:r w:rsidRPr="00FD32AB">
              <w:t>выплате в связи с погашением и обменом</w:t>
            </w:r>
            <w:r>
              <w:t xml:space="preserve"> </w:t>
            </w:r>
            <w:r w:rsidRPr="00FD32AB">
              <w:t>инвестиционных паев Фонда на момент</w:t>
            </w:r>
            <w:r>
              <w:t xml:space="preserve"> </w:t>
            </w:r>
            <w:r w:rsidRPr="00FD32AB">
              <w:t>расчета ограничения.</w:t>
            </w:r>
          </w:p>
          <w:p w:rsidR="000F28FA" w:rsidRPr="00FD32AB" w:rsidRDefault="000F28FA" w:rsidP="000F28FA">
            <w:pPr>
              <w:ind w:firstLine="426"/>
              <w:jc w:val="both"/>
            </w:pPr>
            <w:r w:rsidRPr="00FD32AB">
              <w:t>2) Для целей настоящего пункта</w:t>
            </w:r>
            <w:r>
              <w:t xml:space="preserve"> </w:t>
            </w:r>
            <w:r w:rsidRPr="00FD32AB">
              <w:t>производные финансовые инструменты</w:t>
            </w:r>
            <w:r>
              <w:t xml:space="preserve"> </w:t>
            </w:r>
            <w:r w:rsidRPr="00FD32AB">
              <w:t>учитываются в объеме приобретаемых</w:t>
            </w:r>
            <w:r>
              <w:t xml:space="preserve"> </w:t>
            </w:r>
            <w:r w:rsidRPr="00FD32AB">
              <w:t>(отчуждаемых) базовых (базисных) активов</w:t>
            </w:r>
            <w:r>
              <w:t xml:space="preserve"> </w:t>
            </w:r>
            <w:r w:rsidRPr="00FD32AB">
              <w:t>таких производных финансовых инструментов</w:t>
            </w:r>
            <w:r>
              <w:t xml:space="preserve"> </w:t>
            </w:r>
            <w:r w:rsidRPr="00FD32AB">
              <w:t>(если базовым (базисным) активом является</w:t>
            </w:r>
            <w:r>
              <w:t xml:space="preserve"> </w:t>
            </w:r>
            <w:r w:rsidRPr="00FD32AB">
              <w:t>другой производный финансовый инструмент</w:t>
            </w:r>
            <w:r>
              <w:t xml:space="preserve"> </w:t>
            </w:r>
            <w:r w:rsidRPr="00FD32AB">
              <w:t>(индекс) - как базовые (базисные) активы</w:t>
            </w:r>
            <w:r>
              <w:t xml:space="preserve"> </w:t>
            </w:r>
            <w:r w:rsidRPr="00FD32AB">
              <w:t>таких производных финансовых инструментов</w:t>
            </w:r>
            <w:r>
              <w:t xml:space="preserve"> </w:t>
            </w:r>
            <w:r w:rsidRPr="00FD32AB">
              <w:t>(активы, входящие в список для расчета такого</w:t>
            </w:r>
            <w:r>
              <w:t xml:space="preserve"> </w:t>
            </w:r>
            <w:r w:rsidRPr="00FD32AB">
              <w:t>индекса).</w:t>
            </w:r>
          </w:p>
          <w:p w:rsidR="000F28FA" w:rsidRPr="00FD32AB" w:rsidRDefault="000F28FA" w:rsidP="000F28FA">
            <w:pPr>
              <w:ind w:firstLine="426"/>
              <w:jc w:val="both"/>
            </w:pPr>
            <w:r w:rsidRPr="00FD32AB">
              <w:t>Стоимость лотов производных</w:t>
            </w:r>
            <w:r>
              <w:t xml:space="preserve"> </w:t>
            </w:r>
            <w:r w:rsidRPr="00FD32AB">
              <w:t>финансовых инструментов (если базовым (базисным) активом производного</w:t>
            </w:r>
            <w:r>
              <w:t xml:space="preserve"> </w:t>
            </w:r>
            <w:r w:rsidRPr="00FD32AB">
              <w:t>финансового инструмента является другой</w:t>
            </w:r>
            <w:r>
              <w:t xml:space="preserve"> </w:t>
            </w:r>
            <w:r w:rsidRPr="00FD32AB">
              <w:t>производный финансовый инструмент -</w:t>
            </w:r>
            <w:r>
              <w:t xml:space="preserve"> </w:t>
            </w:r>
            <w:r w:rsidRPr="00FD32AB">
              <w:t>стоимость лотов таких производных</w:t>
            </w:r>
            <w:r>
              <w:t xml:space="preserve"> </w:t>
            </w:r>
            <w:r w:rsidRPr="00FD32AB">
              <w:t>финансовых инструментов), стоимость ценных</w:t>
            </w:r>
            <w:r>
              <w:t xml:space="preserve"> </w:t>
            </w:r>
            <w:r w:rsidRPr="00FD32AB">
              <w:t>бумаг (сумма денежных средств), полученных</w:t>
            </w:r>
            <w:r>
              <w:t xml:space="preserve"> </w:t>
            </w:r>
            <w:r w:rsidRPr="00FD32AB">
              <w:t>Управляющей компанией Фонда по первой</w:t>
            </w:r>
            <w:r>
              <w:t xml:space="preserve"> </w:t>
            </w:r>
            <w:r w:rsidRPr="00FD32AB">
              <w:t>части договора репо,</w:t>
            </w:r>
            <w:r>
              <w:t xml:space="preserve"> </w:t>
            </w:r>
            <w:r w:rsidRPr="00FD32AB">
              <w:t>размер принятых</w:t>
            </w:r>
            <w:r>
              <w:t xml:space="preserve"> </w:t>
            </w:r>
            <w:r w:rsidRPr="00FD32AB">
              <w:t>обязательств по поставке активов по иным</w:t>
            </w:r>
            <w:r>
              <w:t xml:space="preserve"> </w:t>
            </w:r>
            <w:r w:rsidRPr="00FD32AB">
              <w:t>сделкам, дата исполнения которых не ранее 3</w:t>
            </w:r>
            <w:r>
              <w:t xml:space="preserve"> </w:t>
            </w:r>
            <w:r w:rsidRPr="00FD32AB">
              <w:t>рабочих дней с даты заключения сделки, и</w:t>
            </w:r>
            <w:r>
              <w:t xml:space="preserve"> </w:t>
            </w:r>
            <w:r w:rsidRPr="00FD32AB">
              <w:t>заемные средства, предусмотренные</w:t>
            </w:r>
            <w:r>
              <w:t xml:space="preserve"> </w:t>
            </w:r>
            <w:r w:rsidRPr="00FD32AB">
              <w:t>подпунктом 5 пункта 1 статьи 40</w:t>
            </w:r>
            <w:r>
              <w:t xml:space="preserve"> </w:t>
            </w:r>
            <w:r w:rsidRPr="00FD32AB">
              <w:t>Федерального закона от 29 ноября 2001 года</w:t>
            </w:r>
            <w:r>
              <w:t xml:space="preserve"> </w:t>
            </w:r>
            <w:r w:rsidRPr="00FD32AB">
              <w:t>№ 156-ФЗ «Об инвестиционных фондах», в</w:t>
            </w:r>
            <w:r>
              <w:t xml:space="preserve"> </w:t>
            </w:r>
            <w:r w:rsidRPr="00FD32AB">
              <w:t>совокупности не должны превышать 40</w:t>
            </w:r>
            <w:r>
              <w:t xml:space="preserve"> </w:t>
            </w:r>
            <w:r w:rsidRPr="00FD32AB">
              <w:t>процентов стоимости чистых активов Фонда.</w:t>
            </w:r>
          </w:p>
          <w:p w:rsidR="000F28FA" w:rsidRPr="00FD32AB" w:rsidRDefault="000F28FA" w:rsidP="000F28FA">
            <w:pPr>
              <w:ind w:firstLine="426"/>
              <w:jc w:val="both"/>
            </w:pPr>
            <w:r w:rsidRPr="00FD32AB">
              <w:t>На дату заключения сделок с</w:t>
            </w:r>
            <w:r>
              <w:t xml:space="preserve"> </w:t>
            </w:r>
            <w:r w:rsidRPr="00FD32AB">
              <w:t>производными финансовыми инструментами,</w:t>
            </w:r>
            <w:r>
              <w:t xml:space="preserve"> </w:t>
            </w:r>
            <w:r w:rsidRPr="00FD32AB">
              <w:t>договоров репо или сделок, дата исполнения</w:t>
            </w:r>
            <w:r>
              <w:t xml:space="preserve"> </w:t>
            </w:r>
            <w:r w:rsidRPr="00FD32AB">
              <w:t>которых не ранее 3 рабочих дней с даты</w:t>
            </w:r>
            <w:r>
              <w:t xml:space="preserve"> </w:t>
            </w:r>
            <w:r w:rsidRPr="00FD32AB">
              <w:t>заключения сделки, совокупная стоимость</w:t>
            </w:r>
            <w:r>
              <w:t xml:space="preserve"> </w:t>
            </w:r>
            <w:r w:rsidRPr="00FD32AB">
              <w:t>активов, указанных в абзаце втором подпункта</w:t>
            </w:r>
            <w:r>
              <w:t xml:space="preserve"> </w:t>
            </w:r>
            <w:r w:rsidRPr="00FD32AB">
              <w:t>два настоящего пункта, с учетом заключенных</w:t>
            </w:r>
            <w:r>
              <w:t xml:space="preserve"> </w:t>
            </w:r>
            <w:r w:rsidRPr="00FD32AB">
              <w:t>ранее договоров репо и сделок, указанных в</w:t>
            </w:r>
            <w:r>
              <w:t xml:space="preserve"> </w:t>
            </w:r>
            <w:r w:rsidRPr="00FD32AB">
              <w:t>настоящем абзаце, и заемных средств,</w:t>
            </w:r>
            <w:r>
              <w:t xml:space="preserve"> </w:t>
            </w:r>
            <w:r w:rsidRPr="00FD32AB">
              <w:t>предусмотренных подпунктом 5 пункта 1</w:t>
            </w:r>
            <w:r>
              <w:t xml:space="preserve"> </w:t>
            </w:r>
            <w:r w:rsidRPr="00FD32AB">
              <w:t>статьи 40 Федерального закона от 29 ноября</w:t>
            </w:r>
            <w:r>
              <w:t xml:space="preserve"> </w:t>
            </w:r>
            <w:r w:rsidRPr="00FD32AB">
              <w:t>2001 г. № 156-ФЗ «Об инвестиционных</w:t>
            </w:r>
            <w:r>
              <w:t xml:space="preserve"> </w:t>
            </w:r>
            <w:r w:rsidRPr="00FD32AB">
              <w:t>фондах», не должна превышать 20 процентов</w:t>
            </w:r>
            <w:r>
              <w:t xml:space="preserve"> </w:t>
            </w:r>
            <w:r w:rsidRPr="00FD32AB">
              <w:t>стоимости чистых активов Фонда.</w:t>
            </w:r>
          </w:p>
          <w:p w:rsidR="000F28FA" w:rsidRPr="00FD32AB" w:rsidRDefault="000F28FA" w:rsidP="000F28FA">
            <w:pPr>
              <w:ind w:firstLine="426"/>
              <w:jc w:val="both"/>
            </w:pPr>
            <w:r w:rsidRPr="00FD32AB">
              <w:t>Для целей настоящего пункта</w:t>
            </w:r>
            <w:r>
              <w:t xml:space="preserve"> </w:t>
            </w:r>
            <w:r w:rsidRPr="00FD32AB">
              <w:t>производные финансовые инструменты</w:t>
            </w:r>
            <w:r>
              <w:t xml:space="preserve"> </w:t>
            </w:r>
            <w:r w:rsidRPr="00FD32AB">
              <w:t>учитываются в объеме открытой позиции,</w:t>
            </w:r>
            <w:r>
              <w:t xml:space="preserve"> </w:t>
            </w:r>
            <w:r w:rsidRPr="00FD32AB">
              <w:t>скорректированной по результатам клиринга.</w:t>
            </w:r>
          </w:p>
          <w:p w:rsidR="000F28FA" w:rsidRPr="00FD32AB" w:rsidRDefault="000F28FA" w:rsidP="000F28FA">
            <w:pPr>
              <w:ind w:firstLine="426"/>
              <w:jc w:val="both"/>
            </w:pPr>
            <w:r w:rsidRPr="00FD32AB">
              <w:t>Договоры репо заключаются на условиях</w:t>
            </w:r>
            <w:r>
              <w:t xml:space="preserve"> </w:t>
            </w:r>
            <w:r w:rsidRPr="00FD32AB">
              <w:t>поставки против платежа и предусмотренной</w:t>
            </w:r>
            <w:r>
              <w:t xml:space="preserve"> </w:t>
            </w:r>
            <w:r w:rsidRPr="00FD32AB">
              <w:t>договором репо обязанности каждой из сторон</w:t>
            </w:r>
            <w:r>
              <w:t xml:space="preserve"> </w:t>
            </w:r>
            <w:r w:rsidRPr="00FD32AB">
              <w:t>при изменении цены ценных бумаг,</w:t>
            </w:r>
            <w:r>
              <w:t xml:space="preserve"> </w:t>
            </w:r>
            <w:r w:rsidRPr="00FD32AB">
              <w:t>переданных по договору репо, уплачивать</w:t>
            </w:r>
            <w:r>
              <w:t xml:space="preserve"> </w:t>
            </w:r>
            <w:r w:rsidRPr="00FD32AB">
              <w:t>другой стороне денежные суммы и (или)</w:t>
            </w:r>
            <w:r>
              <w:t xml:space="preserve"> </w:t>
            </w:r>
            <w:r w:rsidRPr="00FD32AB">
              <w:t>передавать ценные бумаги в соответствии с</w:t>
            </w:r>
            <w:r>
              <w:t xml:space="preserve"> </w:t>
            </w:r>
            <w:r w:rsidRPr="00FD32AB">
              <w:t>пунктом 14 статьи 51.3 Федерального закона</w:t>
            </w:r>
            <w:r>
              <w:t xml:space="preserve"> </w:t>
            </w:r>
            <w:r w:rsidRPr="00FD32AB">
              <w:t xml:space="preserve">от 22 апреля 1996 года № 39-ФЗ </w:t>
            </w:r>
            <w:r>
              <w:t>«</w:t>
            </w:r>
            <w:r w:rsidRPr="00FD32AB">
              <w:t>О рынке</w:t>
            </w:r>
            <w:r>
              <w:t xml:space="preserve"> </w:t>
            </w:r>
            <w:r w:rsidRPr="00FD32AB">
              <w:t>ценных бумаг</w:t>
            </w:r>
            <w:r>
              <w:t>»</w:t>
            </w:r>
            <w:r w:rsidRPr="00FD32AB">
              <w:t>, при условии, что предметом</w:t>
            </w:r>
            <w:r>
              <w:t xml:space="preserve"> </w:t>
            </w:r>
            <w:r w:rsidRPr="00FD32AB">
              <w:t>договора репо могут быть только активы,</w:t>
            </w:r>
            <w:r>
              <w:t xml:space="preserve"> </w:t>
            </w:r>
            <w:r w:rsidRPr="00FD32AB">
              <w:t>включаемые в состав активов фонда, в</w:t>
            </w:r>
            <w:r>
              <w:t xml:space="preserve"> </w:t>
            </w:r>
            <w:r w:rsidRPr="00FD32AB">
              <w:t>соответствии с настоящими Правилами.</w:t>
            </w:r>
          </w:p>
          <w:p w:rsidR="000F28FA" w:rsidRPr="00FD32AB" w:rsidRDefault="000F28FA" w:rsidP="000F28FA">
            <w:pPr>
              <w:ind w:firstLine="426"/>
              <w:jc w:val="both"/>
            </w:pPr>
            <w:r w:rsidRPr="00FD32AB">
              <w:t>Для целей абзаца второго и третьего</w:t>
            </w:r>
            <w:r>
              <w:t xml:space="preserve"> </w:t>
            </w:r>
            <w:r w:rsidRPr="00FD32AB">
              <w:t>подпункта два настоящего пункта не</w:t>
            </w:r>
            <w:r>
              <w:t xml:space="preserve"> </w:t>
            </w:r>
            <w:r w:rsidRPr="00FD32AB">
              <w:t>учитываются договоры репо, по которым</w:t>
            </w:r>
            <w:r>
              <w:t xml:space="preserve"> </w:t>
            </w:r>
            <w:r w:rsidRPr="00FD32AB">
              <w:t>Управляющая компания является покупателем</w:t>
            </w:r>
            <w:r>
              <w:t xml:space="preserve"> </w:t>
            </w:r>
            <w:r w:rsidRPr="00FD32AB">
              <w:t>по первой части договора репо, и которые</w:t>
            </w:r>
            <w:r>
              <w:t xml:space="preserve"> </w:t>
            </w:r>
            <w:r w:rsidRPr="00FD32AB">
              <w:t>предусматривают невозможность</w:t>
            </w:r>
            <w:r>
              <w:t xml:space="preserve"> </w:t>
            </w:r>
            <w:r w:rsidRPr="00FD32AB">
              <w:t>распоряжения приобретенными ценными</w:t>
            </w:r>
            <w:r>
              <w:t xml:space="preserve"> </w:t>
            </w:r>
            <w:r w:rsidRPr="00FD32AB">
              <w:t>бумагами, за исключением их возврата по</w:t>
            </w:r>
            <w:r>
              <w:t xml:space="preserve"> </w:t>
            </w:r>
            <w:r w:rsidRPr="00FD32AB">
              <w:t>второй части такого договора репо, а также</w:t>
            </w:r>
            <w:r>
              <w:t xml:space="preserve"> </w:t>
            </w:r>
            <w:r w:rsidRPr="00FD32AB">
              <w:t>опционные договоры, по которым</w:t>
            </w:r>
            <w:r>
              <w:t xml:space="preserve"> </w:t>
            </w:r>
            <w:r w:rsidRPr="00FD32AB">
              <w:t>Управляющая компания имеет право</w:t>
            </w:r>
            <w:r>
              <w:t xml:space="preserve"> </w:t>
            </w:r>
            <w:r w:rsidRPr="00FD32AB">
              <w:t>требовать от контрагента покупки или</w:t>
            </w:r>
            <w:r>
              <w:t xml:space="preserve"> </w:t>
            </w:r>
            <w:r w:rsidRPr="00FD32AB">
              <w:t>продажи базового (базисного) актива.</w:t>
            </w:r>
          </w:p>
          <w:p w:rsidR="000F28FA" w:rsidRPr="00FD32AB" w:rsidRDefault="000F28FA" w:rsidP="000F28FA">
            <w:pPr>
              <w:ind w:firstLine="426"/>
              <w:jc w:val="both"/>
            </w:pPr>
            <w:r w:rsidRPr="00FD32AB">
              <w:t>При определении структуры активов</w:t>
            </w:r>
            <w:r>
              <w:t xml:space="preserve"> </w:t>
            </w:r>
            <w:r w:rsidRPr="00FD32AB">
              <w:t>Фонда учитываются активы, принятые к</w:t>
            </w:r>
            <w:r>
              <w:t xml:space="preserve"> </w:t>
            </w:r>
            <w:r w:rsidRPr="00FD32AB">
              <w:t>расчету стоимости его чистых активов (с</w:t>
            </w:r>
            <w:r>
              <w:t xml:space="preserve"> </w:t>
            </w:r>
            <w:r w:rsidRPr="00FD32AB">
              <w:t>учетом требования, установленного абзацем</w:t>
            </w:r>
            <w:r>
              <w:t xml:space="preserve"> </w:t>
            </w:r>
            <w:r w:rsidRPr="00FD32AB">
              <w:t>четвертым подпункта один настоящего</w:t>
            </w:r>
            <w:r>
              <w:t xml:space="preserve"> </w:t>
            </w:r>
            <w:r w:rsidRPr="00FD32AB">
              <w:t>пункта).</w:t>
            </w:r>
          </w:p>
          <w:p w:rsidR="000F28FA" w:rsidRPr="00FD32AB" w:rsidRDefault="000F28FA" w:rsidP="000F28FA">
            <w:pPr>
              <w:ind w:firstLine="426"/>
              <w:jc w:val="both"/>
            </w:pPr>
            <w:r w:rsidRPr="00FD32AB">
              <w:t>3) Доля стоимости инструментов</w:t>
            </w:r>
            <w:r>
              <w:t xml:space="preserve"> </w:t>
            </w:r>
            <w:r w:rsidRPr="00FD32AB">
              <w:t>денежного рынка со сроком до погашения</w:t>
            </w:r>
            <w:r>
              <w:t xml:space="preserve"> </w:t>
            </w:r>
            <w:r w:rsidRPr="00FD32AB">
              <w:t>(закрытия) менее трех месяцев, облигаций с</w:t>
            </w:r>
            <w:r>
              <w:t xml:space="preserve"> </w:t>
            </w:r>
            <w:r w:rsidRPr="00FD32AB">
              <w:t>фиксированным купонным доходом, рейтинг</w:t>
            </w:r>
            <w:r>
              <w:t xml:space="preserve"> </w:t>
            </w:r>
            <w:r w:rsidRPr="00FD32AB">
              <w:t>долгосрочной кредитоспособности выпуска</w:t>
            </w:r>
            <w:r>
              <w:t xml:space="preserve"> </w:t>
            </w:r>
            <w:r w:rsidRPr="00FD32AB">
              <w:t>(при</w:t>
            </w:r>
            <w:r>
              <w:t xml:space="preserve"> </w:t>
            </w:r>
            <w:r w:rsidRPr="00FD32AB">
              <w:t xml:space="preserve">отсутствии рейтинга выпуска </w:t>
            </w:r>
            <w:r>
              <w:t>–</w:t>
            </w:r>
            <w:r w:rsidRPr="00FD32AB">
              <w:t xml:space="preserve"> рейтинг</w:t>
            </w:r>
            <w:r>
              <w:t xml:space="preserve"> </w:t>
            </w:r>
            <w:r w:rsidRPr="00FD32AB">
              <w:t>эмитента) которых по классификации хотя бы</w:t>
            </w:r>
            <w:r>
              <w:t xml:space="preserve"> </w:t>
            </w:r>
            <w:r w:rsidRPr="00FD32AB">
              <w:t>одного из рейтинговых агентств, включенных</w:t>
            </w:r>
            <w:r>
              <w:t xml:space="preserve"> </w:t>
            </w:r>
            <w:r w:rsidRPr="00FD32AB">
              <w:t>в установленный Советом директоров Банка</w:t>
            </w:r>
            <w:r>
              <w:t xml:space="preserve"> </w:t>
            </w:r>
            <w:r w:rsidRPr="00FD32AB">
              <w:t>России перечень рейтинговых агентств,</w:t>
            </w:r>
            <w:r>
              <w:t xml:space="preserve"> </w:t>
            </w:r>
            <w:r w:rsidRPr="00FD32AB">
              <w:t>отличается от рейтинга в соответствующей</w:t>
            </w:r>
            <w:r>
              <w:t xml:space="preserve"> </w:t>
            </w:r>
            <w:r w:rsidRPr="00FD32AB">
              <w:t>валюте страны - эмитента валюты, в которой</w:t>
            </w:r>
            <w:r>
              <w:t xml:space="preserve"> </w:t>
            </w:r>
            <w:r w:rsidRPr="00FD32AB">
              <w:t>номинированы указанные облигации (для</w:t>
            </w:r>
            <w:r>
              <w:t xml:space="preserve"> </w:t>
            </w:r>
            <w:r w:rsidRPr="00FD32AB">
              <w:t>облигаций, номинированных в валюте</w:t>
            </w:r>
            <w:r>
              <w:t xml:space="preserve"> </w:t>
            </w:r>
            <w:r w:rsidRPr="00FD32AB">
              <w:t>государств - членов валютного союза, - от</w:t>
            </w:r>
            <w:r>
              <w:t xml:space="preserve"> </w:t>
            </w:r>
            <w:r w:rsidRPr="00FD32AB">
              <w:t>максимального рейтинга среди государств -</w:t>
            </w:r>
            <w:r>
              <w:t xml:space="preserve"> </w:t>
            </w:r>
            <w:r w:rsidRPr="00FD32AB">
              <w:t>членов валютного союза), не более чем на</w:t>
            </w:r>
            <w:r>
              <w:t xml:space="preserve"> </w:t>
            </w:r>
            <w:r w:rsidRPr="00FD32AB">
              <w:t>одну ступень, ценных бумаг, входящих в</w:t>
            </w:r>
            <w:r>
              <w:t xml:space="preserve"> </w:t>
            </w:r>
            <w:r w:rsidRPr="00FD32AB">
              <w:t>расчет следующих фондовых индексов:</w:t>
            </w:r>
          </w:p>
          <w:p w:rsidR="000F28FA" w:rsidRPr="00FD32AB" w:rsidRDefault="000F28FA" w:rsidP="000F28FA">
            <w:pPr>
              <w:ind w:firstLine="426"/>
              <w:jc w:val="both"/>
            </w:pPr>
            <w:r w:rsidRPr="00FD32AB">
              <w:t>1. S&amp;P/ASX-200 (Австралия)</w:t>
            </w:r>
          </w:p>
          <w:p w:rsidR="000F28FA" w:rsidRPr="00FD32AB" w:rsidRDefault="000F28FA" w:rsidP="000F28FA">
            <w:pPr>
              <w:ind w:firstLine="426"/>
              <w:jc w:val="both"/>
            </w:pPr>
            <w:r w:rsidRPr="00FD32AB">
              <w:t>2. ATX (Австрия)</w:t>
            </w:r>
          </w:p>
          <w:p w:rsidR="000F28FA" w:rsidRPr="00FD32AB" w:rsidRDefault="000F28FA" w:rsidP="000F28FA">
            <w:pPr>
              <w:ind w:firstLine="426"/>
              <w:jc w:val="both"/>
            </w:pPr>
            <w:r w:rsidRPr="00FD32AB">
              <w:t>3. BEL20 (Бельгия)</w:t>
            </w:r>
          </w:p>
          <w:p w:rsidR="000F28FA" w:rsidRPr="00FD32AB" w:rsidRDefault="000F28FA" w:rsidP="000F28FA">
            <w:pPr>
              <w:ind w:firstLine="426"/>
              <w:jc w:val="both"/>
            </w:pPr>
            <w:r w:rsidRPr="00FD32AB">
              <w:t>4. Ibovespa (Бразилия)</w:t>
            </w:r>
          </w:p>
          <w:p w:rsidR="000F28FA" w:rsidRPr="00FD32AB" w:rsidRDefault="000F28FA" w:rsidP="000F28FA">
            <w:pPr>
              <w:ind w:firstLine="426"/>
              <w:jc w:val="both"/>
            </w:pPr>
            <w:r w:rsidRPr="00FD32AB">
              <w:t>5. Budapest SE (Венгрия)</w:t>
            </w:r>
          </w:p>
          <w:p w:rsidR="000F28FA" w:rsidRPr="00FD32AB" w:rsidRDefault="000F28FA" w:rsidP="000F28FA">
            <w:pPr>
              <w:ind w:firstLine="426"/>
              <w:jc w:val="both"/>
            </w:pPr>
            <w:r w:rsidRPr="00FD32AB">
              <w:t>6. FTSE 100 (Великобритания)</w:t>
            </w:r>
          </w:p>
          <w:p w:rsidR="000F28FA" w:rsidRPr="00FD32AB" w:rsidRDefault="000F28FA" w:rsidP="000F28FA">
            <w:pPr>
              <w:ind w:firstLine="426"/>
              <w:jc w:val="both"/>
            </w:pPr>
            <w:r w:rsidRPr="00FD32AB">
              <w:t>7. Hang Seng (Гонконг)</w:t>
            </w:r>
          </w:p>
          <w:p w:rsidR="000F28FA" w:rsidRPr="00FD32AB" w:rsidRDefault="000F28FA" w:rsidP="000F28FA">
            <w:pPr>
              <w:ind w:firstLine="426"/>
              <w:jc w:val="both"/>
            </w:pPr>
            <w:r w:rsidRPr="00FD32AB">
              <w:t>8. DAX (Германия)</w:t>
            </w:r>
          </w:p>
          <w:p w:rsidR="000F28FA" w:rsidRPr="00FD32AB" w:rsidRDefault="000F28FA" w:rsidP="000F28FA">
            <w:pPr>
              <w:ind w:firstLine="426"/>
              <w:jc w:val="both"/>
            </w:pPr>
            <w:r w:rsidRPr="00FD32AB">
              <w:t>9. OMX Copenhagen 20 (Дания)</w:t>
            </w:r>
          </w:p>
          <w:p w:rsidR="000F28FA" w:rsidRPr="00D334C7" w:rsidRDefault="000F28FA" w:rsidP="000F28FA">
            <w:pPr>
              <w:ind w:firstLine="426"/>
              <w:jc w:val="both"/>
              <w:rPr>
                <w:lang w:val="en-US"/>
              </w:rPr>
            </w:pPr>
            <w:r w:rsidRPr="00D334C7">
              <w:rPr>
                <w:lang w:val="en-US"/>
              </w:rPr>
              <w:t>10. TA 25 (</w:t>
            </w:r>
            <w:r w:rsidRPr="00FD32AB">
              <w:t>Израиль</w:t>
            </w:r>
            <w:r w:rsidRPr="00D334C7">
              <w:rPr>
                <w:lang w:val="en-US"/>
              </w:rPr>
              <w:t>)</w:t>
            </w:r>
          </w:p>
          <w:p w:rsidR="000F28FA" w:rsidRPr="00D334C7" w:rsidRDefault="000F28FA" w:rsidP="000F28FA">
            <w:pPr>
              <w:ind w:firstLine="426"/>
              <w:jc w:val="both"/>
              <w:rPr>
                <w:lang w:val="en-US"/>
              </w:rPr>
            </w:pPr>
            <w:r w:rsidRPr="00D334C7">
              <w:rPr>
                <w:lang w:val="en-US"/>
              </w:rPr>
              <w:t>11. BSE Sensex (</w:t>
            </w:r>
            <w:r w:rsidRPr="00FD32AB">
              <w:t>Индия</w:t>
            </w:r>
            <w:r w:rsidRPr="00D334C7">
              <w:rPr>
                <w:lang w:val="en-US"/>
              </w:rPr>
              <w:t>)</w:t>
            </w:r>
          </w:p>
          <w:p w:rsidR="000F28FA" w:rsidRPr="00D334C7" w:rsidRDefault="000F28FA" w:rsidP="000F28FA">
            <w:pPr>
              <w:ind w:firstLine="426"/>
              <w:jc w:val="both"/>
              <w:rPr>
                <w:lang w:val="en-US"/>
              </w:rPr>
            </w:pPr>
            <w:r w:rsidRPr="00D334C7">
              <w:rPr>
                <w:lang w:val="en-US"/>
              </w:rPr>
              <w:t>12. ISEQ 20 (</w:t>
            </w:r>
            <w:r w:rsidRPr="00FD32AB">
              <w:t>Ирландия</w:t>
            </w:r>
            <w:r w:rsidRPr="00D334C7">
              <w:rPr>
                <w:lang w:val="en-US"/>
              </w:rPr>
              <w:t>)</w:t>
            </w:r>
          </w:p>
          <w:p w:rsidR="000F28FA" w:rsidRPr="00D334C7" w:rsidRDefault="000F28FA" w:rsidP="000F28FA">
            <w:pPr>
              <w:ind w:firstLine="426"/>
              <w:jc w:val="both"/>
              <w:rPr>
                <w:lang w:val="en-US"/>
              </w:rPr>
            </w:pPr>
            <w:r w:rsidRPr="00D334C7">
              <w:rPr>
                <w:lang w:val="en-US"/>
              </w:rPr>
              <w:t>13. ICEX (</w:t>
            </w:r>
            <w:r w:rsidRPr="00FD32AB">
              <w:t>Исландия</w:t>
            </w:r>
            <w:r w:rsidRPr="00D334C7">
              <w:rPr>
                <w:lang w:val="en-US"/>
              </w:rPr>
              <w:t>)</w:t>
            </w:r>
          </w:p>
          <w:p w:rsidR="000F28FA" w:rsidRPr="00D334C7" w:rsidRDefault="000F28FA" w:rsidP="000F28FA">
            <w:pPr>
              <w:ind w:firstLine="426"/>
              <w:jc w:val="both"/>
              <w:rPr>
                <w:lang w:val="en-US"/>
              </w:rPr>
            </w:pPr>
            <w:r w:rsidRPr="00D334C7">
              <w:rPr>
                <w:lang w:val="en-US"/>
              </w:rPr>
              <w:t>14. IBEX 35 (</w:t>
            </w:r>
            <w:r w:rsidRPr="00FD32AB">
              <w:t>Испания</w:t>
            </w:r>
            <w:r w:rsidRPr="00D334C7">
              <w:rPr>
                <w:lang w:val="en-US"/>
              </w:rPr>
              <w:t>)</w:t>
            </w:r>
          </w:p>
          <w:p w:rsidR="000F28FA" w:rsidRPr="00D334C7" w:rsidRDefault="000F28FA" w:rsidP="000F28FA">
            <w:pPr>
              <w:ind w:firstLine="426"/>
              <w:jc w:val="both"/>
              <w:rPr>
                <w:lang w:val="en-US"/>
              </w:rPr>
            </w:pPr>
            <w:r w:rsidRPr="00D334C7">
              <w:rPr>
                <w:lang w:val="en-US"/>
              </w:rPr>
              <w:t>15. FTSE MIB (</w:t>
            </w:r>
            <w:r w:rsidRPr="00FD32AB">
              <w:t>Италия</w:t>
            </w:r>
            <w:r w:rsidRPr="00D334C7">
              <w:rPr>
                <w:lang w:val="en-US"/>
              </w:rPr>
              <w:t>)</w:t>
            </w:r>
          </w:p>
          <w:p w:rsidR="000F28FA" w:rsidRPr="00D334C7" w:rsidRDefault="000F28FA" w:rsidP="000F28FA">
            <w:pPr>
              <w:ind w:firstLine="426"/>
              <w:jc w:val="both"/>
              <w:rPr>
                <w:lang w:val="en-US"/>
              </w:rPr>
            </w:pPr>
            <w:r w:rsidRPr="00D334C7">
              <w:rPr>
                <w:lang w:val="en-US"/>
              </w:rPr>
              <w:t>16. S&amp;P/TSX (</w:t>
            </w:r>
            <w:r w:rsidRPr="00FD32AB">
              <w:t>Канада</w:t>
            </w:r>
            <w:r w:rsidRPr="00D334C7">
              <w:rPr>
                <w:lang w:val="en-US"/>
              </w:rPr>
              <w:t>)</w:t>
            </w:r>
          </w:p>
          <w:p w:rsidR="000F28FA" w:rsidRPr="00D334C7" w:rsidRDefault="000F28FA" w:rsidP="000F28FA">
            <w:pPr>
              <w:ind w:firstLine="426"/>
              <w:jc w:val="both"/>
              <w:rPr>
                <w:lang w:val="en-US"/>
              </w:rPr>
            </w:pPr>
            <w:r w:rsidRPr="00D334C7">
              <w:rPr>
                <w:lang w:val="en-US"/>
              </w:rPr>
              <w:t>17. SSE Composite Index (</w:t>
            </w:r>
            <w:r w:rsidRPr="00FD32AB">
              <w:t>Китай</w:t>
            </w:r>
            <w:r w:rsidRPr="00D334C7">
              <w:rPr>
                <w:lang w:val="en-US"/>
              </w:rPr>
              <w:t>)</w:t>
            </w:r>
          </w:p>
          <w:p w:rsidR="000F28FA" w:rsidRPr="00D334C7" w:rsidRDefault="000F28FA" w:rsidP="000F28FA">
            <w:pPr>
              <w:ind w:firstLine="426"/>
              <w:jc w:val="both"/>
              <w:rPr>
                <w:lang w:val="en-US"/>
              </w:rPr>
            </w:pPr>
            <w:r w:rsidRPr="00D334C7">
              <w:rPr>
                <w:lang w:val="en-US"/>
              </w:rPr>
              <w:t>18. LuxX Index (</w:t>
            </w:r>
            <w:r w:rsidRPr="00FD32AB">
              <w:t>Люксембург</w:t>
            </w:r>
            <w:r w:rsidRPr="00D334C7">
              <w:rPr>
                <w:lang w:val="en-US"/>
              </w:rPr>
              <w:t>)</w:t>
            </w:r>
          </w:p>
          <w:p w:rsidR="000F28FA" w:rsidRPr="00D334C7" w:rsidRDefault="000F28FA" w:rsidP="000F28FA">
            <w:pPr>
              <w:ind w:firstLine="426"/>
              <w:jc w:val="both"/>
              <w:rPr>
                <w:lang w:val="en-US"/>
              </w:rPr>
            </w:pPr>
            <w:r w:rsidRPr="00D334C7">
              <w:rPr>
                <w:lang w:val="en-US"/>
              </w:rPr>
              <w:t>19. IPC (</w:t>
            </w:r>
            <w:r w:rsidRPr="00FD32AB">
              <w:t>Мексика</w:t>
            </w:r>
            <w:r w:rsidRPr="00D334C7">
              <w:rPr>
                <w:lang w:val="en-US"/>
              </w:rPr>
              <w:t>)</w:t>
            </w:r>
          </w:p>
          <w:p w:rsidR="000F28FA" w:rsidRPr="00D334C7" w:rsidRDefault="000F28FA" w:rsidP="000F28FA">
            <w:pPr>
              <w:ind w:firstLine="426"/>
              <w:jc w:val="both"/>
              <w:rPr>
                <w:lang w:val="en-US"/>
              </w:rPr>
            </w:pPr>
            <w:r w:rsidRPr="00D334C7">
              <w:rPr>
                <w:lang w:val="en-US"/>
              </w:rPr>
              <w:t>20. AEX Index (</w:t>
            </w:r>
            <w:r w:rsidRPr="00FD32AB">
              <w:t>Нидерланды</w:t>
            </w:r>
            <w:r w:rsidRPr="00D334C7">
              <w:rPr>
                <w:lang w:val="en-US"/>
              </w:rPr>
              <w:t>)</w:t>
            </w:r>
          </w:p>
          <w:p w:rsidR="000F28FA" w:rsidRPr="00D334C7" w:rsidRDefault="000F28FA" w:rsidP="000F28FA">
            <w:pPr>
              <w:ind w:firstLine="426"/>
              <w:jc w:val="both"/>
              <w:rPr>
                <w:lang w:val="en-US"/>
              </w:rPr>
            </w:pPr>
            <w:r w:rsidRPr="00D334C7">
              <w:rPr>
                <w:lang w:val="en-US"/>
              </w:rPr>
              <w:t>21. DJ New Zealand (</w:t>
            </w:r>
            <w:r w:rsidRPr="00FD32AB">
              <w:t>Новая</w:t>
            </w:r>
            <w:r w:rsidRPr="00D334C7">
              <w:rPr>
                <w:lang w:val="en-US"/>
              </w:rPr>
              <w:t xml:space="preserve"> </w:t>
            </w:r>
            <w:r w:rsidRPr="00FD32AB">
              <w:t>Зеландия</w:t>
            </w:r>
            <w:r w:rsidRPr="00D334C7">
              <w:rPr>
                <w:lang w:val="en-US"/>
              </w:rPr>
              <w:t>)</w:t>
            </w:r>
          </w:p>
          <w:p w:rsidR="000F28FA" w:rsidRPr="00D334C7" w:rsidRDefault="000F28FA" w:rsidP="000F28FA">
            <w:pPr>
              <w:ind w:firstLine="426"/>
              <w:jc w:val="both"/>
              <w:rPr>
                <w:lang w:val="en-US"/>
              </w:rPr>
            </w:pPr>
            <w:r w:rsidRPr="00D334C7">
              <w:rPr>
                <w:lang w:val="en-US"/>
              </w:rPr>
              <w:t>22. OBX (</w:t>
            </w:r>
            <w:r w:rsidRPr="00FD32AB">
              <w:t>Норвегия</w:t>
            </w:r>
            <w:r w:rsidRPr="00D334C7">
              <w:rPr>
                <w:lang w:val="en-US"/>
              </w:rPr>
              <w:t>)</w:t>
            </w:r>
          </w:p>
          <w:p w:rsidR="000F28FA" w:rsidRPr="00D334C7" w:rsidRDefault="000F28FA" w:rsidP="000F28FA">
            <w:pPr>
              <w:ind w:firstLine="426"/>
              <w:jc w:val="both"/>
              <w:rPr>
                <w:lang w:val="en-US"/>
              </w:rPr>
            </w:pPr>
            <w:r w:rsidRPr="00D334C7">
              <w:rPr>
                <w:lang w:val="en-US"/>
              </w:rPr>
              <w:t>23. WIG (</w:t>
            </w:r>
            <w:r w:rsidRPr="00FD32AB">
              <w:t>Польша</w:t>
            </w:r>
            <w:r w:rsidRPr="00D334C7">
              <w:rPr>
                <w:lang w:val="en-US"/>
              </w:rPr>
              <w:t>)</w:t>
            </w:r>
          </w:p>
          <w:p w:rsidR="000F28FA" w:rsidRPr="00D334C7" w:rsidRDefault="000F28FA" w:rsidP="000F28FA">
            <w:pPr>
              <w:ind w:firstLine="426"/>
              <w:jc w:val="both"/>
              <w:rPr>
                <w:lang w:val="en-US"/>
              </w:rPr>
            </w:pPr>
            <w:r w:rsidRPr="00D334C7">
              <w:rPr>
                <w:lang w:val="en-US"/>
              </w:rPr>
              <w:t>24. PSI 20 (</w:t>
            </w:r>
            <w:r w:rsidRPr="00FD32AB">
              <w:t>Португалия</w:t>
            </w:r>
            <w:r w:rsidRPr="00D334C7">
              <w:rPr>
                <w:lang w:val="en-US"/>
              </w:rPr>
              <w:t>)</w:t>
            </w:r>
          </w:p>
          <w:p w:rsidR="000F28FA" w:rsidRPr="00FD32AB" w:rsidRDefault="000F28FA" w:rsidP="000F28FA">
            <w:pPr>
              <w:ind w:firstLine="426"/>
              <w:jc w:val="both"/>
            </w:pPr>
            <w:r w:rsidRPr="00FD32AB">
              <w:t>25. ММВБ (Россия)</w:t>
            </w:r>
          </w:p>
          <w:p w:rsidR="000F28FA" w:rsidRPr="00FD32AB" w:rsidRDefault="000F28FA" w:rsidP="000F28FA">
            <w:pPr>
              <w:ind w:firstLine="426"/>
              <w:jc w:val="both"/>
            </w:pPr>
            <w:r w:rsidRPr="00FD32AB">
              <w:t>26. РТС (Россия)</w:t>
            </w:r>
          </w:p>
          <w:p w:rsidR="000F28FA" w:rsidRPr="00FD32AB" w:rsidRDefault="000F28FA" w:rsidP="000F28FA">
            <w:pPr>
              <w:ind w:firstLine="426"/>
              <w:jc w:val="both"/>
            </w:pPr>
            <w:r w:rsidRPr="00FD32AB">
              <w:t>27. SAX (Словакия)</w:t>
            </w:r>
          </w:p>
          <w:p w:rsidR="000F28FA" w:rsidRPr="00D334C7" w:rsidRDefault="000F28FA" w:rsidP="000F28FA">
            <w:pPr>
              <w:ind w:firstLine="426"/>
              <w:jc w:val="both"/>
              <w:rPr>
                <w:lang w:val="en-US"/>
              </w:rPr>
            </w:pPr>
            <w:r w:rsidRPr="00D334C7">
              <w:rPr>
                <w:lang w:val="en-US"/>
              </w:rPr>
              <w:t>28. Blue-Chip SBITOP (</w:t>
            </w:r>
            <w:r w:rsidRPr="00FD32AB">
              <w:t>Словения</w:t>
            </w:r>
            <w:r w:rsidRPr="00D334C7">
              <w:rPr>
                <w:lang w:val="en-US"/>
              </w:rPr>
              <w:t>)</w:t>
            </w:r>
          </w:p>
          <w:p w:rsidR="000F28FA" w:rsidRPr="00D334C7" w:rsidRDefault="000F28FA" w:rsidP="000F28FA">
            <w:pPr>
              <w:ind w:firstLine="426"/>
              <w:jc w:val="both"/>
              <w:rPr>
                <w:lang w:val="en-US"/>
              </w:rPr>
            </w:pPr>
            <w:r w:rsidRPr="00D334C7">
              <w:rPr>
                <w:lang w:val="en-US"/>
              </w:rPr>
              <w:t>29. Dow Jones (</w:t>
            </w:r>
            <w:r w:rsidRPr="00FD32AB">
              <w:t>США</w:t>
            </w:r>
            <w:r w:rsidRPr="00D334C7">
              <w:rPr>
                <w:lang w:val="en-US"/>
              </w:rPr>
              <w:t>)</w:t>
            </w:r>
          </w:p>
          <w:p w:rsidR="000F28FA" w:rsidRPr="00D334C7" w:rsidRDefault="000F28FA" w:rsidP="000F28FA">
            <w:pPr>
              <w:ind w:firstLine="426"/>
              <w:jc w:val="both"/>
              <w:rPr>
                <w:lang w:val="en-US"/>
              </w:rPr>
            </w:pPr>
            <w:r w:rsidRPr="00D334C7">
              <w:rPr>
                <w:lang w:val="en-US"/>
              </w:rPr>
              <w:t>30. S&amp;P 500 (</w:t>
            </w:r>
            <w:r w:rsidRPr="00FD32AB">
              <w:t>США</w:t>
            </w:r>
            <w:r w:rsidRPr="00D334C7">
              <w:rPr>
                <w:lang w:val="en-US"/>
              </w:rPr>
              <w:t>)</w:t>
            </w:r>
          </w:p>
          <w:p w:rsidR="000F28FA" w:rsidRPr="00D334C7" w:rsidRDefault="000F28FA" w:rsidP="000F28FA">
            <w:pPr>
              <w:ind w:firstLine="426"/>
              <w:jc w:val="both"/>
              <w:rPr>
                <w:lang w:val="en-US"/>
              </w:rPr>
            </w:pPr>
            <w:r w:rsidRPr="00D334C7">
              <w:rPr>
                <w:lang w:val="en-US"/>
              </w:rPr>
              <w:t>31. BIST 100 (</w:t>
            </w:r>
            <w:r w:rsidRPr="00FD32AB">
              <w:t>Турция</w:t>
            </w:r>
            <w:r w:rsidRPr="00D334C7">
              <w:rPr>
                <w:lang w:val="en-US"/>
              </w:rPr>
              <w:t>)</w:t>
            </w:r>
          </w:p>
          <w:p w:rsidR="000F28FA" w:rsidRPr="00D334C7" w:rsidRDefault="000F28FA" w:rsidP="000F28FA">
            <w:pPr>
              <w:ind w:firstLine="426"/>
              <w:jc w:val="both"/>
              <w:rPr>
                <w:lang w:val="en-US"/>
              </w:rPr>
            </w:pPr>
            <w:r w:rsidRPr="00D334C7">
              <w:rPr>
                <w:lang w:val="en-US"/>
              </w:rPr>
              <w:t>32. OMX Helsinki 25 (</w:t>
            </w:r>
            <w:r w:rsidRPr="00FD32AB">
              <w:t>Финляндия</w:t>
            </w:r>
            <w:r w:rsidRPr="00D334C7">
              <w:rPr>
                <w:lang w:val="en-US"/>
              </w:rPr>
              <w:t>)</w:t>
            </w:r>
          </w:p>
          <w:p w:rsidR="000F28FA" w:rsidRPr="00FD32AB" w:rsidRDefault="000F28FA" w:rsidP="000F28FA">
            <w:pPr>
              <w:ind w:firstLine="426"/>
              <w:jc w:val="both"/>
            </w:pPr>
            <w:r w:rsidRPr="00FD32AB">
              <w:t>33. CAC 40 (Франция)</w:t>
            </w:r>
          </w:p>
          <w:p w:rsidR="000F28FA" w:rsidRPr="00FD32AB" w:rsidRDefault="000F28FA" w:rsidP="000F28FA">
            <w:pPr>
              <w:ind w:firstLine="426"/>
              <w:jc w:val="both"/>
            </w:pPr>
            <w:r w:rsidRPr="00FD32AB">
              <w:t>34. PX Index (Чешская республика)</w:t>
            </w:r>
          </w:p>
          <w:p w:rsidR="000F28FA" w:rsidRPr="00FD32AB" w:rsidRDefault="000F28FA" w:rsidP="000F28FA">
            <w:pPr>
              <w:ind w:firstLine="426"/>
              <w:jc w:val="both"/>
            </w:pPr>
            <w:r w:rsidRPr="00FD32AB">
              <w:t>35. IPSA (Чили)</w:t>
            </w:r>
          </w:p>
          <w:p w:rsidR="000F28FA" w:rsidRPr="00FD32AB" w:rsidRDefault="000F28FA" w:rsidP="000F28FA">
            <w:pPr>
              <w:ind w:firstLine="426"/>
              <w:jc w:val="both"/>
            </w:pPr>
            <w:r w:rsidRPr="00FD32AB">
              <w:t>36. SMI (Швейцария)</w:t>
            </w:r>
          </w:p>
          <w:p w:rsidR="000F28FA" w:rsidRPr="00FD32AB" w:rsidRDefault="000F28FA" w:rsidP="000F28FA">
            <w:pPr>
              <w:ind w:firstLine="426"/>
              <w:jc w:val="both"/>
            </w:pPr>
            <w:r w:rsidRPr="00FD32AB">
              <w:t>37. OMXS30 (Швеция)</w:t>
            </w:r>
          </w:p>
          <w:p w:rsidR="000F28FA" w:rsidRPr="00D334C7" w:rsidRDefault="000F28FA" w:rsidP="000F28FA">
            <w:pPr>
              <w:ind w:firstLine="426"/>
              <w:jc w:val="both"/>
              <w:rPr>
                <w:lang w:val="en-US"/>
              </w:rPr>
            </w:pPr>
            <w:r w:rsidRPr="00D334C7">
              <w:rPr>
                <w:lang w:val="en-US"/>
              </w:rPr>
              <w:t>38. Tallinn SE General (</w:t>
            </w:r>
            <w:r w:rsidRPr="00FD32AB">
              <w:t>Эстония</w:t>
            </w:r>
            <w:r w:rsidRPr="00D334C7">
              <w:rPr>
                <w:lang w:val="en-US"/>
              </w:rPr>
              <w:t>)</w:t>
            </w:r>
          </w:p>
          <w:p w:rsidR="000F28FA" w:rsidRPr="00D334C7" w:rsidRDefault="000F28FA" w:rsidP="000F28FA">
            <w:pPr>
              <w:ind w:firstLine="426"/>
              <w:jc w:val="both"/>
              <w:rPr>
                <w:lang w:val="en-US"/>
              </w:rPr>
            </w:pPr>
            <w:r w:rsidRPr="00D334C7">
              <w:rPr>
                <w:lang w:val="en-US"/>
              </w:rPr>
              <w:t>39. FTSE/JSE Top40 (</w:t>
            </w:r>
            <w:r w:rsidRPr="00FD32AB">
              <w:t>ЮАР</w:t>
            </w:r>
            <w:r w:rsidRPr="00D334C7">
              <w:rPr>
                <w:lang w:val="en-US"/>
              </w:rPr>
              <w:t>)</w:t>
            </w:r>
          </w:p>
          <w:p w:rsidR="000F28FA" w:rsidRPr="00D334C7" w:rsidRDefault="000F28FA" w:rsidP="000F28FA">
            <w:pPr>
              <w:ind w:firstLine="426"/>
              <w:jc w:val="both"/>
              <w:rPr>
                <w:lang w:val="en-US"/>
              </w:rPr>
            </w:pPr>
            <w:r w:rsidRPr="00D334C7">
              <w:rPr>
                <w:lang w:val="en-US"/>
              </w:rPr>
              <w:t>40. KOSPI (</w:t>
            </w:r>
            <w:r w:rsidRPr="00FD32AB">
              <w:t>Южная</w:t>
            </w:r>
            <w:r w:rsidRPr="00D334C7">
              <w:rPr>
                <w:lang w:val="en-US"/>
              </w:rPr>
              <w:t xml:space="preserve"> </w:t>
            </w:r>
            <w:r w:rsidRPr="00FD32AB">
              <w:t>Корея</w:t>
            </w:r>
            <w:r w:rsidRPr="00D334C7">
              <w:rPr>
                <w:lang w:val="en-US"/>
              </w:rPr>
              <w:t>)</w:t>
            </w:r>
          </w:p>
          <w:p w:rsidR="000F28FA" w:rsidRPr="00D334C7" w:rsidRDefault="000F28FA" w:rsidP="000F28FA">
            <w:pPr>
              <w:ind w:firstLine="426"/>
              <w:jc w:val="both"/>
              <w:rPr>
                <w:lang w:val="en-US"/>
              </w:rPr>
            </w:pPr>
            <w:r w:rsidRPr="00D334C7">
              <w:rPr>
                <w:lang w:val="en-US"/>
              </w:rPr>
              <w:t>41. Nikkei 225 (</w:t>
            </w:r>
            <w:r w:rsidRPr="00FD32AB">
              <w:t>Япония</w:t>
            </w:r>
            <w:r w:rsidRPr="00D334C7">
              <w:rPr>
                <w:lang w:val="en-US"/>
              </w:rPr>
              <w:t xml:space="preserve">) </w:t>
            </w:r>
          </w:p>
          <w:p w:rsidR="000F28FA" w:rsidRPr="00FD32AB" w:rsidRDefault="000F28FA" w:rsidP="000F28FA">
            <w:pPr>
              <w:ind w:firstLine="426"/>
              <w:jc w:val="both"/>
            </w:pPr>
            <w:r w:rsidRPr="00FD32AB">
              <w:t>от стоимости чистых активов фонда в</w:t>
            </w:r>
            <w:r>
              <w:t xml:space="preserve"> </w:t>
            </w:r>
            <w:r w:rsidRPr="00FD32AB">
              <w:t>совокупности должна превышать большую из</w:t>
            </w:r>
            <w:r>
              <w:t xml:space="preserve"> </w:t>
            </w:r>
            <w:r w:rsidRPr="00FD32AB">
              <w:t>следующих величин:</w:t>
            </w:r>
          </w:p>
          <w:p w:rsidR="000F28FA" w:rsidRPr="00FD32AB" w:rsidRDefault="000F28FA" w:rsidP="000F28FA">
            <w:pPr>
              <w:ind w:firstLine="426"/>
              <w:jc w:val="both"/>
            </w:pPr>
            <w:r w:rsidRPr="00FD32AB">
              <w:t>- пять процентов;</w:t>
            </w:r>
          </w:p>
          <w:p w:rsidR="000F28FA" w:rsidRPr="00FD32AB" w:rsidRDefault="000F28FA" w:rsidP="000F28FA">
            <w:pPr>
              <w:ind w:firstLine="426"/>
              <w:jc w:val="both"/>
            </w:pPr>
            <w:r w:rsidRPr="00FD32AB">
              <w:t>- величину чистого месячного оттока</w:t>
            </w:r>
            <w:r>
              <w:t xml:space="preserve"> </w:t>
            </w:r>
            <w:r w:rsidRPr="00FD32AB">
              <w:t>инвестиционных паев, являющуюся</w:t>
            </w:r>
            <w:r>
              <w:t xml:space="preserve"> </w:t>
            </w:r>
            <w:r w:rsidRPr="00FD32AB">
              <w:t>минимальной из шести наибольших величин</w:t>
            </w:r>
            <w:r>
              <w:t xml:space="preserve"> </w:t>
            </w:r>
            <w:r w:rsidRPr="00FD32AB">
              <w:t>чистых месячных оттоков инвестиционных</w:t>
            </w:r>
            <w:r>
              <w:t xml:space="preserve"> </w:t>
            </w:r>
            <w:r w:rsidRPr="00FD32AB">
              <w:t>паев за последние 36 календарных месяцев</w:t>
            </w:r>
            <w:r>
              <w:t xml:space="preserve"> </w:t>
            </w:r>
            <w:r w:rsidRPr="00FD32AB">
              <w:t>(данное требование применяется, в случае если</w:t>
            </w:r>
            <w:r>
              <w:t xml:space="preserve"> </w:t>
            </w:r>
            <w:r w:rsidRPr="00FD32AB">
              <w:t>с даты завершения (окончания) формирования</w:t>
            </w:r>
            <w:r>
              <w:t xml:space="preserve"> </w:t>
            </w:r>
            <w:r w:rsidRPr="00FD32AB">
              <w:t>Фонда прошло 36 календарных месяцев и</w:t>
            </w:r>
            <w:r>
              <w:t xml:space="preserve"> </w:t>
            </w:r>
            <w:r w:rsidRPr="00FD32AB">
              <w:t>более). Величина чистого месячного оттока</w:t>
            </w:r>
            <w:r>
              <w:t xml:space="preserve"> </w:t>
            </w:r>
            <w:r w:rsidRPr="00FD32AB">
              <w:t>инвестиционных паев определяется как</w:t>
            </w:r>
            <w:r>
              <w:t xml:space="preserve"> </w:t>
            </w:r>
            <w:r w:rsidRPr="00FD32AB">
              <w:t>отношение в процентах разности количества</w:t>
            </w:r>
            <w:r>
              <w:t xml:space="preserve"> </w:t>
            </w:r>
            <w:r w:rsidRPr="00FD32AB">
              <w:t>инвестиционных паев, в отношении которых</w:t>
            </w:r>
            <w:r>
              <w:t xml:space="preserve"> </w:t>
            </w:r>
            <w:r w:rsidRPr="00FD32AB">
              <w:t>по лицевым счетам в реестре владельцев</w:t>
            </w:r>
            <w:r>
              <w:t xml:space="preserve"> </w:t>
            </w:r>
            <w:r w:rsidRPr="00FD32AB">
              <w:t>инвестиционных паев были в</w:t>
            </w:r>
            <w:r>
              <w:t>н</w:t>
            </w:r>
            <w:r w:rsidRPr="00FD32AB">
              <w:t>есены</w:t>
            </w:r>
            <w:r>
              <w:t xml:space="preserve"> </w:t>
            </w:r>
            <w:r w:rsidRPr="00FD32AB">
              <w:t>расходные записи в результате их погашения</w:t>
            </w:r>
            <w:r>
              <w:t xml:space="preserve"> </w:t>
            </w:r>
            <w:r w:rsidRPr="00FD32AB">
              <w:t>или обмена, и количества инвестиционных</w:t>
            </w:r>
            <w:r>
              <w:t xml:space="preserve"> </w:t>
            </w:r>
            <w:r w:rsidRPr="00FD32AB">
              <w:t>паев, в отношении которых по лицевым счетам</w:t>
            </w:r>
            <w:r>
              <w:t xml:space="preserve"> </w:t>
            </w:r>
            <w:r w:rsidRPr="00FD32AB">
              <w:t>в реестре владельцев инвестиционных паев</w:t>
            </w:r>
            <w:r>
              <w:t xml:space="preserve"> </w:t>
            </w:r>
            <w:r w:rsidRPr="00FD32AB">
              <w:t>были внесены приходные записи в результате</w:t>
            </w:r>
            <w:r>
              <w:t xml:space="preserve"> </w:t>
            </w:r>
            <w:r w:rsidRPr="00FD32AB">
              <w:t>их выдачи или обмена, за календарный месяц к</w:t>
            </w:r>
            <w:r>
              <w:t xml:space="preserve"> </w:t>
            </w:r>
            <w:r w:rsidRPr="00FD32AB">
              <w:t>общему количеству выданных</w:t>
            </w:r>
            <w:r>
              <w:t xml:space="preserve"> </w:t>
            </w:r>
            <w:r w:rsidRPr="00FD32AB">
              <w:t>инвестиционных паев по данным реестра</w:t>
            </w:r>
            <w:r>
              <w:t xml:space="preserve"> </w:t>
            </w:r>
            <w:r w:rsidRPr="00FD32AB">
              <w:t>владельцев инвестиционных паев на</w:t>
            </w:r>
            <w:r>
              <w:t xml:space="preserve"> </w:t>
            </w:r>
            <w:r w:rsidRPr="00FD32AB">
              <w:t>последний день предыдущего календарного</w:t>
            </w:r>
            <w:r>
              <w:t xml:space="preserve"> </w:t>
            </w:r>
            <w:r w:rsidRPr="00FD32AB">
              <w:t>месяца.</w:t>
            </w:r>
          </w:p>
          <w:p w:rsidR="000F28FA" w:rsidRPr="00FD32AB" w:rsidRDefault="000F28FA" w:rsidP="000F28FA">
            <w:pPr>
              <w:ind w:firstLine="426"/>
              <w:jc w:val="both"/>
            </w:pPr>
            <w:r w:rsidRPr="00FD32AB">
              <w:t>Для целей настоящего пункта</w:t>
            </w:r>
            <w:r>
              <w:t xml:space="preserve"> </w:t>
            </w:r>
            <w:r w:rsidRPr="00FD32AB">
              <w:t>учитываются денежные средства,</w:t>
            </w:r>
            <w:r>
              <w:t xml:space="preserve"> </w:t>
            </w:r>
            <w:r w:rsidRPr="00FD32AB">
              <w:t>распоряжение которыми не ограничено на</w:t>
            </w:r>
            <w:r>
              <w:t xml:space="preserve"> </w:t>
            </w:r>
            <w:r w:rsidRPr="00FD32AB">
              <w:t>основании решения органа государственной</w:t>
            </w:r>
            <w:r>
              <w:t xml:space="preserve"> </w:t>
            </w:r>
            <w:r w:rsidRPr="00FD32AB">
              <w:t>власти, на которые не установлено</w:t>
            </w:r>
            <w:r>
              <w:t xml:space="preserve"> </w:t>
            </w:r>
            <w:r w:rsidRPr="00FD32AB">
              <w:t>обременение, ценные бумаги, права по</w:t>
            </w:r>
            <w:r>
              <w:t xml:space="preserve"> </w:t>
            </w:r>
            <w:r w:rsidRPr="00FD32AB">
              <w:t>продаже или иной передаче по договору</w:t>
            </w:r>
            <w:r>
              <w:t xml:space="preserve"> </w:t>
            </w:r>
            <w:r w:rsidRPr="00FD32AB">
              <w:t>которых не ограничены.</w:t>
            </w:r>
          </w:p>
          <w:p w:rsidR="000F28FA" w:rsidRDefault="000F28FA" w:rsidP="000F28FA">
            <w:pPr>
              <w:ind w:firstLine="426"/>
              <w:jc w:val="both"/>
            </w:pPr>
            <w:r w:rsidRPr="00FD32AB">
              <w:t>Для целей настоящего пункта</w:t>
            </w:r>
            <w:r>
              <w:t xml:space="preserve"> </w:t>
            </w:r>
            <w:r w:rsidRPr="00FD32AB">
              <w:t>используется рейтинг долгосрочной</w:t>
            </w:r>
            <w:r>
              <w:t xml:space="preserve"> </w:t>
            </w:r>
            <w:r w:rsidRPr="00FD32AB">
              <w:t>кредитоспособности в той же валюте</w:t>
            </w:r>
            <w:r>
              <w:t xml:space="preserve"> </w:t>
            </w:r>
            <w:r w:rsidRPr="00FD32AB">
              <w:t>(национальной и (или) иностранной), в какой</w:t>
            </w:r>
            <w:r>
              <w:t xml:space="preserve"> </w:t>
            </w:r>
            <w:r w:rsidRPr="00FD32AB">
              <w:t>предполагается осуществление выплат по</w:t>
            </w:r>
            <w:r>
              <w:t xml:space="preserve"> </w:t>
            </w:r>
            <w:r w:rsidRPr="00FD32AB">
              <w:t>указанным ценным бумагам согласно</w:t>
            </w:r>
            <w:r>
              <w:t xml:space="preserve"> </w:t>
            </w:r>
            <w:r w:rsidRPr="00FD32AB">
              <w:t>решению о выпуске таких ценных бумаг.</w:t>
            </w:r>
          </w:p>
          <w:p w:rsidR="005F12EF" w:rsidRDefault="005F12EF" w:rsidP="000F28FA">
            <w:pPr>
              <w:ind w:firstLine="426"/>
              <w:jc w:val="both"/>
            </w:pPr>
          </w:p>
          <w:p w:rsidR="007A589E" w:rsidRPr="000F05FC" w:rsidRDefault="000F28FA" w:rsidP="000F28FA">
            <w:pPr>
              <w:ind w:firstLine="426"/>
              <w:jc w:val="both"/>
              <w:rPr>
                <w:b/>
              </w:rPr>
            </w:pPr>
            <w:r w:rsidRPr="00FD32AB">
              <w:t>Требования настоящего пункта</w:t>
            </w:r>
            <w:r>
              <w:t xml:space="preserve"> </w:t>
            </w:r>
            <w:r w:rsidRPr="00FD32AB">
              <w:t>применяются до даты возникновения</w:t>
            </w:r>
            <w:r>
              <w:t xml:space="preserve"> </w:t>
            </w:r>
            <w:r w:rsidRPr="00FD32AB">
              <w:t>основания прекращения Фонда.</w:t>
            </w:r>
          </w:p>
        </w:tc>
        <w:tc>
          <w:tcPr>
            <w:tcW w:w="4961" w:type="dxa"/>
            <w:tcBorders>
              <w:top w:val="single" w:sz="4" w:space="0" w:color="auto"/>
              <w:left w:val="single" w:sz="4" w:space="0" w:color="auto"/>
              <w:bottom w:val="single" w:sz="4" w:space="0" w:color="auto"/>
              <w:right w:val="single" w:sz="4" w:space="0" w:color="auto"/>
            </w:tcBorders>
          </w:tcPr>
          <w:p w:rsidR="007A589E" w:rsidRDefault="007A589E" w:rsidP="007A589E">
            <w:pPr>
              <w:tabs>
                <w:tab w:val="left" w:pos="9072"/>
              </w:tabs>
              <w:spacing w:line="240" w:lineRule="atLeast"/>
              <w:ind w:firstLine="469"/>
              <w:jc w:val="both"/>
            </w:pPr>
            <w:r w:rsidRPr="000F05FC">
              <w:rPr>
                <w:b/>
              </w:rPr>
              <w:t xml:space="preserve">Пункт </w:t>
            </w:r>
            <w:r>
              <w:rPr>
                <w:b/>
              </w:rPr>
              <w:t>23</w:t>
            </w:r>
            <w:r w:rsidRPr="000F05FC">
              <w:rPr>
                <w:b/>
              </w:rPr>
              <w:t>.</w:t>
            </w:r>
            <w:r w:rsidRPr="00452973">
              <w:t> </w:t>
            </w:r>
          </w:p>
          <w:p w:rsidR="000F28FA" w:rsidRPr="009F3A1F" w:rsidRDefault="000F28FA" w:rsidP="009A2E33">
            <w:pPr>
              <w:tabs>
                <w:tab w:val="left" w:pos="9072"/>
              </w:tabs>
              <w:spacing w:before="120" w:line="240" w:lineRule="atLeast"/>
              <w:ind w:firstLine="471"/>
              <w:jc w:val="both"/>
              <w:rPr>
                <w:b/>
              </w:rPr>
            </w:pPr>
            <w:bookmarkStart w:id="44" w:name="_Hlk523225731"/>
            <w:r w:rsidRPr="009F3A1F">
              <w:rPr>
                <w:b/>
              </w:rPr>
              <w:t>Структура активов Фонда:</w:t>
            </w:r>
          </w:p>
          <w:p w:rsidR="000F28FA" w:rsidRPr="009F3A1F" w:rsidRDefault="000F28FA" w:rsidP="000F28FA">
            <w:pPr>
              <w:tabs>
                <w:tab w:val="left" w:pos="9072"/>
              </w:tabs>
              <w:spacing w:line="240" w:lineRule="atLeast"/>
              <w:ind w:firstLine="469"/>
              <w:jc w:val="both"/>
              <w:rPr>
                <w:b/>
              </w:rPr>
            </w:pPr>
            <w:r w:rsidRPr="009F3A1F">
              <w:rPr>
                <w:b/>
              </w:rPr>
              <w:t xml:space="preserve">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ММВБ (Россия) и/или РТС (Россия), от стоимости чистых активов Фонда в совокупности должна превышать большую из следующих величин: </w:t>
            </w:r>
          </w:p>
          <w:p w:rsidR="000F28FA" w:rsidRPr="009F3A1F" w:rsidRDefault="000F28FA" w:rsidP="000F28FA">
            <w:pPr>
              <w:tabs>
                <w:tab w:val="left" w:pos="9072"/>
              </w:tabs>
              <w:spacing w:line="240" w:lineRule="atLeast"/>
              <w:ind w:firstLine="469"/>
              <w:jc w:val="both"/>
              <w:rPr>
                <w:b/>
              </w:rPr>
            </w:pPr>
            <w:r w:rsidRPr="009F3A1F">
              <w:rPr>
                <w:b/>
              </w:rPr>
              <w:t xml:space="preserve">- пять процентов; </w:t>
            </w:r>
          </w:p>
          <w:p w:rsidR="000F28FA" w:rsidRPr="009F3A1F" w:rsidRDefault="000F28FA" w:rsidP="000F28FA">
            <w:pPr>
              <w:tabs>
                <w:tab w:val="left" w:pos="9072"/>
              </w:tabs>
              <w:spacing w:line="240" w:lineRule="atLeast"/>
              <w:ind w:firstLine="469"/>
              <w:jc w:val="both"/>
              <w:rPr>
                <w:b/>
              </w:rPr>
            </w:pPr>
            <w:r w:rsidRPr="009F3A1F">
              <w:rPr>
                <w:b/>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0F28FA" w:rsidRPr="009F3A1F" w:rsidRDefault="000F28FA" w:rsidP="000F28FA">
            <w:pPr>
              <w:tabs>
                <w:tab w:val="left" w:pos="9072"/>
              </w:tabs>
              <w:spacing w:line="240" w:lineRule="atLeast"/>
              <w:ind w:firstLine="469"/>
              <w:jc w:val="both"/>
              <w:rPr>
                <w:b/>
              </w:rPr>
            </w:pPr>
            <w:r w:rsidRPr="009F3A1F">
              <w:rPr>
                <w:b/>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0F28FA" w:rsidRPr="009F3A1F" w:rsidRDefault="000F28FA" w:rsidP="000F28FA">
            <w:pPr>
              <w:tabs>
                <w:tab w:val="left" w:pos="9072"/>
              </w:tabs>
              <w:spacing w:line="240" w:lineRule="atLeast"/>
              <w:ind w:firstLine="469"/>
              <w:jc w:val="both"/>
              <w:rPr>
                <w:b/>
              </w:rPr>
            </w:pPr>
            <w:r w:rsidRPr="009F3A1F">
              <w:rPr>
                <w:b/>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0F28FA" w:rsidRPr="009F3A1F" w:rsidRDefault="000F28FA" w:rsidP="000F28FA">
            <w:pPr>
              <w:tabs>
                <w:tab w:val="left" w:pos="9072"/>
              </w:tabs>
              <w:spacing w:line="240" w:lineRule="atLeast"/>
              <w:ind w:firstLine="469"/>
              <w:jc w:val="both"/>
              <w:rPr>
                <w:b/>
              </w:rPr>
            </w:pPr>
            <w:r w:rsidRPr="009F3A1F">
              <w:rPr>
                <w:b/>
              </w:rPr>
              <w:t xml:space="preserve">2) Оценочная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0F28FA" w:rsidRPr="009F3A1F" w:rsidRDefault="000F28FA" w:rsidP="000F28FA">
            <w:pPr>
              <w:tabs>
                <w:tab w:val="left" w:pos="9072"/>
              </w:tabs>
              <w:spacing w:line="240" w:lineRule="atLeast"/>
              <w:ind w:firstLine="469"/>
              <w:jc w:val="both"/>
              <w:rPr>
                <w:b/>
              </w:rPr>
            </w:pPr>
            <w:r w:rsidRPr="009F3A1F">
              <w:rPr>
                <w:b/>
              </w:rPr>
              <w:t>Оценочная стоимость ценных бумаг одного субъекта Российской Федерации, муниципального образования не должна превышать 15 процентов стоимости активов Фонда.</w:t>
            </w:r>
          </w:p>
          <w:p w:rsidR="000F28FA" w:rsidRPr="009F3A1F" w:rsidRDefault="000F28FA" w:rsidP="000F28FA">
            <w:pPr>
              <w:tabs>
                <w:tab w:val="left" w:pos="9072"/>
              </w:tabs>
              <w:spacing w:line="240" w:lineRule="atLeast"/>
              <w:ind w:firstLine="469"/>
              <w:jc w:val="both"/>
              <w:rPr>
                <w:b/>
              </w:rPr>
            </w:pPr>
            <w:r w:rsidRPr="009F3A1F">
              <w:rPr>
                <w:b/>
              </w:rPr>
              <w:t xml:space="preserve">Для целей расчета ограничения, указанного в абзаце первом 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0F28FA" w:rsidRPr="009F3A1F" w:rsidRDefault="000F28FA" w:rsidP="000F28FA">
            <w:pPr>
              <w:tabs>
                <w:tab w:val="left" w:pos="9072"/>
              </w:tabs>
              <w:spacing w:line="240" w:lineRule="atLeast"/>
              <w:ind w:firstLine="469"/>
              <w:jc w:val="both"/>
              <w:rPr>
                <w:b/>
              </w:rPr>
            </w:pPr>
            <w:r w:rsidRPr="009F3A1F">
              <w:rPr>
                <w:b/>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7A589E" w:rsidRPr="000F05FC" w:rsidRDefault="000F28FA" w:rsidP="000F28FA">
            <w:pPr>
              <w:tabs>
                <w:tab w:val="left" w:pos="9072"/>
              </w:tabs>
              <w:spacing w:line="240" w:lineRule="atLeast"/>
              <w:ind w:firstLine="469"/>
              <w:jc w:val="both"/>
              <w:rPr>
                <w:b/>
              </w:rPr>
            </w:pPr>
            <w:r w:rsidRPr="009F3A1F">
              <w:rPr>
                <w:b/>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bookmarkEnd w:id="44"/>
          </w:p>
        </w:tc>
      </w:tr>
      <w:bookmarkEnd w:id="42"/>
    </w:tbl>
    <w:p w:rsidR="00B6383A" w:rsidRPr="00F6640C" w:rsidRDefault="00B6383A" w:rsidP="00F735E7">
      <w:pPr>
        <w:rPr>
          <w:sz w:val="32"/>
          <w:szCs w:val="32"/>
        </w:rPr>
      </w:pPr>
    </w:p>
    <w:p w:rsidR="00B06FA6" w:rsidRPr="00F6640C" w:rsidRDefault="00B06FA6" w:rsidP="00F735E7">
      <w:pPr>
        <w:rPr>
          <w:sz w:val="32"/>
          <w:szCs w:val="32"/>
        </w:rPr>
      </w:pPr>
    </w:p>
    <w:p w:rsidR="00F735E7" w:rsidRDefault="00F735E7" w:rsidP="00641A20">
      <w:pPr>
        <w:ind w:firstLine="284"/>
      </w:pPr>
      <w:r>
        <w:t>Генеральный директор</w:t>
      </w:r>
    </w:p>
    <w:p w:rsidR="00F735E7" w:rsidRDefault="005C7B5C" w:rsidP="00641A20">
      <w:pPr>
        <w:ind w:firstLine="284"/>
      </w:pPr>
      <w:r>
        <w:t>АО «Петербург – Инвест»</w:t>
      </w:r>
      <w:r w:rsidR="00F735E7">
        <w:tab/>
      </w:r>
      <w:r w:rsidR="00F735E7">
        <w:tab/>
      </w:r>
      <w:r w:rsidR="00EE38FB">
        <w:t xml:space="preserve">                                     </w:t>
      </w:r>
      <w:r w:rsidR="00F735E7">
        <w:t>_____</w:t>
      </w:r>
      <w:r w:rsidR="00EE38FB">
        <w:t>___</w:t>
      </w:r>
      <w:r w:rsidR="00F735E7">
        <w:t>________/</w:t>
      </w:r>
      <w:r>
        <w:t>Павлов</w:t>
      </w:r>
      <w:r w:rsidR="00F735E7">
        <w:t xml:space="preserve"> </w:t>
      </w:r>
      <w:r w:rsidR="00355B95">
        <w:t>А.</w:t>
      </w:r>
      <w:r>
        <w:t>М</w:t>
      </w:r>
      <w:r w:rsidR="00F735E7">
        <w:t>./</w:t>
      </w:r>
    </w:p>
    <w:p w:rsidR="001C7FE6" w:rsidRDefault="00F735E7">
      <w:r>
        <w:tab/>
      </w:r>
      <w:r>
        <w:tab/>
      </w:r>
      <w:r>
        <w:tab/>
      </w:r>
      <w:r>
        <w:tab/>
      </w:r>
      <w:r>
        <w:tab/>
      </w:r>
      <w:r>
        <w:tab/>
      </w:r>
      <w:r>
        <w:tab/>
      </w:r>
      <w:r>
        <w:tab/>
      </w:r>
      <w:r>
        <w:tab/>
      </w:r>
      <w:r>
        <w:tab/>
      </w:r>
      <w:r w:rsidR="00EE38FB">
        <w:t xml:space="preserve">               </w:t>
      </w:r>
      <w:r w:rsidR="00D9673D" w:rsidRPr="0069647C">
        <w:t xml:space="preserve">     </w:t>
      </w:r>
      <w:r w:rsidR="00EE38FB">
        <w:t xml:space="preserve">                          </w:t>
      </w:r>
      <w:r w:rsidRPr="00EE38FB">
        <w:rPr>
          <w:sz w:val="20"/>
          <w:szCs w:val="20"/>
        </w:rPr>
        <w:t>М.П.</w:t>
      </w:r>
    </w:p>
    <w:sectPr w:rsidR="001C7FE6" w:rsidSect="00FF4C45">
      <w:footerReference w:type="default" r:id="rId11"/>
      <w:pgSz w:w="11906" w:h="16838"/>
      <w:pgMar w:top="709" w:right="70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25" w:rsidRDefault="00AB2125">
      <w:r>
        <w:separator/>
      </w:r>
    </w:p>
  </w:endnote>
  <w:endnote w:type="continuationSeparator" w:id="0">
    <w:p w:rsidR="00AB2125" w:rsidRDefault="00AB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3" w:rsidRDefault="00563741" w:rsidP="002026D9">
    <w:pPr>
      <w:pStyle w:val="a7"/>
      <w:framePr w:wrap="auto" w:vAnchor="text" w:hAnchor="margin" w:xAlign="right" w:y="1"/>
      <w:rPr>
        <w:rStyle w:val="a9"/>
      </w:rPr>
    </w:pPr>
    <w:r>
      <w:rPr>
        <w:rStyle w:val="a9"/>
      </w:rPr>
      <w:fldChar w:fldCharType="begin"/>
    </w:r>
    <w:r w:rsidR="00B51923">
      <w:rPr>
        <w:rStyle w:val="a9"/>
      </w:rPr>
      <w:instrText xml:space="preserve">PAGE  </w:instrText>
    </w:r>
    <w:r>
      <w:rPr>
        <w:rStyle w:val="a9"/>
      </w:rPr>
      <w:fldChar w:fldCharType="separate"/>
    </w:r>
    <w:r w:rsidR="00EF42C8">
      <w:rPr>
        <w:rStyle w:val="a9"/>
        <w:noProof/>
      </w:rPr>
      <w:t>2</w:t>
    </w:r>
    <w:r>
      <w:rPr>
        <w:rStyle w:val="a9"/>
      </w:rPr>
      <w:fldChar w:fldCharType="end"/>
    </w:r>
  </w:p>
  <w:p w:rsidR="00B51923" w:rsidRDefault="00B51923" w:rsidP="002026D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25" w:rsidRDefault="00AB2125">
      <w:r>
        <w:separator/>
      </w:r>
    </w:p>
  </w:footnote>
  <w:footnote w:type="continuationSeparator" w:id="0">
    <w:p w:rsidR="00AB2125" w:rsidRDefault="00AB2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4D2AC3"/>
    <w:multiLevelType w:val="hybridMultilevel"/>
    <w:tmpl w:val="B380C2C6"/>
    <w:lvl w:ilvl="0" w:tplc="084E0388">
      <w:start w:val="1"/>
      <w:numFmt w:val="decimal"/>
      <w:lvlText w:val="%1)"/>
      <w:lvlJc w:val="left"/>
      <w:pPr>
        <w:ind w:left="1009" w:hanging="540"/>
      </w:pPr>
      <w:rPr>
        <w:rFonts w:cs="Times New Roman" w:hint="default"/>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2">
    <w:nsid w:val="08A02218"/>
    <w:multiLevelType w:val="singleLevel"/>
    <w:tmpl w:val="04190001"/>
    <w:lvl w:ilvl="0">
      <w:start w:val="1"/>
      <w:numFmt w:val="bullet"/>
      <w:lvlText w:val=""/>
      <w:lvlJc w:val="left"/>
      <w:pPr>
        <w:ind w:left="720" w:hanging="360"/>
      </w:pPr>
      <w:rPr>
        <w:rFonts w:ascii="Symbol" w:hAnsi="Symbol" w:hint="default"/>
      </w:rPr>
    </w:lvl>
  </w:abstractNum>
  <w:abstractNum w:abstractNumId="3">
    <w:nsid w:val="183261AB"/>
    <w:multiLevelType w:val="multilevel"/>
    <w:tmpl w:val="5B5E9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D5D3ACC"/>
    <w:multiLevelType w:val="hybridMultilevel"/>
    <w:tmpl w:val="DCB0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2C98773A"/>
    <w:multiLevelType w:val="hybridMultilevel"/>
    <w:tmpl w:val="C9D2082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AF81C2D"/>
    <w:multiLevelType w:val="hybridMultilevel"/>
    <w:tmpl w:val="7B32B56C"/>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6119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C84FBF"/>
    <w:multiLevelType w:val="hybridMultilevel"/>
    <w:tmpl w:val="56C0A08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4694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6"/>
  </w:num>
  <w:num w:numId="4">
    <w:abstractNumId w:val="14"/>
  </w:num>
  <w:num w:numId="5">
    <w:abstractNumId w:val="18"/>
  </w:num>
  <w:num w:numId="6">
    <w:abstractNumId w:val="12"/>
  </w:num>
  <w:num w:numId="7">
    <w:abstractNumId w:val="0"/>
    <w:lvlOverride w:ilvl="0">
      <w:lvl w:ilvl="0">
        <w:numFmt w:val="bullet"/>
        <w:lvlText w:val="-"/>
        <w:legacy w:legacy="1" w:legacySpace="0" w:legacyIndent="660"/>
        <w:lvlJc w:val="left"/>
        <w:pPr>
          <w:ind w:left="960" w:hanging="660"/>
        </w:pPr>
      </w:lvl>
    </w:lvlOverride>
  </w:num>
  <w:num w:numId="8">
    <w:abstractNumId w:val="3"/>
  </w:num>
  <w:num w:numId="9">
    <w:abstractNumId w:val="15"/>
  </w:num>
  <w:num w:numId="10">
    <w:abstractNumId w:val="19"/>
  </w:num>
  <w:num w:numId="11">
    <w:abstractNumId w:val="17"/>
  </w:num>
  <w:num w:numId="12">
    <w:abstractNumId w:val="16"/>
  </w:num>
  <w:num w:numId="13">
    <w:abstractNumId w:val="7"/>
  </w:num>
  <w:num w:numId="14">
    <w:abstractNumId w:val="10"/>
  </w:num>
  <w:num w:numId="15">
    <w:abstractNumId w:val="20"/>
  </w:num>
  <w:num w:numId="16">
    <w:abstractNumId w:val="4"/>
  </w:num>
  <w:num w:numId="17">
    <w:abstractNumId w:val="21"/>
  </w:num>
  <w:num w:numId="18">
    <w:abstractNumId w:val="22"/>
  </w:num>
  <w:num w:numId="19">
    <w:abstractNumId w:val="2"/>
  </w:num>
  <w:num w:numId="20">
    <w:abstractNumId w:val="5"/>
  </w:num>
  <w:num w:numId="21">
    <w:abstractNumId w:val="9"/>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autoHyphenation/>
  <w:hyphenationZone w:val="357"/>
  <w:doNotHyphenateCaps/>
  <w:characterSpacingControl w:val="doNotCompress"/>
  <w:doNotValidateAgainstSchema/>
  <w:doNotDemarcateInvalidXml/>
  <w:footnotePr>
    <w:footnote w:id="-1"/>
    <w:footnote w:id="0"/>
  </w:footnotePr>
  <w:endnotePr>
    <w:endnote w:id="-1"/>
    <w:endnote w:id="0"/>
  </w:endnotePr>
  <w:compat/>
  <w:rsids>
    <w:rsidRoot w:val="00EE1D2F"/>
    <w:rsid w:val="00001026"/>
    <w:rsid w:val="00001A20"/>
    <w:rsid w:val="00003217"/>
    <w:rsid w:val="0001339D"/>
    <w:rsid w:val="00017EE4"/>
    <w:rsid w:val="000247C8"/>
    <w:rsid w:val="00026BE3"/>
    <w:rsid w:val="00043C26"/>
    <w:rsid w:val="00045499"/>
    <w:rsid w:val="00045DB3"/>
    <w:rsid w:val="00046C0A"/>
    <w:rsid w:val="0004782B"/>
    <w:rsid w:val="000510D3"/>
    <w:rsid w:val="000719DF"/>
    <w:rsid w:val="0007333D"/>
    <w:rsid w:val="00073731"/>
    <w:rsid w:val="0007418C"/>
    <w:rsid w:val="00083541"/>
    <w:rsid w:val="0009205F"/>
    <w:rsid w:val="000940F2"/>
    <w:rsid w:val="000B1740"/>
    <w:rsid w:val="000B2B10"/>
    <w:rsid w:val="000C42DB"/>
    <w:rsid w:val="000C643D"/>
    <w:rsid w:val="000E13AD"/>
    <w:rsid w:val="000E52D9"/>
    <w:rsid w:val="000E6A43"/>
    <w:rsid w:val="000F05FC"/>
    <w:rsid w:val="000F28FA"/>
    <w:rsid w:val="00111BED"/>
    <w:rsid w:val="0011333F"/>
    <w:rsid w:val="00115DB2"/>
    <w:rsid w:val="0011792B"/>
    <w:rsid w:val="00121D11"/>
    <w:rsid w:val="00122D00"/>
    <w:rsid w:val="001236DA"/>
    <w:rsid w:val="00132569"/>
    <w:rsid w:val="00132C9B"/>
    <w:rsid w:val="00141F86"/>
    <w:rsid w:val="00143256"/>
    <w:rsid w:val="00143E8C"/>
    <w:rsid w:val="001471A1"/>
    <w:rsid w:val="0015192C"/>
    <w:rsid w:val="00164A05"/>
    <w:rsid w:val="00165FDA"/>
    <w:rsid w:val="0017209A"/>
    <w:rsid w:val="0017395C"/>
    <w:rsid w:val="00174E9A"/>
    <w:rsid w:val="001920FC"/>
    <w:rsid w:val="00193480"/>
    <w:rsid w:val="00194959"/>
    <w:rsid w:val="001A23A6"/>
    <w:rsid w:val="001A7044"/>
    <w:rsid w:val="001A7777"/>
    <w:rsid w:val="001C4E47"/>
    <w:rsid w:val="001C7FE6"/>
    <w:rsid w:val="001D2F42"/>
    <w:rsid w:val="001D36E8"/>
    <w:rsid w:val="001D7383"/>
    <w:rsid w:val="001D73A9"/>
    <w:rsid w:val="001E3778"/>
    <w:rsid w:val="001E5CAC"/>
    <w:rsid w:val="001E7DE0"/>
    <w:rsid w:val="001F5064"/>
    <w:rsid w:val="001F5969"/>
    <w:rsid w:val="001F749C"/>
    <w:rsid w:val="001F78D2"/>
    <w:rsid w:val="002010D4"/>
    <w:rsid w:val="002026D9"/>
    <w:rsid w:val="00204F22"/>
    <w:rsid w:val="002122A4"/>
    <w:rsid w:val="002124C1"/>
    <w:rsid w:val="00221DE8"/>
    <w:rsid w:val="00222C7C"/>
    <w:rsid w:val="0023029D"/>
    <w:rsid w:val="00240368"/>
    <w:rsid w:val="0025247C"/>
    <w:rsid w:val="00256B6F"/>
    <w:rsid w:val="00256C7B"/>
    <w:rsid w:val="00256C94"/>
    <w:rsid w:val="00257585"/>
    <w:rsid w:val="00275916"/>
    <w:rsid w:val="00277039"/>
    <w:rsid w:val="00282A7B"/>
    <w:rsid w:val="00292F39"/>
    <w:rsid w:val="0029361B"/>
    <w:rsid w:val="002A11CE"/>
    <w:rsid w:val="002A1C68"/>
    <w:rsid w:val="002A44E2"/>
    <w:rsid w:val="002B21D2"/>
    <w:rsid w:val="002B2942"/>
    <w:rsid w:val="002B3878"/>
    <w:rsid w:val="002C1A27"/>
    <w:rsid w:val="002C22B7"/>
    <w:rsid w:val="002C4C2E"/>
    <w:rsid w:val="002D7B00"/>
    <w:rsid w:val="002E2682"/>
    <w:rsid w:val="002E61D5"/>
    <w:rsid w:val="002F380D"/>
    <w:rsid w:val="0030006C"/>
    <w:rsid w:val="003002B4"/>
    <w:rsid w:val="00304753"/>
    <w:rsid w:val="00306084"/>
    <w:rsid w:val="0031755D"/>
    <w:rsid w:val="00331124"/>
    <w:rsid w:val="00336CFB"/>
    <w:rsid w:val="003416A1"/>
    <w:rsid w:val="00344256"/>
    <w:rsid w:val="00350124"/>
    <w:rsid w:val="0035407C"/>
    <w:rsid w:val="00355B95"/>
    <w:rsid w:val="00355D49"/>
    <w:rsid w:val="00356CBC"/>
    <w:rsid w:val="00360D31"/>
    <w:rsid w:val="0036356B"/>
    <w:rsid w:val="00364105"/>
    <w:rsid w:val="0036648C"/>
    <w:rsid w:val="003664B7"/>
    <w:rsid w:val="00367945"/>
    <w:rsid w:val="0038743B"/>
    <w:rsid w:val="00394CD9"/>
    <w:rsid w:val="003957D4"/>
    <w:rsid w:val="003A7E23"/>
    <w:rsid w:val="003B59ED"/>
    <w:rsid w:val="003B6351"/>
    <w:rsid w:val="003C5047"/>
    <w:rsid w:val="003C572D"/>
    <w:rsid w:val="003D5F09"/>
    <w:rsid w:val="003D6535"/>
    <w:rsid w:val="003F22C4"/>
    <w:rsid w:val="003F432B"/>
    <w:rsid w:val="003F4426"/>
    <w:rsid w:val="00402F5A"/>
    <w:rsid w:val="0040698E"/>
    <w:rsid w:val="00432BD6"/>
    <w:rsid w:val="00436B41"/>
    <w:rsid w:val="00437CFB"/>
    <w:rsid w:val="00441E97"/>
    <w:rsid w:val="00442C89"/>
    <w:rsid w:val="004445BB"/>
    <w:rsid w:val="00450B35"/>
    <w:rsid w:val="00451261"/>
    <w:rsid w:val="00452973"/>
    <w:rsid w:val="004540CB"/>
    <w:rsid w:val="004605A7"/>
    <w:rsid w:val="004636E9"/>
    <w:rsid w:val="00464992"/>
    <w:rsid w:val="00470DDD"/>
    <w:rsid w:val="0047211B"/>
    <w:rsid w:val="00475383"/>
    <w:rsid w:val="00482E9E"/>
    <w:rsid w:val="004872D5"/>
    <w:rsid w:val="00490B4F"/>
    <w:rsid w:val="00491A87"/>
    <w:rsid w:val="004B1DFF"/>
    <w:rsid w:val="004B4707"/>
    <w:rsid w:val="004B7D39"/>
    <w:rsid w:val="004C0C75"/>
    <w:rsid w:val="004C1DFB"/>
    <w:rsid w:val="004D2E07"/>
    <w:rsid w:val="004D4085"/>
    <w:rsid w:val="004D62EB"/>
    <w:rsid w:val="004E19DF"/>
    <w:rsid w:val="004E1D98"/>
    <w:rsid w:val="004E382B"/>
    <w:rsid w:val="004F3C58"/>
    <w:rsid w:val="004F5273"/>
    <w:rsid w:val="004F5645"/>
    <w:rsid w:val="00503824"/>
    <w:rsid w:val="005104E6"/>
    <w:rsid w:val="005118C6"/>
    <w:rsid w:val="005175E6"/>
    <w:rsid w:val="00520AD0"/>
    <w:rsid w:val="00525C18"/>
    <w:rsid w:val="00526001"/>
    <w:rsid w:val="0052689A"/>
    <w:rsid w:val="0053020D"/>
    <w:rsid w:val="0054361F"/>
    <w:rsid w:val="00550FF1"/>
    <w:rsid w:val="00555671"/>
    <w:rsid w:val="00556D0F"/>
    <w:rsid w:val="00557F75"/>
    <w:rsid w:val="00563741"/>
    <w:rsid w:val="00567D9D"/>
    <w:rsid w:val="00576D8C"/>
    <w:rsid w:val="005778EE"/>
    <w:rsid w:val="00580CC5"/>
    <w:rsid w:val="0059136C"/>
    <w:rsid w:val="0059510A"/>
    <w:rsid w:val="0059582A"/>
    <w:rsid w:val="005A464E"/>
    <w:rsid w:val="005B0C90"/>
    <w:rsid w:val="005B13FF"/>
    <w:rsid w:val="005B2CE5"/>
    <w:rsid w:val="005B6641"/>
    <w:rsid w:val="005C5562"/>
    <w:rsid w:val="005C6DB1"/>
    <w:rsid w:val="005C7B5C"/>
    <w:rsid w:val="005D0494"/>
    <w:rsid w:val="005D67BA"/>
    <w:rsid w:val="005D6E3F"/>
    <w:rsid w:val="005D74AC"/>
    <w:rsid w:val="005F12EF"/>
    <w:rsid w:val="005F1E04"/>
    <w:rsid w:val="005F3352"/>
    <w:rsid w:val="005F43E0"/>
    <w:rsid w:val="005F5F65"/>
    <w:rsid w:val="006024C7"/>
    <w:rsid w:val="006052A2"/>
    <w:rsid w:val="00607D41"/>
    <w:rsid w:val="00607DFB"/>
    <w:rsid w:val="006147F1"/>
    <w:rsid w:val="00621932"/>
    <w:rsid w:val="00632073"/>
    <w:rsid w:val="00637A1E"/>
    <w:rsid w:val="00640209"/>
    <w:rsid w:val="00640358"/>
    <w:rsid w:val="00641340"/>
    <w:rsid w:val="00641A20"/>
    <w:rsid w:val="00641B3F"/>
    <w:rsid w:val="006420BB"/>
    <w:rsid w:val="0064569A"/>
    <w:rsid w:val="00652B98"/>
    <w:rsid w:val="006622D1"/>
    <w:rsid w:val="00662600"/>
    <w:rsid w:val="00664C0C"/>
    <w:rsid w:val="006653BA"/>
    <w:rsid w:val="00666719"/>
    <w:rsid w:val="0068035F"/>
    <w:rsid w:val="00690687"/>
    <w:rsid w:val="00691CB4"/>
    <w:rsid w:val="0069331A"/>
    <w:rsid w:val="0069647C"/>
    <w:rsid w:val="006A1DD1"/>
    <w:rsid w:val="006A2C53"/>
    <w:rsid w:val="006A7749"/>
    <w:rsid w:val="006B2E1B"/>
    <w:rsid w:val="006B5E9B"/>
    <w:rsid w:val="006E7087"/>
    <w:rsid w:val="006F6183"/>
    <w:rsid w:val="006F7CBA"/>
    <w:rsid w:val="00700803"/>
    <w:rsid w:val="00702E52"/>
    <w:rsid w:val="00704C3E"/>
    <w:rsid w:val="007076DE"/>
    <w:rsid w:val="00710DCF"/>
    <w:rsid w:val="00722DB9"/>
    <w:rsid w:val="00732C14"/>
    <w:rsid w:val="007364CF"/>
    <w:rsid w:val="00743C3A"/>
    <w:rsid w:val="007479A4"/>
    <w:rsid w:val="00747F0F"/>
    <w:rsid w:val="00751832"/>
    <w:rsid w:val="00761396"/>
    <w:rsid w:val="007637E3"/>
    <w:rsid w:val="0076454F"/>
    <w:rsid w:val="00765490"/>
    <w:rsid w:val="00770904"/>
    <w:rsid w:val="00772B28"/>
    <w:rsid w:val="00775818"/>
    <w:rsid w:val="007775C1"/>
    <w:rsid w:val="00781B0A"/>
    <w:rsid w:val="007825D9"/>
    <w:rsid w:val="0078466F"/>
    <w:rsid w:val="00793E05"/>
    <w:rsid w:val="00797775"/>
    <w:rsid w:val="007A2D88"/>
    <w:rsid w:val="007A330E"/>
    <w:rsid w:val="007A589E"/>
    <w:rsid w:val="007B0C21"/>
    <w:rsid w:val="007B4031"/>
    <w:rsid w:val="007B5244"/>
    <w:rsid w:val="007B7C36"/>
    <w:rsid w:val="007D6369"/>
    <w:rsid w:val="007D7E12"/>
    <w:rsid w:val="007E2E0E"/>
    <w:rsid w:val="007E42AB"/>
    <w:rsid w:val="007E5527"/>
    <w:rsid w:val="007E670D"/>
    <w:rsid w:val="007F0951"/>
    <w:rsid w:val="007F1FFE"/>
    <w:rsid w:val="007F3DC1"/>
    <w:rsid w:val="007F5D29"/>
    <w:rsid w:val="007F6E34"/>
    <w:rsid w:val="007F789C"/>
    <w:rsid w:val="00802C68"/>
    <w:rsid w:val="00804ADB"/>
    <w:rsid w:val="00810177"/>
    <w:rsid w:val="00812166"/>
    <w:rsid w:val="00813A93"/>
    <w:rsid w:val="00814382"/>
    <w:rsid w:val="00816361"/>
    <w:rsid w:val="00824797"/>
    <w:rsid w:val="008301EC"/>
    <w:rsid w:val="008311F5"/>
    <w:rsid w:val="00843DFB"/>
    <w:rsid w:val="008472B8"/>
    <w:rsid w:val="008517B1"/>
    <w:rsid w:val="008673D6"/>
    <w:rsid w:val="00874A6A"/>
    <w:rsid w:val="00881E1F"/>
    <w:rsid w:val="008A60F1"/>
    <w:rsid w:val="008A77FE"/>
    <w:rsid w:val="008A7EA2"/>
    <w:rsid w:val="008B408E"/>
    <w:rsid w:val="008B42AD"/>
    <w:rsid w:val="008B4C87"/>
    <w:rsid w:val="008B5D1A"/>
    <w:rsid w:val="008C2174"/>
    <w:rsid w:val="008C2E84"/>
    <w:rsid w:val="008E1A52"/>
    <w:rsid w:val="008E2C25"/>
    <w:rsid w:val="008E3257"/>
    <w:rsid w:val="008F6DA2"/>
    <w:rsid w:val="00902F85"/>
    <w:rsid w:val="00905091"/>
    <w:rsid w:val="0090721D"/>
    <w:rsid w:val="00912DAB"/>
    <w:rsid w:val="00914B88"/>
    <w:rsid w:val="00915340"/>
    <w:rsid w:val="009318A9"/>
    <w:rsid w:val="00935241"/>
    <w:rsid w:val="00936B61"/>
    <w:rsid w:val="0094102E"/>
    <w:rsid w:val="00947105"/>
    <w:rsid w:val="009474F8"/>
    <w:rsid w:val="00947A76"/>
    <w:rsid w:val="00951093"/>
    <w:rsid w:val="009568A2"/>
    <w:rsid w:val="00963224"/>
    <w:rsid w:val="00963386"/>
    <w:rsid w:val="0097061E"/>
    <w:rsid w:val="00975B42"/>
    <w:rsid w:val="00977780"/>
    <w:rsid w:val="00982B1F"/>
    <w:rsid w:val="009878E1"/>
    <w:rsid w:val="009942D5"/>
    <w:rsid w:val="00996E8D"/>
    <w:rsid w:val="009A2E33"/>
    <w:rsid w:val="009A7236"/>
    <w:rsid w:val="009B2B04"/>
    <w:rsid w:val="009B556A"/>
    <w:rsid w:val="009B7CCB"/>
    <w:rsid w:val="009C1224"/>
    <w:rsid w:val="009D0E7A"/>
    <w:rsid w:val="009D660D"/>
    <w:rsid w:val="009D6B96"/>
    <w:rsid w:val="009E37C6"/>
    <w:rsid w:val="009E656D"/>
    <w:rsid w:val="009E743C"/>
    <w:rsid w:val="009E7DCE"/>
    <w:rsid w:val="009F2261"/>
    <w:rsid w:val="009F3A1F"/>
    <w:rsid w:val="009F3E2B"/>
    <w:rsid w:val="009F6CEC"/>
    <w:rsid w:val="00A01342"/>
    <w:rsid w:val="00A04BD4"/>
    <w:rsid w:val="00A06C8E"/>
    <w:rsid w:val="00A16D0A"/>
    <w:rsid w:val="00A250D4"/>
    <w:rsid w:val="00A25162"/>
    <w:rsid w:val="00A30306"/>
    <w:rsid w:val="00A30E52"/>
    <w:rsid w:val="00A354FD"/>
    <w:rsid w:val="00A36078"/>
    <w:rsid w:val="00A53C12"/>
    <w:rsid w:val="00A53C47"/>
    <w:rsid w:val="00A573D5"/>
    <w:rsid w:val="00A61932"/>
    <w:rsid w:val="00A62DDC"/>
    <w:rsid w:val="00A66052"/>
    <w:rsid w:val="00A678D0"/>
    <w:rsid w:val="00A70090"/>
    <w:rsid w:val="00A7498A"/>
    <w:rsid w:val="00A75C15"/>
    <w:rsid w:val="00A77CBC"/>
    <w:rsid w:val="00A8132B"/>
    <w:rsid w:val="00A82FAA"/>
    <w:rsid w:val="00A84E58"/>
    <w:rsid w:val="00A91B7E"/>
    <w:rsid w:val="00AB2125"/>
    <w:rsid w:val="00AB263D"/>
    <w:rsid w:val="00AB34A9"/>
    <w:rsid w:val="00AC1F51"/>
    <w:rsid w:val="00AC6B28"/>
    <w:rsid w:val="00AE3D59"/>
    <w:rsid w:val="00AE476A"/>
    <w:rsid w:val="00AE638A"/>
    <w:rsid w:val="00AF0659"/>
    <w:rsid w:val="00AF6200"/>
    <w:rsid w:val="00AF6E2B"/>
    <w:rsid w:val="00B0032D"/>
    <w:rsid w:val="00B01079"/>
    <w:rsid w:val="00B06FA6"/>
    <w:rsid w:val="00B15778"/>
    <w:rsid w:val="00B25651"/>
    <w:rsid w:val="00B26B23"/>
    <w:rsid w:val="00B31369"/>
    <w:rsid w:val="00B317D5"/>
    <w:rsid w:val="00B3251B"/>
    <w:rsid w:val="00B32D83"/>
    <w:rsid w:val="00B34794"/>
    <w:rsid w:val="00B462E9"/>
    <w:rsid w:val="00B469A0"/>
    <w:rsid w:val="00B470AB"/>
    <w:rsid w:val="00B47631"/>
    <w:rsid w:val="00B51923"/>
    <w:rsid w:val="00B5335B"/>
    <w:rsid w:val="00B6383A"/>
    <w:rsid w:val="00B74196"/>
    <w:rsid w:val="00B80284"/>
    <w:rsid w:val="00B8530A"/>
    <w:rsid w:val="00B93ADC"/>
    <w:rsid w:val="00B951BA"/>
    <w:rsid w:val="00B972C7"/>
    <w:rsid w:val="00BA0BCB"/>
    <w:rsid w:val="00BA1FEE"/>
    <w:rsid w:val="00BA214E"/>
    <w:rsid w:val="00BA596D"/>
    <w:rsid w:val="00BA7ECA"/>
    <w:rsid w:val="00BB3972"/>
    <w:rsid w:val="00BB526C"/>
    <w:rsid w:val="00BB7013"/>
    <w:rsid w:val="00BC273C"/>
    <w:rsid w:val="00BC6040"/>
    <w:rsid w:val="00BD6876"/>
    <w:rsid w:val="00BF3A8D"/>
    <w:rsid w:val="00BF5327"/>
    <w:rsid w:val="00BF7221"/>
    <w:rsid w:val="00C00930"/>
    <w:rsid w:val="00C00C00"/>
    <w:rsid w:val="00C12223"/>
    <w:rsid w:val="00C16D31"/>
    <w:rsid w:val="00C20BDD"/>
    <w:rsid w:val="00C2587B"/>
    <w:rsid w:val="00C27488"/>
    <w:rsid w:val="00C456C3"/>
    <w:rsid w:val="00C467D3"/>
    <w:rsid w:val="00C51055"/>
    <w:rsid w:val="00C540AD"/>
    <w:rsid w:val="00C542D7"/>
    <w:rsid w:val="00C67C4F"/>
    <w:rsid w:val="00C67CC3"/>
    <w:rsid w:val="00C70498"/>
    <w:rsid w:val="00C71F30"/>
    <w:rsid w:val="00C7253A"/>
    <w:rsid w:val="00C73726"/>
    <w:rsid w:val="00C822F2"/>
    <w:rsid w:val="00C848F2"/>
    <w:rsid w:val="00C8668F"/>
    <w:rsid w:val="00C93A59"/>
    <w:rsid w:val="00C955A3"/>
    <w:rsid w:val="00C97217"/>
    <w:rsid w:val="00CA0408"/>
    <w:rsid w:val="00CA15DB"/>
    <w:rsid w:val="00CA1B16"/>
    <w:rsid w:val="00CA2543"/>
    <w:rsid w:val="00CA59F0"/>
    <w:rsid w:val="00CA6460"/>
    <w:rsid w:val="00CA6A8C"/>
    <w:rsid w:val="00CB13D8"/>
    <w:rsid w:val="00CB30A1"/>
    <w:rsid w:val="00CB7DE8"/>
    <w:rsid w:val="00CC24CA"/>
    <w:rsid w:val="00CC4045"/>
    <w:rsid w:val="00CD0093"/>
    <w:rsid w:val="00CD3E51"/>
    <w:rsid w:val="00CD4E94"/>
    <w:rsid w:val="00CD51CC"/>
    <w:rsid w:val="00CD57C8"/>
    <w:rsid w:val="00CD7364"/>
    <w:rsid w:val="00CF1F2F"/>
    <w:rsid w:val="00CF2C30"/>
    <w:rsid w:val="00CF3B66"/>
    <w:rsid w:val="00CF661D"/>
    <w:rsid w:val="00D017CD"/>
    <w:rsid w:val="00D02B86"/>
    <w:rsid w:val="00D066F2"/>
    <w:rsid w:val="00D10570"/>
    <w:rsid w:val="00D12430"/>
    <w:rsid w:val="00D138F0"/>
    <w:rsid w:val="00D13AA2"/>
    <w:rsid w:val="00D158CF"/>
    <w:rsid w:val="00D257B5"/>
    <w:rsid w:val="00D2587D"/>
    <w:rsid w:val="00D27872"/>
    <w:rsid w:val="00D334C7"/>
    <w:rsid w:val="00D42657"/>
    <w:rsid w:val="00D43444"/>
    <w:rsid w:val="00D50699"/>
    <w:rsid w:val="00D52E65"/>
    <w:rsid w:val="00D57A84"/>
    <w:rsid w:val="00D67D58"/>
    <w:rsid w:val="00D7184C"/>
    <w:rsid w:val="00D80A40"/>
    <w:rsid w:val="00D80CFB"/>
    <w:rsid w:val="00D833A8"/>
    <w:rsid w:val="00D83980"/>
    <w:rsid w:val="00D86855"/>
    <w:rsid w:val="00D87DF2"/>
    <w:rsid w:val="00D92678"/>
    <w:rsid w:val="00D943DE"/>
    <w:rsid w:val="00D9673D"/>
    <w:rsid w:val="00DA044F"/>
    <w:rsid w:val="00DA3E79"/>
    <w:rsid w:val="00DB255A"/>
    <w:rsid w:val="00DB3298"/>
    <w:rsid w:val="00DB4C3B"/>
    <w:rsid w:val="00DB53C2"/>
    <w:rsid w:val="00DC2596"/>
    <w:rsid w:val="00DD2217"/>
    <w:rsid w:val="00DF7B85"/>
    <w:rsid w:val="00E004A4"/>
    <w:rsid w:val="00E022DD"/>
    <w:rsid w:val="00E02A07"/>
    <w:rsid w:val="00E03909"/>
    <w:rsid w:val="00E0533F"/>
    <w:rsid w:val="00E05D03"/>
    <w:rsid w:val="00E12C0E"/>
    <w:rsid w:val="00E206CA"/>
    <w:rsid w:val="00E3253F"/>
    <w:rsid w:val="00E35C42"/>
    <w:rsid w:val="00E4632E"/>
    <w:rsid w:val="00E5016C"/>
    <w:rsid w:val="00E51FBC"/>
    <w:rsid w:val="00E7175B"/>
    <w:rsid w:val="00E7323F"/>
    <w:rsid w:val="00E74E62"/>
    <w:rsid w:val="00E83F68"/>
    <w:rsid w:val="00E87ACA"/>
    <w:rsid w:val="00E9457A"/>
    <w:rsid w:val="00EB0C72"/>
    <w:rsid w:val="00EB303D"/>
    <w:rsid w:val="00EB3A50"/>
    <w:rsid w:val="00EB4421"/>
    <w:rsid w:val="00EC3EE0"/>
    <w:rsid w:val="00ED1B36"/>
    <w:rsid w:val="00EE0347"/>
    <w:rsid w:val="00EE1D2F"/>
    <w:rsid w:val="00EE38FB"/>
    <w:rsid w:val="00EE78EB"/>
    <w:rsid w:val="00EF42C8"/>
    <w:rsid w:val="00F0102F"/>
    <w:rsid w:val="00F01526"/>
    <w:rsid w:val="00F02298"/>
    <w:rsid w:val="00F03EEF"/>
    <w:rsid w:val="00F115DD"/>
    <w:rsid w:val="00F176CD"/>
    <w:rsid w:val="00F22264"/>
    <w:rsid w:val="00F2700D"/>
    <w:rsid w:val="00F318D1"/>
    <w:rsid w:val="00F3388B"/>
    <w:rsid w:val="00F43291"/>
    <w:rsid w:val="00F4525E"/>
    <w:rsid w:val="00F550EF"/>
    <w:rsid w:val="00F614E7"/>
    <w:rsid w:val="00F6640C"/>
    <w:rsid w:val="00F7265D"/>
    <w:rsid w:val="00F735E7"/>
    <w:rsid w:val="00F74A76"/>
    <w:rsid w:val="00F829AF"/>
    <w:rsid w:val="00F93E77"/>
    <w:rsid w:val="00F94F50"/>
    <w:rsid w:val="00FA1638"/>
    <w:rsid w:val="00FA25CA"/>
    <w:rsid w:val="00FA3973"/>
    <w:rsid w:val="00FA6A53"/>
    <w:rsid w:val="00FB33C3"/>
    <w:rsid w:val="00FB4CF4"/>
    <w:rsid w:val="00FC479C"/>
    <w:rsid w:val="00FD20A4"/>
    <w:rsid w:val="00FD32AB"/>
    <w:rsid w:val="00FD592F"/>
    <w:rsid w:val="00FE2EC2"/>
    <w:rsid w:val="00FE318A"/>
    <w:rsid w:val="00FE78C4"/>
    <w:rsid w:val="00FF0767"/>
    <w:rsid w:val="00FF4C45"/>
    <w:rsid w:val="00FF7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923"/>
    <w:rPr>
      <w:sz w:val="24"/>
      <w:szCs w:val="24"/>
    </w:rPr>
  </w:style>
  <w:style w:type="paragraph" w:styleId="1">
    <w:name w:val="heading 1"/>
    <w:basedOn w:val="a"/>
    <w:next w:val="a"/>
    <w:link w:val="10"/>
    <w:uiPriority w:val="99"/>
    <w:qFormat/>
    <w:rsid w:val="00F735E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C26"/>
    <w:rPr>
      <w:rFonts w:ascii="Cambria" w:hAnsi="Cambria" w:cs="Times New Roman"/>
      <w:b/>
      <w:bCs/>
      <w:kern w:val="32"/>
      <w:sz w:val="32"/>
      <w:szCs w:val="32"/>
    </w:rPr>
  </w:style>
  <w:style w:type="paragraph" w:customStyle="1" w:styleId="ConsNormal">
    <w:name w:val="ConsNormal"/>
    <w:uiPriority w:val="99"/>
    <w:rsid w:val="00F735E7"/>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F735E7"/>
    <w:pPr>
      <w:spacing w:before="100" w:beforeAutospacing="1" w:after="100" w:afterAutospacing="1"/>
      <w:ind w:left="-105"/>
      <w:jc w:val="both"/>
    </w:pPr>
  </w:style>
  <w:style w:type="character" w:customStyle="1" w:styleId="20">
    <w:name w:val="Основной текст 2 Знак"/>
    <w:basedOn w:val="a0"/>
    <w:link w:val="2"/>
    <w:uiPriority w:val="99"/>
    <w:semiHidden/>
    <w:locked/>
    <w:rsid w:val="00043C26"/>
    <w:rPr>
      <w:rFonts w:cs="Times New Roman"/>
      <w:sz w:val="24"/>
      <w:szCs w:val="24"/>
    </w:rPr>
  </w:style>
  <w:style w:type="paragraph" w:styleId="3">
    <w:name w:val="Body Text Indent 3"/>
    <w:basedOn w:val="a"/>
    <w:link w:val="30"/>
    <w:uiPriority w:val="99"/>
    <w:rsid w:val="00F735E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43C26"/>
    <w:rPr>
      <w:rFonts w:cs="Times New Roman"/>
      <w:sz w:val="16"/>
      <w:szCs w:val="16"/>
    </w:rPr>
  </w:style>
  <w:style w:type="paragraph" w:customStyle="1" w:styleId="BodyNum">
    <w:name w:val="Body Num"/>
    <w:basedOn w:val="a"/>
    <w:uiPriority w:val="99"/>
    <w:rsid w:val="00F735E7"/>
    <w:pPr>
      <w:spacing w:after="120"/>
      <w:jc w:val="both"/>
    </w:pPr>
  </w:style>
  <w:style w:type="paragraph" w:styleId="a3">
    <w:name w:val="Body Text"/>
    <w:basedOn w:val="a"/>
    <w:link w:val="a4"/>
    <w:uiPriority w:val="99"/>
    <w:rsid w:val="00F735E7"/>
    <w:pPr>
      <w:spacing w:after="120"/>
    </w:pPr>
  </w:style>
  <w:style w:type="character" w:customStyle="1" w:styleId="a4">
    <w:name w:val="Основной текст Знак"/>
    <w:basedOn w:val="a0"/>
    <w:link w:val="a3"/>
    <w:uiPriority w:val="99"/>
    <w:locked/>
    <w:rsid w:val="00043C26"/>
    <w:rPr>
      <w:rFonts w:cs="Times New Roman"/>
      <w:sz w:val="24"/>
      <w:szCs w:val="24"/>
    </w:rPr>
  </w:style>
  <w:style w:type="paragraph" w:customStyle="1" w:styleId="BodyBul">
    <w:name w:val="Body Bul"/>
    <w:basedOn w:val="a"/>
    <w:uiPriority w:val="99"/>
    <w:rsid w:val="00F735E7"/>
    <w:pPr>
      <w:tabs>
        <w:tab w:val="left" w:pos="360"/>
      </w:tabs>
      <w:autoSpaceDE w:val="0"/>
      <w:autoSpaceDN w:val="0"/>
      <w:spacing w:after="120"/>
      <w:ind w:left="360" w:hanging="360"/>
      <w:jc w:val="both"/>
    </w:pPr>
  </w:style>
  <w:style w:type="paragraph" w:customStyle="1" w:styleId="ConsNonformat">
    <w:name w:val="ConsNonformat"/>
    <w:uiPriority w:val="99"/>
    <w:rsid w:val="00CF2C30"/>
    <w:pPr>
      <w:widowControl w:val="0"/>
      <w:autoSpaceDE w:val="0"/>
      <w:autoSpaceDN w:val="0"/>
    </w:pPr>
    <w:rPr>
      <w:rFonts w:ascii="Courier New" w:hAnsi="Courier New" w:cs="Courier New"/>
    </w:rPr>
  </w:style>
  <w:style w:type="paragraph" w:customStyle="1" w:styleId="ConsPlusNormal">
    <w:name w:val="ConsPlusNormal"/>
    <w:uiPriority w:val="99"/>
    <w:rsid w:val="00C7253A"/>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A8132B"/>
    <w:rPr>
      <w:rFonts w:ascii="Tahoma" w:hAnsi="Tahoma" w:cs="Tahoma"/>
      <w:sz w:val="16"/>
      <w:szCs w:val="16"/>
    </w:rPr>
  </w:style>
  <w:style w:type="character" w:customStyle="1" w:styleId="a6">
    <w:name w:val="Текст выноски Знак"/>
    <w:basedOn w:val="a0"/>
    <w:link w:val="a5"/>
    <w:uiPriority w:val="99"/>
    <w:semiHidden/>
    <w:locked/>
    <w:rsid w:val="00043C26"/>
    <w:rPr>
      <w:rFonts w:ascii="Tahoma" w:hAnsi="Tahoma" w:cs="Tahoma"/>
      <w:sz w:val="16"/>
      <w:szCs w:val="16"/>
    </w:rPr>
  </w:style>
  <w:style w:type="paragraph" w:styleId="a7">
    <w:name w:val="footer"/>
    <w:basedOn w:val="a"/>
    <w:link w:val="a8"/>
    <w:uiPriority w:val="99"/>
    <w:rsid w:val="002026D9"/>
    <w:pPr>
      <w:tabs>
        <w:tab w:val="center" w:pos="4677"/>
        <w:tab w:val="right" w:pos="9355"/>
      </w:tabs>
    </w:pPr>
  </w:style>
  <w:style w:type="character" w:customStyle="1" w:styleId="a8">
    <w:name w:val="Нижний колонтитул Знак"/>
    <w:basedOn w:val="a0"/>
    <w:link w:val="a7"/>
    <w:uiPriority w:val="99"/>
    <w:semiHidden/>
    <w:locked/>
    <w:rsid w:val="00043C26"/>
    <w:rPr>
      <w:rFonts w:cs="Times New Roman"/>
      <w:sz w:val="24"/>
      <w:szCs w:val="24"/>
    </w:rPr>
  </w:style>
  <w:style w:type="character" w:styleId="a9">
    <w:name w:val="page number"/>
    <w:basedOn w:val="a0"/>
    <w:uiPriority w:val="99"/>
    <w:rsid w:val="002026D9"/>
    <w:rPr>
      <w:rFonts w:cs="Times New Roman"/>
    </w:rPr>
  </w:style>
  <w:style w:type="paragraph" w:customStyle="1" w:styleId="CharChar">
    <w:name w:val="Char Char"/>
    <w:basedOn w:val="a"/>
    <w:uiPriority w:val="99"/>
    <w:rsid w:val="00A36078"/>
    <w:pPr>
      <w:spacing w:after="160" w:line="240" w:lineRule="exact"/>
    </w:pPr>
    <w:rPr>
      <w:rFonts w:ascii="Verdana" w:hAnsi="Verdana" w:cs="Verdana"/>
      <w:sz w:val="20"/>
      <w:szCs w:val="20"/>
      <w:lang w:val="en-US" w:eastAsia="en-US"/>
    </w:rPr>
  </w:style>
  <w:style w:type="paragraph" w:styleId="aa">
    <w:name w:val="Plain Text"/>
    <w:basedOn w:val="a"/>
    <w:link w:val="ab"/>
    <w:uiPriority w:val="99"/>
    <w:semiHidden/>
    <w:rsid w:val="00450B35"/>
    <w:rPr>
      <w:rFonts w:ascii="Consolas" w:hAnsi="Consolas"/>
      <w:sz w:val="21"/>
      <w:szCs w:val="21"/>
      <w:lang w:eastAsia="en-US"/>
    </w:rPr>
  </w:style>
  <w:style w:type="character" w:customStyle="1" w:styleId="ab">
    <w:name w:val="Текст Знак"/>
    <w:basedOn w:val="a0"/>
    <w:link w:val="aa"/>
    <w:uiPriority w:val="99"/>
    <w:semiHidden/>
    <w:locked/>
    <w:rsid w:val="00450B35"/>
    <w:rPr>
      <w:rFonts w:ascii="Consolas" w:hAnsi="Consolas" w:cs="Times New Roman"/>
      <w:sz w:val="21"/>
      <w:szCs w:val="21"/>
      <w:lang w:eastAsia="en-US"/>
    </w:rPr>
  </w:style>
  <w:style w:type="paragraph" w:styleId="ac">
    <w:name w:val="List Paragraph"/>
    <w:basedOn w:val="a"/>
    <w:uiPriority w:val="99"/>
    <w:qFormat/>
    <w:rsid w:val="00001A20"/>
    <w:pPr>
      <w:ind w:left="720"/>
      <w:contextualSpacing/>
    </w:pPr>
  </w:style>
  <w:style w:type="paragraph" w:customStyle="1" w:styleId="Iauiue">
    <w:name w:val="Iau?iue"/>
    <w:uiPriority w:val="99"/>
    <w:rsid w:val="00D257B5"/>
    <w:pPr>
      <w:autoSpaceDE w:val="0"/>
      <w:autoSpaceDN w:val="0"/>
    </w:pPr>
  </w:style>
</w:styles>
</file>

<file path=word/webSettings.xml><?xml version="1.0" encoding="utf-8"?>
<w:webSettings xmlns:r="http://schemas.openxmlformats.org/officeDocument/2006/relationships" xmlns:w="http://schemas.openxmlformats.org/wordprocessingml/2006/main">
  <w:divs>
    <w:div w:id="213667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91A951058FD33AB047199B2834C850B1A649CBB36BDF564E07CF1ED452C62A0ACF58C87A941DE886B2QD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27.09.2018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33A248-E258-4955-8061-A69AF4033D1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EFEFCCE-9B21-4DF6-867A-317FCE920716}">
  <ds:schemaRefs>
    <ds:schemaRef ds:uri="http://schemas.microsoft.com/sharepoint/v3/contenttype/forms"/>
  </ds:schemaRefs>
</ds:datastoreItem>
</file>

<file path=customXml/itemProps3.xml><?xml version="1.0" encoding="utf-8"?>
<ds:datastoreItem xmlns:ds="http://schemas.openxmlformats.org/officeDocument/2006/customXml" ds:itemID="{A833CF39-E333-4C46-A6DE-0E747EF5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4455</Words>
  <Characters>25398</Characters>
  <Application>Microsoft Office Word</Application>
  <DocSecurity>0</DocSecurity>
  <Lines>211</Lines>
  <Paragraphs>59</Paragraphs>
  <ScaleCrop>false</ScaleCrop>
  <Company>ИК "Энергокапитал"</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К ПРАВИЛАМ</dc:title>
  <dc:creator>AnhAnna</dc:creator>
  <cp:lastModifiedBy>voronovskaya.v</cp:lastModifiedBy>
  <cp:revision>2</cp:revision>
  <cp:lastPrinted>2017-09-04T12:17:00Z</cp:lastPrinted>
  <dcterms:created xsi:type="dcterms:W3CDTF">2018-10-17T12:21:00Z</dcterms:created>
  <dcterms:modified xsi:type="dcterms:W3CDTF">2018-10-17T12:21:00Z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