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COM27012000084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41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41E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41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1E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4C41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C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1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C41E6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41E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177 186,97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C41E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C41E6" w:rsidRPr="001E77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C41E6" w:rsidTr="000A07E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C41E6" w:rsidRDefault="004C41E6" w:rsidP="000A0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C41E6" w:rsidTr="000A07E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4C41E6" w:rsidTr="000A07E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C41E6" w:rsidRDefault="004C41E6" w:rsidP="000A07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C41E6" w:rsidRPr="003C2761" w:rsidRDefault="004C41E6" w:rsidP="004C41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C41E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4709F"/>
    <w:rsid w:val="00160231"/>
    <w:rsid w:val="002E061B"/>
    <w:rsid w:val="00363C2F"/>
    <w:rsid w:val="003C2761"/>
    <w:rsid w:val="004C41E6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1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2020-02-11T10:36:00Z</dcterms:modified>
</cp:coreProperties>
</file>