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COM02042000024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56A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6A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56A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6A5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F85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8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6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856A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 В </w:t>
            </w:r>
            <w:proofErr w:type="gramStart"/>
            <w:r w:rsidRPr="00F856A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F856A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действует исполнительное производство на сумму 849 690 рублей 22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56A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92 492,70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856A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856A5" w:rsidRPr="007C2EB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F856A5" w:rsidTr="00F856A5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F856A5" w:rsidRDefault="00F8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856A5" w:rsidTr="00F856A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F856A5" w:rsidTr="00F856A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6A5" w:rsidRDefault="00F85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856A5" w:rsidRPr="003C2761" w:rsidRDefault="00F856A5" w:rsidP="00F856A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56A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547B5"/>
    <w:rsid w:val="00BE779A"/>
    <w:rsid w:val="00C5289F"/>
    <w:rsid w:val="00DE692D"/>
    <w:rsid w:val="00E86044"/>
    <w:rsid w:val="00F856A5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2020-04-16T08:43:00Z</dcterms:modified>
</cp:coreProperties>
</file>