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COM02042000026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F3DE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F3DE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DE7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D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F3DE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2 426 477,03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«02» апреля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апреля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F3DE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F3DE7" w:rsidRPr="006827A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3F3DE7" w:rsidTr="003F3DE7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3F3DE7" w:rsidRDefault="003F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3F3DE7" w:rsidTr="003F3DE7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DE7" w:rsidRDefault="003F3D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DE7" w:rsidRDefault="003F3D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DE7" w:rsidRDefault="003F3D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3F3DE7" w:rsidTr="003F3DE7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DE7" w:rsidRDefault="003F3D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DE7" w:rsidRDefault="003F3D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DE7" w:rsidRDefault="003F3D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3F3DE7" w:rsidRPr="003C2761" w:rsidRDefault="003F3DE7" w:rsidP="003F3DE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F3DE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67FAE"/>
    <w:rsid w:val="00141C2D"/>
    <w:rsid w:val="00160231"/>
    <w:rsid w:val="002E061B"/>
    <w:rsid w:val="00363C2F"/>
    <w:rsid w:val="003C2761"/>
    <w:rsid w:val="003F3DE7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2020-04-16T08:41:00Z</dcterms:modified>
</cp:coreProperties>
</file>