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COM30052200117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57C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7C4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57C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</w:t>
            </w:r>
            <w:r w:rsidRPr="00357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57C40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357C40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57C4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33 207,16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57C4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57C40" w:rsidRPr="00926BCA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57C40" w:rsidTr="00357C4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57C40" w:rsidRDefault="00357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57C40" w:rsidRPr="00357C40" w:rsidRDefault="00357C40" w:rsidP="00357C40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57C40" w:rsidTr="00357C40">
        <w:tc>
          <w:tcPr>
            <w:tcW w:w="2727" w:type="dxa"/>
            <w:vAlign w:val="center"/>
            <w:hideMark/>
          </w:tcPr>
          <w:p w:rsidR="00357C40" w:rsidRDefault="00357C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57C40" w:rsidRDefault="00357C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57C40" w:rsidRDefault="00357C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357C40" w:rsidTr="00357C40">
        <w:tc>
          <w:tcPr>
            <w:tcW w:w="2727" w:type="dxa"/>
            <w:vAlign w:val="center"/>
            <w:hideMark/>
          </w:tcPr>
          <w:p w:rsidR="00357C40" w:rsidRDefault="00357C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57C40" w:rsidRDefault="00357C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57C40" w:rsidRDefault="00357C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57C40" w:rsidRPr="003C2761" w:rsidRDefault="00357C40" w:rsidP="00357C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57C4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57C40"/>
    <w:rsid w:val="00363C2F"/>
    <w:rsid w:val="003C2761"/>
    <w:rsid w:val="005B245C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C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2022-06-15T08:59:00Z</dcterms:modified>
</cp:coreProperties>
</file>