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COM15051900031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49C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9C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49C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9C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54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4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449CA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449C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1 445 000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449C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449CA" w:rsidRPr="007F7EF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449CA" w:rsidTr="005449C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449CA" w:rsidRDefault="0054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449CA" w:rsidRPr="005449CA" w:rsidRDefault="005449CA" w:rsidP="005449C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449CA" w:rsidTr="005449CA">
        <w:tc>
          <w:tcPr>
            <w:tcW w:w="2727" w:type="dxa"/>
            <w:vAlign w:val="center"/>
            <w:hideMark/>
          </w:tcPr>
          <w:p w:rsidR="005449CA" w:rsidRDefault="00544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449CA" w:rsidRDefault="00544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449CA" w:rsidRDefault="00544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449CA" w:rsidTr="005449CA">
        <w:tc>
          <w:tcPr>
            <w:tcW w:w="2727" w:type="dxa"/>
            <w:vAlign w:val="center"/>
            <w:hideMark/>
          </w:tcPr>
          <w:p w:rsidR="005449CA" w:rsidRDefault="00544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449CA" w:rsidRDefault="00544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449CA" w:rsidRDefault="005449C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5449CA" w:rsidRPr="003C2761" w:rsidRDefault="005449CA" w:rsidP="005449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449C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449CA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E31A0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9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2019-05-28T13:26:00Z</dcterms:modified>
</cp:coreProperties>
</file>