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16" w:rsidRPr="00402CEC" w:rsidRDefault="00496B16" w:rsidP="00496B16">
      <w:pPr>
        <w:pStyle w:val="a3"/>
        <w:numPr>
          <w:ilvl w:val="0"/>
          <w:numId w:val="1"/>
        </w:numPr>
        <w:jc w:val="center"/>
        <w:rPr>
          <w:sz w:val="24"/>
          <w:szCs w:val="24"/>
        </w:rPr>
      </w:pPr>
      <w:r w:rsidRPr="00402CEC">
        <w:rPr>
          <w:sz w:val="24"/>
          <w:szCs w:val="24"/>
          <w:lang w:val="ru-RU"/>
        </w:rPr>
        <w:t xml:space="preserve">    </w:t>
      </w:r>
      <w:r w:rsidRPr="00402CEC">
        <w:rPr>
          <w:sz w:val="24"/>
          <w:szCs w:val="24"/>
          <w:lang w:val="ru-RU"/>
        </w:rPr>
        <w:tab/>
      </w:r>
      <w:r w:rsidRPr="00402CEC">
        <w:rPr>
          <w:sz w:val="24"/>
          <w:szCs w:val="24"/>
        </w:rPr>
        <w:t>УТВЕРЖДЕНО</w:t>
      </w:r>
    </w:p>
    <w:p w:rsidR="00496B16" w:rsidRPr="00402CEC" w:rsidRDefault="00496B16" w:rsidP="00496B16">
      <w:pPr>
        <w:pStyle w:val="a4"/>
        <w:numPr>
          <w:ilvl w:val="0"/>
          <w:numId w:val="1"/>
        </w:numPr>
        <w:tabs>
          <w:tab w:val="left" w:pos="4253"/>
        </w:tabs>
        <w:ind w:left="4111" w:hanging="850"/>
        <w:jc w:val="center"/>
        <w:rPr>
          <w:rFonts w:ascii="Times New Roman" w:hAnsi="Times New Roman"/>
          <w:i w:val="0"/>
          <w:sz w:val="24"/>
          <w:szCs w:val="24"/>
        </w:rPr>
      </w:pPr>
      <w:r w:rsidRPr="00402CEC">
        <w:rPr>
          <w:rFonts w:ascii="Times New Roman" w:hAnsi="Times New Roman"/>
          <w:i w:val="0"/>
          <w:sz w:val="24"/>
          <w:szCs w:val="24"/>
        </w:rPr>
        <w:t xml:space="preserve">       Решением Единственного Участника</w:t>
      </w:r>
    </w:p>
    <w:p w:rsidR="00496B16" w:rsidRPr="00402CEC" w:rsidRDefault="00496B16" w:rsidP="00496B16">
      <w:pPr>
        <w:pStyle w:val="a4"/>
        <w:numPr>
          <w:ilvl w:val="0"/>
          <w:numId w:val="1"/>
        </w:numPr>
        <w:tabs>
          <w:tab w:val="left" w:pos="4820"/>
        </w:tabs>
        <w:rPr>
          <w:rFonts w:ascii="Times New Roman" w:hAnsi="Times New Roman"/>
          <w:i w:val="0"/>
          <w:sz w:val="24"/>
          <w:szCs w:val="24"/>
        </w:rPr>
      </w:pPr>
      <w:r w:rsidRPr="00402CEC">
        <w:rPr>
          <w:rFonts w:ascii="Times New Roman" w:hAnsi="Times New Roman"/>
          <w:i w:val="0"/>
          <w:sz w:val="24"/>
          <w:szCs w:val="24"/>
        </w:rPr>
        <w:t xml:space="preserve">                                                                              Общества с ограниченной ответственностью</w:t>
      </w:r>
    </w:p>
    <w:p w:rsidR="00496B16" w:rsidRPr="00402CEC" w:rsidRDefault="00496B16" w:rsidP="00496B16">
      <w:pPr>
        <w:pStyle w:val="a4"/>
        <w:numPr>
          <w:ilvl w:val="0"/>
          <w:numId w:val="1"/>
        </w:numPr>
        <w:tabs>
          <w:tab w:val="left" w:pos="4253"/>
        </w:tabs>
        <w:rPr>
          <w:rFonts w:ascii="Times New Roman" w:hAnsi="Times New Roman"/>
          <w:i w:val="0"/>
          <w:sz w:val="24"/>
          <w:szCs w:val="24"/>
        </w:rPr>
      </w:pPr>
      <w:r w:rsidRPr="00402CEC">
        <w:rPr>
          <w:rFonts w:ascii="Times New Roman" w:hAnsi="Times New Roman"/>
          <w:i w:val="0"/>
          <w:sz w:val="24"/>
          <w:szCs w:val="24"/>
        </w:rPr>
        <w:t xml:space="preserve">                                                                             «Управляющая компания «САН»</w:t>
      </w:r>
    </w:p>
    <w:p w:rsidR="00496B16" w:rsidRPr="00FC26DC" w:rsidRDefault="00496B16" w:rsidP="00496B16">
      <w:pPr>
        <w:pStyle w:val="a4"/>
        <w:numPr>
          <w:ilvl w:val="0"/>
          <w:numId w:val="1"/>
        </w:numPr>
        <w:tabs>
          <w:tab w:val="left" w:pos="4253"/>
        </w:tabs>
        <w:rPr>
          <w:rFonts w:ascii="Times New Roman" w:hAnsi="Times New Roman"/>
          <w:i w:val="0"/>
          <w:sz w:val="24"/>
          <w:szCs w:val="24"/>
        </w:rPr>
      </w:pPr>
      <w:r w:rsidRPr="00402CEC">
        <w:rPr>
          <w:rFonts w:ascii="Times New Roman" w:hAnsi="Times New Roman"/>
          <w:i w:val="0"/>
          <w:sz w:val="24"/>
          <w:szCs w:val="24"/>
        </w:rPr>
        <w:t xml:space="preserve">                                                                              </w:t>
      </w:r>
      <w:r w:rsidRPr="00FC26DC">
        <w:rPr>
          <w:rFonts w:ascii="Times New Roman" w:hAnsi="Times New Roman"/>
          <w:i w:val="0"/>
          <w:sz w:val="24"/>
          <w:szCs w:val="24"/>
        </w:rPr>
        <w:t xml:space="preserve">№ </w:t>
      </w:r>
      <w:r w:rsidR="00E2716C" w:rsidRPr="00FC26DC">
        <w:rPr>
          <w:rFonts w:ascii="Times New Roman" w:hAnsi="Times New Roman"/>
          <w:i w:val="0"/>
          <w:sz w:val="24"/>
          <w:szCs w:val="24"/>
        </w:rPr>
        <w:t xml:space="preserve">6 </w:t>
      </w:r>
      <w:r w:rsidRPr="00FC26DC">
        <w:rPr>
          <w:rFonts w:ascii="Times New Roman" w:hAnsi="Times New Roman"/>
          <w:i w:val="0"/>
          <w:sz w:val="24"/>
          <w:szCs w:val="24"/>
        </w:rPr>
        <w:t>от «</w:t>
      </w:r>
      <w:r w:rsidR="00E2716C" w:rsidRPr="00FC26DC">
        <w:rPr>
          <w:rFonts w:ascii="Times New Roman" w:hAnsi="Times New Roman"/>
          <w:i w:val="0"/>
          <w:sz w:val="24"/>
          <w:szCs w:val="24"/>
        </w:rPr>
        <w:t>13</w:t>
      </w:r>
      <w:r w:rsidRPr="00FC26DC">
        <w:rPr>
          <w:rFonts w:ascii="Times New Roman" w:hAnsi="Times New Roman"/>
          <w:i w:val="0"/>
          <w:sz w:val="24"/>
          <w:szCs w:val="24"/>
        </w:rPr>
        <w:t xml:space="preserve">» </w:t>
      </w:r>
      <w:r w:rsidR="00E2716C" w:rsidRPr="00FC26DC">
        <w:rPr>
          <w:rFonts w:ascii="Times New Roman" w:hAnsi="Times New Roman"/>
          <w:i w:val="0"/>
          <w:sz w:val="24"/>
          <w:szCs w:val="24"/>
        </w:rPr>
        <w:t>сентября</w:t>
      </w:r>
      <w:r w:rsidRPr="00FC26DC">
        <w:rPr>
          <w:rFonts w:ascii="Times New Roman" w:hAnsi="Times New Roman"/>
          <w:i w:val="0"/>
          <w:sz w:val="24"/>
          <w:szCs w:val="24"/>
        </w:rPr>
        <w:t xml:space="preserve"> 201</w:t>
      </w:r>
      <w:r w:rsidR="004524CB" w:rsidRPr="00FC26DC">
        <w:rPr>
          <w:rFonts w:ascii="Times New Roman" w:hAnsi="Times New Roman"/>
          <w:i w:val="0"/>
          <w:sz w:val="24"/>
          <w:szCs w:val="24"/>
        </w:rPr>
        <w:t>7</w:t>
      </w:r>
      <w:r w:rsidRPr="00FC26DC">
        <w:rPr>
          <w:rFonts w:ascii="Times New Roman" w:hAnsi="Times New Roman"/>
          <w:i w:val="0"/>
          <w:sz w:val="24"/>
          <w:szCs w:val="24"/>
        </w:rPr>
        <w:t xml:space="preserve"> года</w:t>
      </w:r>
    </w:p>
    <w:p w:rsidR="00496B16" w:rsidRPr="00E14953" w:rsidRDefault="00496B16" w:rsidP="00496B16">
      <w:pPr>
        <w:pStyle w:val="AODocTxtL2"/>
        <w:numPr>
          <w:ilvl w:val="2"/>
          <w:numId w:val="1"/>
        </w:numPr>
        <w:ind w:left="0" w:firstLine="0"/>
        <w:jc w:val="center"/>
        <w:rPr>
          <w:b/>
          <w:bCs/>
          <w:sz w:val="24"/>
          <w:szCs w:val="24"/>
          <w:highlight w:val="yellow"/>
          <w:lang w:val="ru-RU"/>
        </w:rPr>
      </w:pPr>
    </w:p>
    <w:p w:rsidR="00496B16" w:rsidRPr="00402CEC" w:rsidRDefault="00496B16" w:rsidP="00496B16">
      <w:pPr>
        <w:pStyle w:val="AODocTxtL2"/>
        <w:numPr>
          <w:ilvl w:val="0"/>
          <w:numId w:val="0"/>
        </w:numPr>
        <w:ind w:left="1440" w:hanging="360"/>
        <w:jc w:val="center"/>
        <w:rPr>
          <w:b/>
          <w:bCs/>
          <w:sz w:val="24"/>
          <w:szCs w:val="24"/>
          <w:lang w:val="ru-RU"/>
        </w:rPr>
      </w:pPr>
    </w:p>
    <w:p w:rsidR="00366B10" w:rsidRPr="00402CEC" w:rsidRDefault="00496B16" w:rsidP="00536D1D">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 xml:space="preserve">Изменения и дополнения №1 </w:t>
      </w:r>
    </w:p>
    <w:p w:rsidR="00496B16" w:rsidRPr="00402CEC" w:rsidRDefault="00496B16" w:rsidP="00536D1D">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в Правила доверительного управления</w:t>
      </w:r>
    </w:p>
    <w:p w:rsidR="00496B16" w:rsidRPr="00402CEC" w:rsidRDefault="004524CB" w:rsidP="00D165BE">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Отк</w:t>
      </w:r>
      <w:r w:rsidR="00496B16" w:rsidRPr="00402CEC">
        <w:rPr>
          <w:b/>
          <w:bCs/>
          <w:sz w:val="24"/>
          <w:szCs w:val="24"/>
          <w:lang w:val="ru-RU"/>
        </w:rPr>
        <w:t xml:space="preserve">рытым паевым инвестиционным фондом </w:t>
      </w:r>
      <w:r w:rsidRPr="00402CEC">
        <w:rPr>
          <w:b/>
          <w:bCs/>
          <w:sz w:val="24"/>
          <w:szCs w:val="24"/>
          <w:lang w:val="ru-RU"/>
        </w:rPr>
        <w:t>смешанных</w:t>
      </w:r>
      <w:r w:rsidR="00496B16" w:rsidRPr="00402CEC">
        <w:rPr>
          <w:b/>
          <w:bCs/>
          <w:sz w:val="24"/>
          <w:szCs w:val="24"/>
          <w:lang w:val="ru-RU"/>
        </w:rPr>
        <w:t xml:space="preserve"> инвестиций </w:t>
      </w:r>
    </w:p>
    <w:p w:rsidR="00496B16" w:rsidRPr="00402CEC" w:rsidRDefault="00496B16" w:rsidP="00D165BE">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«САН-</w:t>
      </w:r>
      <w:r w:rsidR="004524CB" w:rsidRPr="00402CEC">
        <w:rPr>
          <w:b/>
          <w:bCs/>
          <w:sz w:val="24"/>
          <w:szCs w:val="24"/>
          <w:lang w:val="ru-RU"/>
        </w:rPr>
        <w:t>Смешанные</w:t>
      </w:r>
      <w:r w:rsidRPr="00402CEC">
        <w:rPr>
          <w:b/>
          <w:bCs/>
          <w:sz w:val="24"/>
          <w:szCs w:val="24"/>
          <w:lang w:val="ru-RU"/>
        </w:rPr>
        <w:t xml:space="preserve"> инвестиции»</w:t>
      </w:r>
    </w:p>
    <w:p w:rsidR="00496B16" w:rsidRPr="00402CEC" w:rsidRDefault="00496B16" w:rsidP="00496B16">
      <w:pPr>
        <w:pStyle w:val="AODocTxtL2"/>
        <w:numPr>
          <w:ilvl w:val="0"/>
          <w:numId w:val="0"/>
        </w:numPr>
        <w:jc w:val="left"/>
        <w:rPr>
          <w:bCs/>
          <w:sz w:val="24"/>
          <w:szCs w:val="24"/>
          <w:lang w:val="ru-RU"/>
        </w:rPr>
      </w:pPr>
      <w:r w:rsidRPr="00402CEC">
        <w:rPr>
          <w:bCs/>
          <w:sz w:val="24"/>
          <w:szCs w:val="24"/>
          <w:lang w:val="ru-RU"/>
        </w:rPr>
        <w:t xml:space="preserve">(Правила </w:t>
      </w:r>
      <w:r w:rsidR="00366B10" w:rsidRPr="00402CEC">
        <w:rPr>
          <w:bCs/>
          <w:sz w:val="24"/>
          <w:szCs w:val="24"/>
          <w:lang w:val="ru-RU"/>
        </w:rPr>
        <w:t xml:space="preserve">доверительного управления </w:t>
      </w:r>
      <w:r w:rsidRPr="00402CEC">
        <w:rPr>
          <w:bCs/>
          <w:sz w:val="24"/>
          <w:szCs w:val="24"/>
          <w:lang w:val="ru-RU"/>
        </w:rPr>
        <w:t xml:space="preserve">зарегистрированы </w:t>
      </w:r>
      <w:r w:rsidR="004524CB" w:rsidRPr="00402CEC">
        <w:rPr>
          <w:bCs/>
          <w:sz w:val="24"/>
          <w:szCs w:val="24"/>
          <w:lang w:val="ru-RU"/>
        </w:rPr>
        <w:t>Федеральной службой по финансовым рынкам</w:t>
      </w:r>
      <w:r w:rsidR="008A5A99" w:rsidRPr="00402CEC">
        <w:rPr>
          <w:bCs/>
          <w:sz w:val="24"/>
          <w:szCs w:val="24"/>
          <w:lang w:val="ru-RU"/>
        </w:rPr>
        <w:t xml:space="preserve"> </w:t>
      </w:r>
      <w:r w:rsidRPr="00402CEC">
        <w:rPr>
          <w:bCs/>
          <w:sz w:val="24"/>
          <w:szCs w:val="24"/>
          <w:lang w:val="ru-RU"/>
        </w:rPr>
        <w:t xml:space="preserve"> </w:t>
      </w:r>
      <w:r w:rsidR="004524CB" w:rsidRPr="00402CEC">
        <w:rPr>
          <w:bCs/>
          <w:sz w:val="24"/>
          <w:szCs w:val="24"/>
          <w:lang w:val="ru-RU"/>
        </w:rPr>
        <w:t>09</w:t>
      </w:r>
      <w:r w:rsidR="00366B10" w:rsidRPr="00402CEC">
        <w:rPr>
          <w:bCs/>
          <w:sz w:val="24"/>
          <w:szCs w:val="24"/>
          <w:lang w:val="ru-RU"/>
        </w:rPr>
        <w:t xml:space="preserve"> </w:t>
      </w:r>
      <w:r w:rsidR="004524CB" w:rsidRPr="00402CEC">
        <w:rPr>
          <w:bCs/>
          <w:sz w:val="24"/>
          <w:szCs w:val="24"/>
          <w:lang w:val="ru-RU"/>
        </w:rPr>
        <w:t>ноя</w:t>
      </w:r>
      <w:r w:rsidR="00366B10" w:rsidRPr="00402CEC">
        <w:rPr>
          <w:bCs/>
          <w:sz w:val="24"/>
          <w:szCs w:val="24"/>
          <w:lang w:val="ru-RU"/>
        </w:rPr>
        <w:t>бря 201</w:t>
      </w:r>
      <w:r w:rsidR="004524CB" w:rsidRPr="00402CEC">
        <w:rPr>
          <w:bCs/>
          <w:sz w:val="24"/>
          <w:szCs w:val="24"/>
          <w:lang w:val="ru-RU"/>
        </w:rPr>
        <w:t>0</w:t>
      </w:r>
      <w:r w:rsidR="00366B10" w:rsidRPr="00402CEC">
        <w:rPr>
          <w:bCs/>
          <w:sz w:val="24"/>
          <w:szCs w:val="24"/>
          <w:lang w:val="ru-RU"/>
        </w:rPr>
        <w:t xml:space="preserve"> года </w:t>
      </w:r>
      <w:r w:rsidRPr="00402CEC">
        <w:rPr>
          <w:bCs/>
          <w:sz w:val="24"/>
          <w:szCs w:val="24"/>
          <w:lang w:val="ru-RU"/>
        </w:rPr>
        <w:t>№</w:t>
      </w:r>
      <w:r w:rsidR="004524CB" w:rsidRPr="00402CEC">
        <w:rPr>
          <w:bCs/>
          <w:sz w:val="24"/>
          <w:szCs w:val="24"/>
          <w:lang w:val="ru-RU"/>
        </w:rPr>
        <w:t>1970-94172090</w:t>
      </w:r>
      <w:r w:rsidRPr="00402CEC">
        <w:rPr>
          <w:bCs/>
          <w:sz w:val="24"/>
          <w:szCs w:val="24"/>
          <w:lang w:val="ru-RU"/>
        </w:rPr>
        <w:t>)</w:t>
      </w:r>
    </w:p>
    <w:p w:rsidR="00496B16" w:rsidRPr="00402CEC" w:rsidRDefault="00496B16" w:rsidP="00496B16">
      <w:pPr>
        <w:pStyle w:val="AODocTxtL2"/>
        <w:numPr>
          <w:ilvl w:val="2"/>
          <w:numId w:val="1"/>
        </w:numPr>
        <w:spacing w:before="0" w:after="120" w:line="276" w:lineRule="auto"/>
        <w:ind w:left="0" w:firstLine="0"/>
        <w:rPr>
          <w:bCs/>
          <w:sz w:val="24"/>
          <w:szCs w:val="24"/>
          <w:lang w:val="ru-RU"/>
        </w:rPr>
      </w:pPr>
    </w:p>
    <w:tbl>
      <w:tblPr>
        <w:tblStyle w:val="a6"/>
        <w:tblW w:w="0" w:type="auto"/>
        <w:tblLook w:val="04A0"/>
      </w:tblPr>
      <w:tblGrid>
        <w:gridCol w:w="4672"/>
        <w:gridCol w:w="4673"/>
      </w:tblGrid>
      <w:tr w:rsidR="00BE00C5" w:rsidRPr="00402CEC" w:rsidTr="00BE00C5">
        <w:tc>
          <w:tcPr>
            <w:tcW w:w="4672" w:type="dxa"/>
          </w:tcPr>
          <w:p w:rsidR="00BE00C5" w:rsidRPr="00402CEC" w:rsidRDefault="00BE00C5" w:rsidP="00BE00C5">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старая редакция</w:t>
            </w:r>
          </w:p>
        </w:tc>
        <w:tc>
          <w:tcPr>
            <w:tcW w:w="4673" w:type="dxa"/>
          </w:tcPr>
          <w:p w:rsidR="00BE00C5" w:rsidRPr="00402CEC" w:rsidRDefault="00BE00C5" w:rsidP="00BE00C5">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новая редакция</w:t>
            </w:r>
          </w:p>
        </w:tc>
      </w:tr>
      <w:tr w:rsidR="00BE00C5" w:rsidRPr="00402CEC" w:rsidTr="00BE00C5">
        <w:tc>
          <w:tcPr>
            <w:tcW w:w="4672" w:type="dxa"/>
          </w:tcPr>
          <w:p w:rsidR="00BE00C5" w:rsidRPr="00402CEC" w:rsidRDefault="004524CB" w:rsidP="004524CB">
            <w:pPr>
              <w:jc w:val="both"/>
              <w:rPr>
                <w:rFonts w:ascii="Times New Roman" w:hAnsi="Times New Roman"/>
                <w:bCs/>
                <w:sz w:val="24"/>
                <w:szCs w:val="24"/>
              </w:rPr>
            </w:pPr>
            <w:r w:rsidRPr="00402CEC">
              <w:rPr>
                <w:rFonts w:ascii="Times New Roman" w:hAnsi="Times New Roman"/>
                <w:bCs/>
                <w:sz w:val="24"/>
                <w:szCs w:val="24"/>
              </w:rPr>
              <w:t>1. Полное название паевого инвестиционного фонда:  Открытый паевой инвестиционный фонд смешанных инвестиций «САН – Смешанные инвестиции» (далее - фонд).</w:t>
            </w:r>
          </w:p>
        </w:tc>
        <w:tc>
          <w:tcPr>
            <w:tcW w:w="4673" w:type="dxa"/>
          </w:tcPr>
          <w:p w:rsidR="00BE00C5" w:rsidRPr="00402CEC" w:rsidRDefault="004524CB" w:rsidP="004524CB">
            <w:pPr>
              <w:jc w:val="both"/>
              <w:rPr>
                <w:rFonts w:ascii="Times New Roman" w:hAnsi="Times New Roman"/>
                <w:bCs/>
                <w:sz w:val="24"/>
                <w:szCs w:val="24"/>
              </w:rPr>
            </w:pPr>
            <w:r w:rsidRPr="00402CEC">
              <w:rPr>
                <w:rFonts w:ascii="Times New Roman" w:hAnsi="Times New Roman"/>
                <w:bCs/>
                <w:sz w:val="24"/>
                <w:szCs w:val="24"/>
              </w:rPr>
              <w:t xml:space="preserve">1. Полное название паевого инвестиционного фонда:  Открытый паевой инвестиционный </w:t>
            </w:r>
            <w:r w:rsidRPr="003A78D9">
              <w:rPr>
                <w:rFonts w:ascii="Times New Roman" w:hAnsi="Times New Roman"/>
                <w:bCs/>
                <w:sz w:val="24"/>
                <w:szCs w:val="24"/>
              </w:rPr>
              <w:t>фонд рыночных финансовых инструментов</w:t>
            </w:r>
            <w:r w:rsidRPr="00402CEC">
              <w:rPr>
                <w:rFonts w:ascii="Times New Roman" w:hAnsi="Times New Roman"/>
                <w:bCs/>
                <w:sz w:val="24"/>
                <w:szCs w:val="24"/>
              </w:rPr>
              <w:t xml:space="preserve"> «САН – Смешанные инвестиции» (далее - фонд).</w:t>
            </w:r>
          </w:p>
        </w:tc>
      </w:tr>
      <w:tr w:rsidR="004524CB" w:rsidRPr="00402CEC" w:rsidTr="00BE00C5">
        <w:tc>
          <w:tcPr>
            <w:tcW w:w="4672" w:type="dxa"/>
          </w:tcPr>
          <w:p w:rsidR="004524CB" w:rsidRPr="003A78D9" w:rsidRDefault="004524CB" w:rsidP="004524CB">
            <w:pPr>
              <w:jc w:val="both"/>
              <w:rPr>
                <w:rFonts w:ascii="Times New Roman" w:hAnsi="Times New Roman"/>
                <w:bCs/>
                <w:sz w:val="24"/>
                <w:szCs w:val="24"/>
              </w:rPr>
            </w:pPr>
            <w:r w:rsidRPr="003A78D9">
              <w:rPr>
                <w:rFonts w:ascii="Times New Roman" w:hAnsi="Times New Roman"/>
                <w:bCs/>
                <w:sz w:val="24"/>
                <w:szCs w:val="24"/>
              </w:rPr>
              <w:t>2. Краткое название фонда: ОПИФ  смешанных инвестиций  «САН – Смешанные инвестиции».</w:t>
            </w:r>
          </w:p>
        </w:tc>
        <w:tc>
          <w:tcPr>
            <w:tcW w:w="4673" w:type="dxa"/>
          </w:tcPr>
          <w:p w:rsidR="004524CB" w:rsidRPr="003A78D9" w:rsidRDefault="004524CB" w:rsidP="004524CB">
            <w:pPr>
              <w:jc w:val="both"/>
              <w:rPr>
                <w:rFonts w:ascii="Times New Roman" w:hAnsi="Times New Roman"/>
                <w:bCs/>
                <w:sz w:val="24"/>
                <w:szCs w:val="24"/>
              </w:rPr>
            </w:pPr>
            <w:r w:rsidRPr="003A78D9">
              <w:rPr>
                <w:rFonts w:ascii="Times New Roman" w:hAnsi="Times New Roman"/>
                <w:bCs/>
                <w:sz w:val="24"/>
                <w:szCs w:val="24"/>
              </w:rPr>
              <w:t>2. Краткое название фонда: ОПИФ  рыночных финансовых инструментов  «САН – Смешанные инвестиции».</w:t>
            </w:r>
          </w:p>
        </w:tc>
      </w:tr>
      <w:tr w:rsidR="004524CB" w:rsidRPr="00402CEC" w:rsidTr="00BE00C5">
        <w:tc>
          <w:tcPr>
            <w:tcW w:w="4672" w:type="dxa"/>
          </w:tcPr>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 Объекты инвестирования, их состав и описание.</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Имущество, составляющее фонд, может быть инвестировано 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 денежные средства, в том числе иностранную валюту, на счетах и во вкладах в кредитных организациях;</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3) полностью оплаченные акции иностранных акционерных обществ;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4) долговые инструменты;</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6) паи (акции) иностранных </w:t>
            </w:r>
            <w:r w:rsidRPr="00402CEC">
              <w:rPr>
                <w:rFonts w:ascii="Times New Roman" w:hAnsi="Times New Roman"/>
                <w:bCs/>
                <w:sz w:val="24"/>
                <w:szCs w:val="24"/>
              </w:rPr>
              <w:lastRenderedPageBreak/>
              <w:t>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23.9. настоящих Правил, - значение «С», пятая буква - значение "S";</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7) российские и иностранные депозитарные расписки на ценные бумаги, предусмотренные настоящим пунктом;</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23.1. Под долговыми инструментами понимаются:</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б) биржевые облигации российских хозяйственных обществ;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д) российские и иностранные депозитарные расписки на ценные бумаги, предусмотренные подпунктами «а», «б», «в» и «г» настоящего  пункта. </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23.2. Имущество, составляющее Фонд, может быть инвестировано в облигации, эмитентами которых могут быть:</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lastRenderedPageBreak/>
              <w:t>федеральные органы исполнительной власти Российской Федерации;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органы исполнительной власти субъектов Российской Федерации; </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российские органы местного самоуправления;</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иностранные органы государственной власти;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международные финансовые организации;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российские и иностранные юридические лица.</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23.3. Акции российских открытых акционерных обществ и акции иностранных акционерных обществ могут быть обыкновенными и привилегированными.</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23.4.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денежного рынка;</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облигаций;</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акций;</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смешанных инвестиций;</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прямых инвестиций;</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особо рисковых (венчурных) инвестиций;</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рентный фонд;</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недвижимости;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ипотечный фонд;</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индексный фонд;</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кредитный фонд;</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фонд товарного рынка;</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хедж-фонд;</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 фонд художественных ценностей. </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23.5. Лица, обязанные по:</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D6217E" w:rsidRPr="00402CEC" w:rsidRDefault="00D6217E" w:rsidP="00D6217E">
            <w:pPr>
              <w:jc w:val="both"/>
              <w:rPr>
                <w:rFonts w:ascii="Times New Roman" w:hAnsi="Times New Roman"/>
                <w:bCs/>
                <w:sz w:val="24"/>
                <w:szCs w:val="24"/>
              </w:rPr>
            </w:pP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23.6.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а) ценная бумага включена в котировальные списки "А" или "Б" российской фондовой биржи;</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б) объем торгов по ценной бумаге за предыдущий календарный месяц на одной из иностранных фондовых бирж, указанных в пункте 23.9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23.7. Ценные бумаги, в которые инвестируется имущество, составляющее фонд, могут быть, как допущены, так и не допущены к торгам организаторов торговли на рынке ценных бумаг.</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Ценные бумаги, составляющие фонд, могут быть, как включены, так и не включены в котировальные списки фондовых бирж.</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23.8.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23.9.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 Американская фондовая биржа (American Stock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 Гонконгская фондовая биржа (Hong Kong Stock Exchange);</w:t>
            </w:r>
          </w:p>
          <w:p w:rsidR="00D6217E" w:rsidRPr="00402CEC" w:rsidRDefault="00D6217E" w:rsidP="00D6217E">
            <w:pPr>
              <w:jc w:val="both"/>
              <w:rPr>
                <w:rFonts w:ascii="Times New Roman" w:hAnsi="Times New Roman"/>
                <w:bCs/>
                <w:sz w:val="24"/>
                <w:szCs w:val="24"/>
                <w:lang w:val="en-US"/>
              </w:rPr>
            </w:pPr>
            <w:r w:rsidRPr="00402CEC">
              <w:rPr>
                <w:rFonts w:ascii="Times New Roman" w:hAnsi="Times New Roman"/>
                <w:bCs/>
                <w:sz w:val="24"/>
                <w:szCs w:val="24"/>
                <w:lang w:val="en-US"/>
              </w:rPr>
              <w:t xml:space="preserve">3) </w:t>
            </w:r>
            <w:r w:rsidRPr="00402CEC">
              <w:rPr>
                <w:rFonts w:ascii="Times New Roman" w:hAnsi="Times New Roman"/>
                <w:bCs/>
                <w:sz w:val="24"/>
                <w:szCs w:val="24"/>
              </w:rPr>
              <w:t>Евронекст</w:t>
            </w:r>
            <w:r w:rsidRPr="00402CEC">
              <w:rPr>
                <w:rFonts w:ascii="Times New Roman" w:hAnsi="Times New Roman"/>
                <w:bCs/>
                <w:sz w:val="24"/>
                <w:szCs w:val="24"/>
                <w:lang w:val="en-US"/>
              </w:rPr>
              <w:t xml:space="preserve"> (Euronext Amsterdam, Euronext Brussels, Euronext Lisbon, Euronext Paris);</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4) Закрытое акционерное общество "Фондовая биржа ММВБ";</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5) Ирландская фондовая биржа (Irish Stock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6) Испанская фондовая биржа (ВМЕ Spanish Exchanges);</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7) Итальянская фондовая биржа (Borsa Italiana);</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8) Корейская биржа (Korea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9) Лондонская фондовая биржа (London Stock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10) Люксембургская фондовая биржа (Luxembourg Stock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11) Насдак (Nasdaq);</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12) Немецкая фондовая биржа (Deutsche Borse);</w:t>
            </w:r>
          </w:p>
          <w:p w:rsidR="00D6217E" w:rsidRPr="00402CEC" w:rsidRDefault="00D6217E" w:rsidP="00D6217E">
            <w:pPr>
              <w:jc w:val="both"/>
              <w:rPr>
                <w:rFonts w:ascii="Times New Roman" w:hAnsi="Times New Roman"/>
                <w:bCs/>
                <w:sz w:val="24"/>
                <w:szCs w:val="24"/>
                <w:lang w:val="en-US"/>
              </w:rPr>
            </w:pPr>
            <w:r w:rsidRPr="00402CEC">
              <w:rPr>
                <w:rFonts w:ascii="Times New Roman" w:hAnsi="Times New Roman"/>
                <w:bCs/>
                <w:sz w:val="24"/>
                <w:szCs w:val="24"/>
                <w:lang w:val="en-US"/>
              </w:rPr>
              <w:t xml:space="preserve">13) </w:t>
            </w:r>
            <w:r w:rsidRPr="00402CEC">
              <w:rPr>
                <w:rFonts w:ascii="Times New Roman" w:hAnsi="Times New Roman"/>
                <w:bCs/>
                <w:sz w:val="24"/>
                <w:szCs w:val="24"/>
              </w:rPr>
              <w:t>Нью</w:t>
            </w:r>
            <w:r w:rsidRPr="00402CEC">
              <w:rPr>
                <w:rFonts w:ascii="Times New Roman" w:hAnsi="Times New Roman"/>
                <w:bCs/>
                <w:sz w:val="24"/>
                <w:szCs w:val="24"/>
                <w:lang w:val="en-US"/>
              </w:rPr>
              <w:t>-</w:t>
            </w:r>
            <w:r w:rsidRPr="00402CEC">
              <w:rPr>
                <w:rFonts w:ascii="Times New Roman" w:hAnsi="Times New Roman"/>
                <w:bCs/>
                <w:sz w:val="24"/>
                <w:szCs w:val="24"/>
              </w:rPr>
              <w:t>Йоркская</w:t>
            </w:r>
            <w:r w:rsidRPr="00402CEC">
              <w:rPr>
                <w:rFonts w:ascii="Times New Roman" w:hAnsi="Times New Roman"/>
                <w:bCs/>
                <w:sz w:val="24"/>
                <w:szCs w:val="24"/>
                <w:lang w:val="en-US"/>
              </w:rPr>
              <w:t xml:space="preserve"> </w:t>
            </w:r>
            <w:r w:rsidRPr="00402CEC">
              <w:rPr>
                <w:rFonts w:ascii="Times New Roman" w:hAnsi="Times New Roman"/>
                <w:bCs/>
                <w:sz w:val="24"/>
                <w:szCs w:val="24"/>
              </w:rPr>
              <w:t>фондовая</w:t>
            </w:r>
            <w:r w:rsidRPr="00402CEC">
              <w:rPr>
                <w:rFonts w:ascii="Times New Roman" w:hAnsi="Times New Roman"/>
                <w:bCs/>
                <w:sz w:val="24"/>
                <w:szCs w:val="24"/>
                <w:lang w:val="en-US"/>
              </w:rPr>
              <w:t xml:space="preserve"> </w:t>
            </w:r>
            <w:r w:rsidRPr="00402CEC">
              <w:rPr>
                <w:rFonts w:ascii="Times New Roman" w:hAnsi="Times New Roman"/>
                <w:bCs/>
                <w:sz w:val="24"/>
                <w:szCs w:val="24"/>
              </w:rPr>
              <w:t>биржа</w:t>
            </w:r>
            <w:r w:rsidRPr="00402CEC">
              <w:rPr>
                <w:rFonts w:ascii="Times New Roman" w:hAnsi="Times New Roman"/>
                <w:bCs/>
                <w:sz w:val="24"/>
                <w:szCs w:val="24"/>
                <w:lang w:val="en-US"/>
              </w:rPr>
              <w:t xml:space="preserve"> (New York Stock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14) Открытое акционерное общество "Фондовая биржа "Российская Торговая Система";</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15) Токийская фондовая биржа (Tokyo Stock Exchange Group);</w:t>
            </w:r>
          </w:p>
          <w:p w:rsidR="00D6217E" w:rsidRPr="00402CEC" w:rsidRDefault="00D6217E" w:rsidP="00D6217E">
            <w:pPr>
              <w:jc w:val="both"/>
              <w:rPr>
                <w:rFonts w:ascii="Times New Roman" w:hAnsi="Times New Roman"/>
                <w:bCs/>
                <w:sz w:val="24"/>
                <w:szCs w:val="24"/>
                <w:lang w:val="en-US"/>
              </w:rPr>
            </w:pPr>
            <w:r w:rsidRPr="00402CEC">
              <w:rPr>
                <w:rFonts w:ascii="Times New Roman" w:hAnsi="Times New Roman"/>
                <w:bCs/>
                <w:sz w:val="24"/>
                <w:szCs w:val="24"/>
                <w:lang w:val="en-US"/>
              </w:rPr>
              <w:t xml:space="preserve">16) </w:t>
            </w:r>
            <w:r w:rsidRPr="00402CEC">
              <w:rPr>
                <w:rFonts w:ascii="Times New Roman" w:hAnsi="Times New Roman"/>
                <w:bCs/>
                <w:sz w:val="24"/>
                <w:szCs w:val="24"/>
              </w:rPr>
              <w:t>Фондовая</w:t>
            </w:r>
            <w:r w:rsidRPr="00402CEC">
              <w:rPr>
                <w:rFonts w:ascii="Times New Roman" w:hAnsi="Times New Roman"/>
                <w:bCs/>
                <w:sz w:val="24"/>
                <w:szCs w:val="24"/>
                <w:lang w:val="en-US"/>
              </w:rPr>
              <w:t xml:space="preserve"> </w:t>
            </w:r>
            <w:r w:rsidRPr="00402CEC">
              <w:rPr>
                <w:rFonts w:ascii="Times New Roman" w:hAnsi="Times New Roman"/>
                <w:bCs/>
                <w:sz w:val="24"/>
                <w:szCs w:val="24"/>
              </w:rPr>
              <w:t>биржа</w:t>
            </w:r>
            <w:r w:rsidRPr="00402CEC">
              <w:rPr>
                <w:rFonts w:ascii="Times New Roman" w:hAnsi="Times New Roman"/>
                <w:bCs/>
                <w:sz w:val="24"/>
                <w:szCs w:val="24"/>
                <w:lang w:val="en-US"/>
              </w:rPr>
              <w:t xml:space="preserve"> </w:t>
            </w:r>
            <w:r w:rsidRPr="00402CEC">
              <w:rPr>
                <w:rFonts w:ascii="Times New Roman" w:hAnsi="Times New Roman"/>
                <w:bCs/>
                <w:sz w:val="24"/>
                <w:szCs w:val="24"/>
              </w:rPr>
              <w:t>Торонто</w:t>
            </w:r>
            <w:r w:rsidRPr="00402CEC">
              <w:rPr>
                <w:rFonts w:ascii="Times New Roman" w:hAnsi="Times New Roman"/>
                <w:bCs/>
                <w:sz w:val="24"/>
                <w:szCs w:val="24"/>
                <w:lang w:val="en-US"/>
              </w:rPr>
              <w:t xml:space="preserve"> (Toronto Stock Exchange, TSX Group);</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17) Фондовая биржа Швейцарии (Swiss Exchange);</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18) Шанхайская фондовая биржа (Shanghai Stock Exchange).</w:t>
            </w:r>
          </w:p>
          <w:p w:rsidR="004524CB"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также на паи (акции) иностранных инвестиционных фондов открытого типа.</w:t>
            </w:r>
          </w:p>
        </w:tc>
        <w:tc>
          <w:tcPr>
            <w:tcW w:w="4673" w:type="dxa"/>
          </w:tcPr>
          <w:p w:rsidR="00C812A3" w:rsidRPr="00402CEC" w:rsidRDefault="00C812A3" w:rsidP="00C812A3">
            <w:pPr>
              <w:jc w:val="both"/>
              <w:rPr>
                <w:rFonts w:ascii="Times New Roman" w:hAnsi="Times New Roman"/>
                <w:bCs/>
                <w:sz w:val="24"/>
                <w:szCs w:val="24"/>
              </w:rPr>
            </w:pPr>
            <w:r w:rsidRPr="00402CEC">
              <w:rPr>
                <w:rFonts w:ascii="Times New Roman" w:hAnsi="Times New Roman"/>
                <w:bCs/>
                <w:sz w:val="24"/>
                <w:szCs w:val="24"/>
              </w:rPr>
              <w:lastRenderedPageBreak/>
              <w:t>23. Объекты инвестирования, их состав и описание.</w:t>
            </w:r>
          </w:p>
          <w:p w:rsidR="00C812A3" w:rsidRPr="00402CEC" w:rsidRDefault="00C812A3" w:rsidP="00C812A3">
            <w:pPr>
              <w:jc w:val="both"/>
              <w:rPr>
                <w:rFonts w:ascii="Times New Roman" w:hAnsi="Times New Roman"/>
                <w:bCs/>
                <w:sz w:val="24"/>
                <w:szCs w:val="24"/>
              </w:rPr>
            </w:pPr>
            <w:r w:rsidRPr="00402CEC">
              <w:rPr>
                <w:rFonts w:ascii="Times New Roman" w:hAnsi="Times New Roman"/>
                <w:bCs/>
                <w:sz w:val="24"/>
                <w:szCs w:val="24"/>
              </w:rPr>
              <w:t>Имущество, составляющее фонд, может быть инвестировано в:</w:t>
            </w:r>
          </w:p>
          <w:p w:rsidR="00BD1DE0" w:rsidRPr="002D2C9B" w:rsidRDefault="00821F4C" w:rsidP="00BD1DE0">
            <w:pPr>
              <w:jc w:val="both"/>
              <w:rPr>
                <w:rFonts w:ascii="Times New Roman" w:hAnsi="Times New Roman"/>
                <w:bCs/>
                <w:sz w:val="24"/>
                <w:szCs w:val="24"/>
              </w:rPr>
            </w:pPr>
            <w:r>
              <w:rPr>
                <w:rFonts w:ascii="Times New Roman" w:hAnsi="Times New Roman"/>
                <w:bCs/>
                <w:sz w:val="24"/>
                <w:szCs w:val="24"/>
              </w:rPr>
              <w:t>1)</w:t>
            </w:r>
            <w:r w:rsidR="00BD1DE0" w:rsidRPr="00402CEC">
              <w:rPr>
                <w:rFonts w:ascii="Times New Roman" w:hAnsi="Times New Roman"/>
                <w:bCs/>
                <w:sz w:val="24"/>
                <w:szCs w:val="24"/>
              </w:rPr>
              <w:t xml:space="preserve"> Денежные средства в рублях и в иностранной валюте на счетах и во вкладах (депозитах) в российских кредитных организациях и иностранных</w:t>
            </w:r>
            <w:r w:rsidR="00067605" w:rsidRPr="00402CEC">
              <w:rPr>
                <w:rFonts w:ascii="Times New Roman" w:hAnsi="Times New Roman"/>
                <w:bCs/>
                <w:sz w:val="24"/>
                <w:szCs w:val="24"/>
              </w:rPr>
              <w:t xml:space="preserve"> юридических лицах, признанных банками по законодательству иностранных государств, являющихся членами Евразийского экономического союза</w:t>
            </w:r>
            <w:r w:rsidR="00BD1DE0" w:rsidRPr="00402CEC">
              <w:rPr>
                <w:rFonts w:ascii="Times New Roman" w:hAnsi="Times New Roman"/>
                <w:bCs/>
                <w:sz w:val="24"/>
                <w:szCs w:val="24"/>
              </w:rPr>
              <w:t xml:space="preserve"> (ЕАЭС), Организации</w:t>
            </w:r>
            <w:r w:rsidR="0088565C">
              <w:rPr>
                <w:rFonts w:ascii="Times New Roman" w:hAnsi="Times New Roman"/>
                <w:bCs/>
                <w:sz w:val="24"/>
                <w:szCs w:val="24"/>
              </w:rPr>
              <w:t xml:space="preserve"> </w:t>
            </w:r>
            <w:r w:rsidR="00BD1DE0" w:rsidRPr="00402CEC">
              <w:rPr>
                <w:rFonts w:ascii="Times New Roman" w:hAnsi="Times New Roman"/>
                <w:bCs/>
                <w:sz w:val="24"/>
                <w:szCs w:val="24"/>
              </w:rPr>
              <w:t>экономического сотрудничества и развития (ОЭСР), Европейского союза, Китая, Индии, Бразилии, Южно- Африканской Республики (далее - иностранные государства), на территории которых они</w:t>
            </w:r>
            <w:r w:rsidR="00067605" w:rsidRPr="00402CEC">
              <w:rPr>
                <w:rFonts w:ascii="Times New Roman" w:hAnsi="Times New Roman"/>
                <w:bCs/>
                <w:sz w:val="24"/>
                <w:szCs w:val="24"/>
              </w:rPr>
              <w:t xml:space="preserve"> </w:t>
            </w:r>
            <w:r w:rsidR="00BD1DE0" w:rsidRPr="002D2C9B">
              <w:rPr>
                <w:rFonts w:ascii="Times New Roman" w:hAnsi="Times New Roman"/>
                <w:bCs/>
                <w:sz w:val="24"/>
                <w:szCs w:val="24"/>
              </w:rPr>
              <w:t xml:space="preserve">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w:t>
            </w:r>
            <w:r w:rsidR="00BD1DE0" w:rsidRPr="002D2C9B">
              <w:rPr>
                <w:rFonts w:ascii="Times New Roman" w:hAnsi="Times New Roman"/>
                <w:bCs/>
                <w:sz w:val="24"/>
                <w:szCs w:val="24"/>
              </w:rPr>
              <w:lastRenderedPageBreak/>
              <w:t>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BD1DE0" w:rsidRPr="002D2C9B" w:rsidRDefault="00821F4C" w:rsidP="00BD1DE0">
            <w:pPr>
              <w:jc w:val="both"/>
              <w:rPr>
                <w:rFonts w:ascii="Times New Roman" w:hAnsi="Times New Roman"/>
                <w:bCs/>
                <w:sz w:val="24"/>
                <w:szCs w:val="24"/>
              </w:rPr>
            </w:pPr>
            <w:r w:rsidRPr="002D2C9B">
              <w:rPr>
                <w:rFonts w:ascii="Times New Roman" w:hAnsi="Times New Roman"/>
                <w:bCs/>
                <w:sz w:val="24"/>
                <w:szCs w:val="24"/>
              </w:rPr>
              <w:t>2)</w:t>
            </w:r>
            <w:r w:rsidR="00BD1DE0" w:rsidRPr="002D2C9B">
              <w:rPr>
                <w:rFonts w:ascii="Times New Roman" w:hAnsi="Times New Roman"/>
                <w:bCs/>
                <w:sz w:val="24"/>
                <w:szCs w:val="24"/>
              </w:rPr>
              <w:t xml:space="preserve">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w:t>
            </w:r>
            <w:r w:rsidR="00067605" w:rsidRPr="002D2C9B">
              <w:rPr>
                <w:rFonts w:ascii="Times New Roman" w:hAnsi="Times New Roman"/>
                <w:bCs/>
                <w:sz w:val="24"/>
                <w:szCs w:val="24"/>
              </w:rPr>
              <w:t xml:space="preserve"> </w:t>
            </w:r>
            <w:r w:rsidR="00BD1DE0" w:rsidRPr="002D2C9B">
              <w:rPr>
                <w:rFonts w:ascii="Times New Roman" w:hAnsi="Times New Roman"/>
                <w:bCs/>
                <w:sz w:val="24"/>
                <w:szCs w:val="24"/>
              </w:rPr>
              <w:t>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w:t>
            </w:r>
            <w:r w:rsidR="0088565C">
              <w:rPr>
                <w:rFonts w:ascii="Times New Roman" w:hAnsi="Times New Roman"/>
                <w:bCs/>
                <w:sz w:val="24"/>
                <w:szCs w:val="24"/>
              </w:rPr>
              <w:t xml:space="preserve"> </w:t>
            </w:r>
            <w:r w:rsidR="00BD1DE0" w:rsidRPr="002D2C9B">
              <w:rPr>
                <w:rFonts w:ascii="Times New Roman" w:hAnsi="Times New Roman"/>
                <w:bCs/>
                <w:sz w:val="24"/>
                <w:szCs w:val="24"/>
              </w:rPr>
              <w:t>организованным торгам, а также условием для непроведения</w:t>
            </w:r>
            <w:r w:rsidR="00DD0911" w:rsidRPr="002D2C9B">
              <w:rPr>
                <w:rFonts w:ascii="Times New Roman" w:hAnsi="Times New Roman"/>
                <w:bCs/>
                <w:sz w:val="24"/>
                <w:szCs w:val="24"/>
              </w:rPr>
              <w:t xml:space="preserve"> </w:t>
            </w:r>
            <w:r w:rsidR="00BD1DE0" w:rsidRPr="002D2C9B">
              <w:rPr>
                <w:rFonts w:ascii="Times New Roman" w:hAnsi="Times New Roman"/>
                <w:bCs/>
                <w:sz w:val="24"/>
                <w:szCs w:val="24"/>
              </w:rPr>
              <w:t>организациями, осуществляющими операции с денежными средствами или иным имуществом, идентификации бенефициарных владельцев</w:t>
            </w:r>
            <w:r w:rsidR="00DD0911" w:rsidRPr="002D2C9B">
              <w:rPr>
                <w:rFonts w:ascii="Times New Roman" w:hAnsi="Times New Roman"/>
                <w:bCs/>
                <w:sz w:val="24"/>
                <w:szCs w:val="24"/>
              </w:rPr>
              <w:t xml:space="preserve"> </w:t>
            </w:r>
            <w:r w:rsidR="00BD1DE0" w:rsidRPr="002D2C9B">
              <w:rPr>
                <w:rFonts w:ascii="Times New Roman" w:hAnsi="Times New Roman"/>
                <w:bCs/>
                <w:sz w:val="24"/>
                <w:szCs w:val="24"/>
              </w:rPr>
              <w:t>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w:t>
            </w:r>
            <w:r w:rsidR="006B58C8" w:rsidRPr="002D2C9B">
              <w:rPr>
                <w:rFonts w:ascii="Times New Roman" w:hAnsi="Times New Roman"/>
                <w:bCs/>
                <w:sz w:val="24"/>
                <w:szCs w:val="24"/>
              </w:rPr>
              <w:t xml:space="preserve"> </w:t>
            </w:r>
            <w:r w:rsidR="00BD1DE0" w:rsidRPr="002D2C9B">
              <w:rPr>
                <w:rFonts w:ascii="Times New Roman" w:hAnsi="Times New Roman"/>
                <w:bCs/>
                <w:sz w:val="24"/>
                <w:szCs w:val="24"/>
              </w:rPr>
              <w:t>за исключением инвестиционных паев фондов для квалифицированных инвесторов:</w:t>
            </w:r>
          </w:p>
          <w:p w:rsidR="00A1360B" w:rsidRPr="000B28FA" w:rsidRDefault="00DD0911" w:rsidP="00A1360B">
            <w:pPr>
              <w:pStyle w:val="RulesNo"/>
              <w:ind w:firstLine="567"/>
              <w:rPr>
                <w:rFonts w:ascii="Times New Roman" w:hAnsi="Times New Roman" w:cs="Times New Roman"/>
                <w:bCs/>
                <w:sz w:val="24"/>
                <w:szCs w:val="24"/>
              </w:rPr>
            </w:pPr>
            <w:r w:rsidRPr="002D2C9B">
              <w:rPr>
                <w:rFonts w:ascii="Times New Roman" w:hAnsi="Times New Roman" w:cs="Times New Roman"/>
                <w:bCs/>
                <w:sz w:val="24"/>
                <w:szCs w:val="24"/>
              </w:rPr>
              <w:t xml:space="preserve">- </w:t>
            </w:r>
            <w:r w:rsidR="00BD1DE0" w:rsidRPr="002D2C9B">
              <w:rPr>
                <w:rFonts w:ascii="Times New Roman" w:hAnsi="Times New Roman" w:cs="Times New Roman"/>
                <w:bCs/>
                <w:sz w:val="24"/>
                <w:szCs w:val="24"/>
              </w:rPr>
              <w:t>паи (акции) иностранных инвестиционных фондов</w:t>
            </w:r>
            <w:r w:rsidR="00BD1DE0" w:rsidRPr="00E50C22">
              <w:rPr>
                <w:rFonts w:ascii="Times New Roman" w:hAnsi="Times New Roman" w:cs="Times New Roman"/>
                <w:bCs/>
                <w:sz w:val="24"/>
                <w:szCs w:val="24"/>
              </w:rPr>
              <w:t>,</w:t>
            </w:r>
            <w:r w:rsidR="00496814" w:rsidRPr="000B28FA">
              <w:rPr>
                <w:rFonts w:ascii="Times New Roman" w:hAnsi="Times New Roman" w:cs="Times New Roman"/>
                <w:bCs/>
                <w:sz w:val="24"/>
                <w:szCs w:val="24"/>
              </w:rPr>
              <w:t xml:space="preserve"> при этом:</w:t>
            </w:r>
          </w:p>
          <w:p w:rsidR="00A1360B" w:rsidRPr="000B28FA" w:rsidRDefault="00496814" w:rsidP="00A1360B">
            <w:pPr>
              <w:pStyle w:val="RulesNo"/>
              <w:rPr>
                <w:rFonts w:ascii="Times New Roman" w:hAnsi="Times New Roman" w:cs="Times New Roman"/>
                <w:bCs/>
                <w:sz w:val="24"/>
                <w:szCs w:val="24"/>
              </w:rPr>
            </w:pPr>
            <w:r w:rsidRPr="000B28FA">
              <w:rPr>
                <w:rFonts w:ascii="Times New Roman" w:hAnsi="Times New Roman" w:cs="Times New Roman"/>
                <w:bCs/>
                <w:sz w:val="24"/>
                <w:szCs w:val="24"/>
              </w:rPr>
              <w:t>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значение «С», пятая буква - значение «S»;</w:t>
            </w:r>
          </w:p>
          <w:p w:rsidR="00A1360B" w:rsidRPr="000B28FA" w:rsidRDefault="00496814" w:rsidP="00A1360B">
            <w:pPr>
              <w:pStyle w:val="RulesNo"/>
              <w:rPr>
                <w:rFonts w:ascii="Times New Roman" w:hAnsi="Times New Roman" w:cs="Times New Roman"/>
                <w:bCs/>
                <w:sz w:val="24"/>
                <w:szCs w:val="24"/>
              </w:rPr>
            </w:pPr>
            <w:r w:rsidRPr="000B28FA">
              <w:rPr>
                <w:rFonts w:ascii="Times New Roman" w:hAnsi="Times New Roman" w:cs="Times New Roman"/>
                <w:bCs/>
                <w:sz w:val="24"/>
                <w:szCs w:val="24"/>
              </w:rPr>
              <w:t>или</w:t>
            </w:r>
          </w:p>
          <w:p w:rsidR="000B28FA" w:rsidRDefault="00496814" w:rsidP="000B28FA">
            <w:pPr>
              <w:pStyle w:val="RulesNo"/>
              <w:ind w:firstLine="567"/>
              <w:rPr>
                <w:rFonts w:ascii="Times New Roman" w:hAnsi="Times New Roman" w:cs="Times New Roman"/>
                <w:bCs/>
                <w:sz w:val="24"/>
                <w:szCs w:val="24"/>
              </w:rPr>
            </w:pPr>
            <w:r w:rsidRPr="000B28FA">
              <w:rPr>
                <w:rFonts w:ascii="Times New Roman" w:hAnsi="Times New Roman" w:cs="Times New Roman"/>
                <w:bCs/>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«B», или «Е», или «V», или «L», или «С», или «D», или «М»;</w:t>
            </w:r>
          </w:p>
          <w:p w:rsidR="00BD1DE0" w:rsidRPr="00402CEC" w:rsidRDefault="00BD1DE0" w:rsidP="000B28FA">
            <w:pPr>
              <w:pStyle w:val="RulesNo"/>
              <w:ind w:firstLine="567"/>
              <w:rPr>
                <w:rFonts w:ascii="Times New Roman" w:hAnsi="Times New Roman" w:cs="Times New Roman"/>
                <w:bCs/>
                <w:sz w:val="24"/>
                <w:szCs w:val="24"/>
                <w:highlight w:val="yellow"/>
              </w:rPr>
            </w:pPr>
          </w:p>
          <w:p w:rsidR="00BD1DE0" w:rsidRPr="002D2C9B" w:rsidRDefault="00DD0911" w:rsidP="00BD1DE0">
            <w:pPr>
              <w:spacing w:after="160" w:line="259" w:lineRule="auto"/>
              <w:jc w:val="both"/>
              <w:rPr>
                <w:rFonts w:ascii="Times New Roman" w:hAnsi="Times New Roman"/>
                <w:bCs/>
                <w:sz w:val="24"/>
                <w:szCs w:val="24"/>
              </w:rPr>
            </w:pPr>
            <w:r w:rsidRPr="00E50C22">
              <w:rPr>
                <w:rFonts w:ascii="Times New Roman" w:hAnsi="Times New Roman"/>
                <w:bCs/>
                <w:sz w:val="24"/>
                <w:szCs w:val="24"/>
              </w:rPr>
              <w:t xml:space="preserve">- </w:t>
            </w:r>
            <w:r w:rsidR="00496814">
              <w:rPr>
                <w:rFonts w:ascii="Times New Roman" w:hAnsi="Times New Roman"/>
                <w:bCs/>
                <w:sz w:val="24"/>
                <w:szCs w:val="24"/>
              </w:rPr>
              <w:t>государственные ценные бумаги субъектов Российской Федерации и муниципальные ценные бумаги;</w:t>
            </w:r>
          </w:p>
          <w:p w:rsidR="00BD1DE0" w:rsidRPr="00E50C22" w:rsidRDefault="00496814" w:rsidP="00BD1DE0">
            <w:pPr>
              <w:jc w:val="both"/>
              <w:rPr>
                <w:rFonts w:ascii="Times New Roman" w:hAnsi="Times New Roman"/>
                <w:bCs/>
                <w:sz w:val="24"/>
                <w:szCs w:val="24"/>
              </w:rPr>
            </w:pPr>
            <w:r>
              <w:rPr>
                <w:rFonts w:ascii="Times New Roman" w:hAnsi="Times New Roman"/>
                <w:bCs/>
                <w:sz w:val="24"/>
                <w:szCs w:val="24"/>
              </w:rPr>
              <w:t>-    акции российских акционерных обществ,</w:t>
            </w:r>
            <w:r w:rsidR="00BD1DE0" w:rsidRPr="00E50C22">
              <w:rPr>
                <w:rFonts w:ascii="Times New Roman" w:hAnsi="Times New Roman"/>
                <w:bCs/>
                <w:sz w:val="24"/>
                <w:szCs w:val="24"/>
              </w:rPr>
              <w:t xml:space="preserve"> за исключением акций акционерных инвестиционных фондов;</w:t>
            </w:r>
          </w:p>
          <w:p w:rsidR="00BD1DE0" w:rsidRPr="00E50C22" w:rsidRDefault="00BD1DE0" w:rsidP="00BD1DE0">
            <w:pPr>
              <w:jc w:val="both"/>
              <w:rPr>
                <w:rFonts w:ascii="Times New Roman" w:hAnsi="Times New Roman"/>
                <w:bCs/>
                <w:sz w:val="24"/>
                <w:szCs w:val="24"/>
              </w:rPr>
            </w:pPr>
            <w:r w:rsidRPr="00E50C22">
              <w:rPr>
                <w:rFonts w:ascii="Times New Roman" w:hAnsi="Times New Roman"/>
                <w:bCs/>
                <w:sz w:val="24"/>
                <w:szCs w:val="24"/>
              </w:rPr>
              <w:t>- акции иностранных акционерных обществ;</w:t>
            </w:r>
          </w:p>
          <w:p w:rsidR="00BD1DE0" w:rsidRPr="00487C90" w:rsidRDefault="00BD1DE0" w:rsidP="00BD1DE0">
            <w:pPr>
              <w:spacing w:after="160" w:line="259" w:lineRule="auto"/>
              <w:jc w:val="both"/>
              <w:rPr>
                <w:rFonts w:ascii="Times New Roman" w:hAnsi="Times New Roman"/>
                <w:bCs/>
                <w:sz w:val="24"/>
                <w:szCs w:val="24"/>
              </w:rPr>
            </w:pPr>
            <w:r w:rsidRPr="00BD5DF9">
              <w:rPr>
                <w:rFonts w:ascii="Times New Roman" w:hAnsi="Times New Roman"/>
                <w:bCs/>
                <w:sz w:val="24"/>
                <w:szCs w:val="24"/>
              </w:rPr>
              <w:t xml:space="preserve">- </w:t>
            </w:r>
            <w:r w:rsidR="00496814">
              <w:rPr>
                <w:rFonts w:ascii="Times New Roman" w:hAnsi="Times New Roman"/>
                <w:bCs/>
                <w:sz w:val="24"/>
                <w:szCs w:val="24"/>
              </w:rPr>
              <w:t xml:space="preserve">облигации российских </w:t>
            </w:r>
            <w:r w:rsidR="00DE1E19">
              <w:rPr>
                <w:rFonts w:ascii="Times New Roman" w:hAnsi="Times New Roman"/>
                <w:bCs/>
                <w:sz w:val="24"/>
                <w:szCs w:val="24"/>
              </w:rPr>
              <w:t>юридических лиц</w:t>
            </w:r>
            <w:r w:rsidR="00487C90">
              <w:rPr>
                <w:rFonts w:ascii="Times New Roman" w:hAnsi="Times New Roman"/>
                <w:bCs/>
                <w:sz w:val="24"/>
                <w:szCs w:val="24"/>
              </w:rPr>
              <w:t>;</w:t>
            </w:r>
          </w:p>
          <w:p w:rsidR="00E35FCE" w:rsidRPr="002D2C9B" w:rsidRDefault="00496814" w:rsidP="00BD1DE0">
            <w:pPr>
              <w:spacing w:after="160" w:line="259" w:lineRule="auto"/>
              <w:jc w:val="both"/>
              <w:rPr>
                <w:rFonts w:ascii="Times New Roman" w:hAnsi="Times New Roman"/>
                <w:bCs/>
                <w:sz w:val="24"/>
                <w:szCs w:val="24"/>
              </w:rPr>
            </w:pPr>
            <w:r>
              <w:rPr>
                <w:rFonts w:ascii="Times New Roman" w:hAnsi="Times New Roman"/>
                <w:bCs/>
                <w:sz w:val="24"/>
                <w:szCs w:val="24"/>
              </w:rPr>
              <w:t xml:space="preserve">- </w:t>
            </w:r>
            <w:r w:rsidRPr="00487C90">
              <w:rPr>
                <w:rFonts w:ascii="Times New Roman" w:hAnsi="Times New Roman"/>
                <w:bCs/>
                <w:sz w:val="24"/>
                <w:szCs w:val="24"/>
              </w:rPr>
              <w:t>биржевые облигации российских юридических лиц;</w:t>
            </w:r>
            <w:r>
              <w:rPr>
                <w:rFonts w:ascii="AGOpusHR" w:hAnsi="AGOpusHR" w:cs="AGOpusHR"/>
                <w:color w:val="000000"/>
                <w:lang w:eastAsia="ru-RU"/>
              </w:rPr>
              <w:t xml:space="preserve"> </w:t>
            </w:r>
          </w:p>
          <w:p w:rsidR="008F734E" w:rsidRDefault="00496814" w:rsidP="00487C90">
            <w:pPr>
              <w:jc w:val="both"/>
              <w:rPr>
                <w:rFonts w:ascii="Times New Roman" w:hAnsi="Times New Roman"/>
                <w:bCs/>
                <w:sz w:val="24"/>
                <w:szCs w:val="24"/>
              </w:rPr>
            </w:pPr>
            <w:r>
              <w:rPr>
                <w:rFonts w:ascii="Times New Roman" w:hAnsi="Times New Roman"/>
                <w:bCs/>
                <w:sz w:val="24"/>
                <w:szCs w:val="24"/>
              </w:rPr>
              <w:t>-  облигации иностранных эмитентов и  международных финансовых организаций;</w:t>
            </w:r>
          </w:p>
          <w:p w:rsidR="00BD1DE0" w:rsidRPr="00402CEC" w:rsidRDefault="00496814" w:rsidP="00821F4C">
            <w:pPr>
              <w:jc w:val="both"/>
              <w:rPr>
                <w:rFonts w:ascii="Times New Roman" w:hAnsi="Times New Roman"/>
                <w:bCs/>
                <w:sz w:val="24"/>
                <w:szCs w:val="24"/>
                <w:highlight w:val="yellow"/>
              </w:rPr>
            </w:pPr>
            <w:r w:rsidRPr="00487C90">
              <w:rPr>
                <w:rFonts w:ascii="Times New Roman" w:hAnsi="Times New Roman"/>
                <w:bCs/>
                <w:sz w:val="24"/>
                <w:szCs w:val="24"/>
              </w:rPr>
              <w:t>- инвестиционные паи закрытых, интервальных паевых инвестиционных фондов</w:t>
            </w:r>
            <w:r>
              <w:rPr>
                <w:rFonts w:ascii="AGOpusHR" w:hAnsi="AGOpusHR" w:cs="AGOpusHR"/>
                <w:color w:val="000000"/>
                <w:lang w:eastAsia="ru-RU"/>
              </w:rPr>
              <w:t>,</w:t>
            </w:r>
            <w:r w:rsidR="00E35FCE">
              <w:rPr>
                <w:rFonts w:ascii="AGOpusHR" w:hAnsi="AGOpusHR" w:cs="AGOpusHR"/>
                <w:color w:val="000000"/>
                <w:lang w:eastAsia="ru-RU"/>
              </w:rPr>
              <w:t xml:space="preserve"> относящихся к категории фонда рыночных финансовых инструментов или к категории фонда недвижимости</w:t>
            </w:r>
            <w:r w:rsidR="00BD1DE0" w:rsidRPr="00487C90">
              <w:rPr>
                <w:rFonts w:ascii="Times New Roman" w:hAnsi="Times New Roman"/>
                <w:bCs/>
                <w:sz w:val="24"/>
                <w:szCs w:val="24"/>
              </w:rPr>
              <w:t>;</w:t>
            </w:r>
          </w:p>
          <w:p w:rsidR="00BD1DE0" w:rsidRPr="00B60F12" w:rsidRDefault="00496814" w:rsidP="00BD1DE0">
            <w:pPr>
              <w:spacing w:after="160" w:line="259" w:lineRule="auto"/>
              <w:jc w:val="both"/>
              <w:rPr>
                <w:rFonts w:ascii="Times New Roman" w:hAnsi="Times New Roman"/>
                <w:bCs/>
                <w:sz w:val="24"/>
                <w:szCs w:val="24"/>
              </w:rPr>
            </w:pPr>
            <w:r>
              <w:rPr>
                <w:rFonts w:ascii="Times New Roman" w:hAnsi="Times New Roman"/>
                <w:bCs/>
                <w:sz w:val="24"/>
                <w:szCs w:val="24"/>
              </w:rPr>
              <w:t>- российские и иностранные депозитарные расписки на ценные бумаги, предусмотренные настоящим пунктом;</w:t>
            </w:r>
          </w:p>
          <w:p w:rsidR="00BD1DE0" w:rsidRPr="00402CEC" w:rsidRDefault="00496814" w:rsidP="00BD1DE0">
            <w:pPr>
              <w:jc w:val="both"/>
              <w:rPr>
                <w:rFonts w:ascii="Times New Roman" w:hAnsi="Times New Roman"/>
                <w:bCs/>
                <w:sz w:val="24"/>
                <w:szCs w:val="24"/>
              </w:rPr>
            </w:pPr>
            <w:r>
              <w:rPr>
                <w:rFonts w:ascii="Times New Roman" w:hAnsi="Times New Roman"/>
                <w:bCs/>
                <w:sz w:val="24"/>
                <w:szCs w:val="24"/>
              </w:rPr>
              <w:t>3) Инвестиционные паи открытых паевых инвестиционных фондов</w:t>
            </w:r>
            <w:r>
              <w:rPr>
                <w:rFonts w:ascii="AGOpusHR" w:hAnsi="AGOpusHR" w:cs="AGOpusHR"/>
                <w:color w:val="000000"/>
                <w:lang w:eastAsia="ru-RU"/>
              </w:rPr>
              <w:t>,</w:t>
            </w:r>
            <w:r w:rsidR="004C6241">
              <w:rPr>
                <w:rFonts w:ascii="AGOpusHR" w:hAnsi="AGOpusHR" w:cs="AGOpusHR"/>
                <w:color w:val="000000"/>
                <w:lang w:eastAsia="ru-RU"/>
              </w:rPr>
              <w:t xml:space="preserve"> относящихся к категории фонда рыночных финансовых инструменто</w:t>
            </w:r>
            <w:r w:rsidR="004C6241" w:rsidRPr="00487C90">
              <w:rPr>
                <w:rFonts w:ascii="AGOpusHR" w:hAnsi="AGOpusHR" w:cs="AGOpusHR"/>
                <w:color w:val="000000"/>
                <w:lang w:eastAsia="ru-RU"/>
              </w:rPr>
              <w:t>в</w:t>
            </w:r>
            <w:r w:rsidR="00BD1DE0" w:rsidRPr="00487C90">
              <w:rPr>
                <w:rFonts w:ascii="Times New Roman" w:hAnsi="Times New Roman"/>
                <w:bCs/>
                <w:sz w:val="24"/>
                <w:szCs w:val="24"/>
              </w:rPr>
              <w:t>;</w:t>
            </w:r>
          </w:p>
          <w:p w:rsidR="00BD1DE0" w:rsidRPr="00402CEC" w:rsidRDefault="00821F4C" w:rsidP="00BD1DE0">
            <w:pPr>
              <w:jc w:val="both"/>
              <w:rPr>
                <w:rFonts w:ascii="Times New Roman" w:hAnsi="Times New Roman"/>
                <w:bCs/>
                <w:sz w:val="24"/>
                <w:szCs w:val="24"/>
              </w:rPr>
            </w:pPr>
            <w:r>
              <w:rPr>
                <w:rFonts w:ascii="Times New Roman" w:hAnsi="Times New Roman"/>
                <w:bCs/>
                <w:sz w:val="24"/>
                <w:szCs w:val="24"/>
              </w:rPr>
              <w:t>4)</w:t>
            </w:r>
            <w:r w:rsidR="00BD1DE0" w:rsidRPr="00402CEC">
              <w:rPr>
                <w:rFonts w:ascii="Times New Roman" w:hAnsi="Times New Roman"/>
                <w:bCs/>
                <w:sz w:val="24"/>
                <w:szCs w:val="24"/>
              </w:rPr>
              <w:t xml:space="preserve"> Права требования из договоров, заключенных для целей доверительного управления в отношении активов, указанных в настоящем пункте;</w:t>
            </w:r>
          </w:p>
          <w:p w:rsidR="00BD1DE0" w:rsidRPr="00402CEC" w:rsidRDefault="00821F4C" w:rsidP="00BD1DE0">
            <w:pPr>
              <w:jc w:val="both"/>
              <w:rPr>
                <w:rFonts w:ascii="Times New Roman" w:hAnsi="Times New Roman"/>
                <w:bCs/>
                <w:sz w:val="24"/>
                <w:szCs w:val="24"/>
              </w:rPr>
            </w:pPr>
            <w:r>
              <w:rPr>
                <w:rFonts w:ascii="Times New Roman" w:hAnsi="Times New Roman"/>
                <w:bCs/>
                <w:sz w:val="24"/>
                <w:szCs w:val="24"/>
              </w:rPr>
              <w:t>5)</w:t>
            </w:r>
            <w:r w:rsidR="00BD1DE0" w:rsidRPr="00402CEC">
              <w:rPr>
                <w:rFonts w:ascii="Times New Roman" w:hAnsi="Times New Roman"/>
                <w:bCs/>
                <w:sz w:val="24"/>
                <w:szCs w:val="24"/>
              </w:rPr>
              <w:t xml:space="preserve"> Иные активы, включаемые в состав активов фонда в связи с оплатой расходов, связанных с доверительным управлением имуществом,</w:t>
            </w:r>
            <w:r w:rsidR="00DD0911" w:rsidRPr="00402CEC">
              <w:rPr>
                <w:rFonts w:ascii="Times New Roman" w:hAnsi="Times New Roman"/>
                <w:bCs/>
                <w:sz w:val="24"/>
                <w:szCs w:val="24"/>
              </w:rPr>
              <w:t xml:space="preserve"> </w:t>
            </w:r>
            <w:r w:rsidR="00BD1DE0" w:rsidRPr="00402CEC">
              <w:rPr>
                <w:rFonts w:ascii="Times New Roman" w:hAnsi="Times New Roman"/>
                <w:bCs/>
                <w:sz w:val="24"/>
                <w:szCs w:val="24"/>
              </w:rPr>
              <w:t>составляющим фонд.</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BD1DE0" w:rsidRPr="00C9488F" w:rsidRDefault="00C9488F" w:rsidP="00BD1DE0">
            <w:pPr>
              <w:jc w:val="both"/>
              <w:rPr>
                <w:rFonts w:ascii="Times New Roman" w:hAnsi="Times New Roman"/>
                <w:bCs/>
                <w:sz w:val="24"/>
                <w:szCs w:val="24"/>
              </w:rPr>
            </w:pPr>
            <w:r>
              <w:rPr>
                <w:rFonts w:ascii="Times New Roman" w:hAnsi="Times New Roman"/>
                <w:bCs/>
                <w:sz w:val="24"/>
                <w:szCs w:val="24"/>
              </w:rPr>
              <w:t>В состав активов ф</w:t>
            </w:r>
            <w:r w:rsidR="00BD1DE0" w:rsidRPr="00C9488F">
              <w:rPr>
                <w:rFonts w:ascii="Times New Roman" w:hAnsi="Times New Roman"/>
                <w:bCs/>
                <w:sz w:val="24"/>
                <w:szCs w:val="24"/>
              </w:rPr>
              <w:t>онд</w:t>
            </w:r>
            <w:r>
              <w:rPr>
                <w:rFonts w:ascii="Times New Roman" w:hAnsi="Times New Roman"/>
                <w:bCs/>
                <w:sz w:val="24"/>
                <w:szCs w:val="24"/>
              </w:rPr>
              <w:t xml:space="preserve">а </w:t>
            </w:r>
            <w:r w:rsidR="00BD1DE0" w:rsidRPr="00C9488F">
              <w:rPr>
                <w:rFonts w:ascii="Times New Roman" w:hAnsi="Times New Roman"/>
                <w:bCs/>
                <w:sz w:val="24"/>
                <w:szCs w:val="24"/>
              </w:rPr>
              <w:t>могут</w:t>
            </w:r>
            <w:r>
              <w:rPr>
                <w:rFonts w:ascii="Times New Roman" w:hAnsi="Times New Roman"/>
                <w:bCs/>
                <w:sz w:val="24"/>
                <w:szCs w:val="24"/>
              </w:rPr>
              <w:t xml:space="preserve"> входить</w:t>
            </w:r>
            <w:r w:rsidR="00BD1DE0" w:rsidRPr="00C9488F">
              <w:rPr>
                <w:rFonts w:ascii="Times New Roman" w:hAnsi="Times New Roman"/>
                <w:bCs/>
                <w:sz w:val="24"/>
                <w:szCs w:val="24"/>
              </w:rPr>
              <w:t xml:space="preserve"> как обыкновенные, так и привилегированные акции.</w:t>
            </w:r>
          </w:p>
          <w:p w:rsidR="00BD1DE0" w:rsidRPr="00B60F12" w:rsidRDefault="00EE50AA" w:rsidP="00BD1DE0">
            <w:pPr>
              <w:spacing w:after="160" w:line="259" w:lineRule="auto"/>
              <w:jc w:val="both"/>
              <w:rPr>
                <w:rFonts w:ascii="Times New Roman" w:hAnsi="Times New Roman"/>
                <w:bCs/>
                <w:sz w:val="24"/>
                <w:szCs w:val="24"/>
              </w:rPr>
            </w:pPr>
            <w:r w:rsidRPr="00DA261E">
              <w:rPr>
                <w:rFonts w:ascii="Times New Roman" w:hAnsi="Times New Roman"/>
                <w:bCs/>
                <w:sz w:val="24"/>
                <w:szCs w:val="24"/>
              </w:rPr>
              <w:t xml:space="preserve">Лица, </w:t>
            </w:r>
            <w:r w:rsidR="00496814">
              <w:rPr>
                <w:rFonts w:ascii="Times New Roman" w:hAnsi="Times New Roman"/>
                <w:bCs/>
                <w:sz w:val="24"/>
                <w:szCs w:val="24"/>
              </w:rPr>
              <w:t>обязанные по депозитным сертификатам российских кредитных организаций, государственным ценным бумагам Российской Федерации,</w:t>
            </w:r>
          </w:p>
          <w:p w:rsidR="00BD1DE0" w:rsidRPr="00B60F12" w:rsidRDefault="00496814" w:rsidP="00BD1DE0">
            <w:pPr>
              <w:spacing w:after="160" w:line="259" w:lineRule="auto"/>
              <w:jc w:val="both"/>
              <w:rPr>
                <w:rFonts w:ascii="Times New Roman" w:hAnsi="Times New Roman"/>
                <w:bCs/>
                <w:sz w:val="24"/>
                <w:szCs w:val="24"/>
              </w:rPr>
            </w:pPr>
            <w:r>
              <w:rPr>
                <w:rFonts w:ascii="Times New Roman" w:hAnsi="Times New Roman"/>
                <w:bCs/>
                <w:sz w:val="24"/>
                <w:szCs w:val="24"/>
              </w:rPr>
              <w:t>государственным ценным бумагам субъектов Российской Федерации,</w:t>
            </w:r>
            <w:r w:rsidR="00E3127F">
              <w:rPr>
                <w:rFonts w:ascii="Times New Roman" w:hAnsi="Times New Roman"/>
                <w:bCs/>
                <w:sz w:val="24"/>
                <w:szCs w:val="24"/>
              </w:rPr>
              <w:t xml:space="preserve"> </w:t>
            </w:r>
            <w:r>
              <w:rPr>
                <w:rFonts w:ascii="Times New Roman" w:hAnsi="Times New Roman"/>
                <w:bCs/>
                <w:sz w:val="24"/>
                <w:szCs w:val="24"/>
              </w:rPr>
              <w:t>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w:t>
            </w:r>
            <w:r w:rsidR="00487C90">
              <w:rPr>
                <w:rFonts w:ascii="Times New Roman" w:hAnsi="Times New Roman"/>
                <w:bCs/>
                <w:sz w:val="24"/>
                <w:szCs w:val="24"/>
              </w:rPr>
              <w:t xml:space="preserve"> </w:t>
            </w:r>
            <w:r>
              <w:rPr>
                <w:rFonts w:ascii="Times New Roman" w:hAnsi="Times New Roman"/>
                <w:bCs/>
                <w:sz w:val="24"/>
                <w:szCs w:val="24"/>
              </w:rPr>
              <w:t>инвестиционных фондов, российским депозитарным распискам, должны быть зарегистрированы в Российской Федерации.</w:t>
            </w:r>
          </w:p>
          <w:p w:rsidR="00BD1DE0" w:rsidRDefault="00496814" w:rsidP="008072A7">
            <w:pPr>
              <w:spacing w:after="160" w:line="259" w:lineRule="auto"/>
              <w:jc w:val="both"/>
              <w:rPr>
                <w:rFonts w:ascii="Times New Roman" w:hAnsi="Times New Roman"/>
                <w:bCs/>
                <w:sz w:val="24"/>
                <w:szCs w:val="24"/>
              </w:rPr>
            </w:pPr>
            <w:r>
              <w:rPr>
                <w:rFonts w:ascii="Times New Roman" w:hAnsi="Times New Roman"/>
                <w:bCs/>
                <w:sz w:val="24"/>
                <w:szCs w:val="24"/>
              </w:rPr>
              <w:t>Лица, обязанные по</w:t>
            </w:r>
            <w:r w:rsidR="008B600D">
              <w:rPr>
                <w:rFonts w:ascii="Times New Roman" w:hAnsi="Times New Roman"/>
                <w:bCs/>
                <w:sz w:val="24"/>
                <w:szCs w:val="24"/>
              </w:rPr>
              <w:t xml:space="preserve"> </w:t>
            </w:r>
            <w:r>
              <w:rPr>
                <w:rFonts w:ascii="Times New Roman" w:hAnsi="Times New Roman"/>
                <w:bCs/>
                <w:sz w:val="24"/>
                <w:szCs w:val="24"/>
              </w:rPr>
              <w:t xml:space="preserve"> паям (акциям) иностранных инвестиционных фондов, акциям иностранных акционерных обществ, облигациям иностранных эмитентов и международных финансовых организаций, иностранным</w:t>
            </w:r>
            <w:r w:rsidR="008072A7">
              <w:rPr>
                <w:rFonts w:ascii="Times New Roman" w:hAnsi="Times New Roman"/>
                <w:bCs/>
                <w:sz w:val="24"/>
                <w:szCs w:val="24"/>
              </w:rPr>
              <w:t xml:space="preserve"> </w:t>
            </w:r>
            <w:r>
              <w:rPr>
                <w:rFonts w:ascii="Times New Roman" w:hAnsi="Times New Roman"/>
                <w:bCs/>
                <w:sz w:val="24"/>
                <w:szCs w:val="24"/>
              </w:rPr>
              <w:t>депозитарным распискам должны быть зарегистрированы в</w:t>
            </w:r>
            <w:r w:rsidR="00BD1DE0" w:rsidRPr="00DA261E">
              <w:rPr>
                <w:rFonts w:ascii="Times New Roman" w:hAnsi="Times New Roman"/>
                <w:bCs/>
                <w:sz w:val="24"/>
                <w:szCs w:val="24"/>
              </w:rPr>
              <w:t xml:space="preserve"> государствах,</w:t>
            </w:r>
            <w:r w:rsidR="00AF5628" w:rsidRPr="00DA261E">
              <w:rPr>
                <w:rFonts w:ascii="Times New Roman" w:hAnsi="Times New Roman"/>
                <w:bCs/>
                <w:sz w:val="24"/>
                <w:szCs w:val="24"/>
              </w:rPr>
              <w:t xml:space="preserve"> </w:t>
            </w:r>
            <w:r w:rsidR="00BD1DE0" w:rsidRPr="00DA261E">
              <w:rPr>
                <w:rFonts w:ascii="Times New Roman" w:hAnsi="Times New Roman"/>
                <w:bCs/>
                <w:sz w:val="24"/>
                <w:szCs w:val="24"/>
              </w:rPr>
              <w:t>включенных в Общероссийский классификатор стран мира.</w:t>
            </w:r>
          </w:p>
          <w:p w:rsidR="008B600D" w:rsidRPr="00402CEC" w:rsidRDefault="008B600D" w:rsidP="008072A7">
            <w:pPr>
              <w:spacing w:after="160" w:line="259" w:lineRule="auto"/>
              <w:jc w:val="both"/>
              <w:rPr>
                <w:rFonts w:ascii="Times New Roman" w:hAnsi="Times New Roman"/>
                <w:bCs/>
                <w:sz w:val="24"/>
                <w:szCs w:val="24"/>
              </w:rPr>
            </w:pPr>
            <w:r>
              <w:rPr>
                <w:rFonts w:ascii="Times New Roman" w:hAnsi="Times New Roman"/>
                <w:bCs/>
                <w:sz w:val="24"/>
                <w:szCs w:val="24"/>
              </w:rPr>
              <w:t xml:space="preserve">Лица, обязанные по </w:t>
            </w:r>
            <w:r w:rsidRPr="00E14953">
              <w:rPr>
                <w:rFonts w:ascii="Times New Roman" w:hAnsi="Times New Roman"/>
                <w:bCs/>
                <w:sz w:val="24"/>
                <w:szCs w:val="24"/>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w:t>
            </w:r>
            <w:r>
              <w:rPr>
                <w:rFonts w:ascii="Times New Roman" w:hAnsi="Times New Roman"/>
                <w:bCs/>
                <w:sz w:val="24"/>
                <w:szCs w:val="24"/>
              </w:rPr>
              <w:t>23</w:t>
            </w:r>
            <w:r w:rsidR="00532166">
              <w:rPr>
                <w:rFonts w:ascii="Times New Roman" w:hAnsi="Times New Roman"/>
                <w:bCs/>
                <w:sz w:val="24"/>
                <w:szCs w:val="24"/>
              </w:rPr>
              <w:t xml:space="preserve"> настоящих Правил</w:t>
            </w:r>
            <w:r w:rsidRPr="00E14953">
              <w:rPr>
                <w:rFonts w:ascii="Times New Roman" w:hAnsi="Times New Roman"/>
                <w:bCs/>
                <w:sz w:val="24"/>
                <w:szCs w:val="24"/>
              </w:rPr>
              <w:t>.</w:t>
            </w:r>
          </w:p>
          <w:p w:rsidR="008F734E" w:rsidRPr="008072A7" w:rsidRDefault="00496814" w:rsidP="008072A7">
            <w:pPr>
              <w:jc w:val="both"/>
              <w:rPr>
                <w:rFonts w:ascii="Times New Roman" w:hAnsi="Times New Roman"/>
                <w:bCs/>
                <w:sz w:val="24"/>
                <w:szCs w:val="24"/>
              </w:rPr>
            </w:pPr>
            <w:r w:rsidRPr="008072A7">
              <w:rPr>
                <w:rFonts w:ascii="Times New Roman" w:hAnsi="Times New Roman"/>
                <w:bCs/>
                <w:sz w:val="24"/>
                <w:szCs w:val="24"/>
              </w:rPr>
              <w:t>Имущество, составляющее фонд, может быть инвестировано в облигации, эмитентами которых могут быть:</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российские органы государственной власти;</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иностранные органы государственной власти;</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российские органы местного самоуправления;</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международные финансовые организации;</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российские юридические лица;</w:t>
            </w:r>
          </w:p>
          <w:p w:rsidR="00854FD8" w:rsidRPr="008072A7" w:rsidRDefault="00496814" w:rsidP="00854FD8">
            <w:pPr>
              <w:pStyle w:val="a3"/>
              <w:numPr>
                <w:ilvl w:val="0"/>
                <w:numId w:val="2"/>
              </w:numPr>
              <w:shd w:val="clear" w:color="auto" w:fill="FFFFFF" w:themeFill="background1"/>
              <w:tabs>
                <w:tab w:val="left" w:pos="426"/>
                <w:tab w:val="left" w:pos="756"/>
              </w:tabs>
              <w:ind w:left="426" w:hanging="426"/>
              <w:contextualSpacing/>
              <w:jc w:val="both"/>
              <w:rPr>
                <w:sz w:val="24"/>
                <w:szCs w:val="24"/>
              </w:rPr>
            </w:pPr>
            <w:r w:rsidRPr="008072A7">
              <w:rPr>
                <w:sz w:val="24"/>
                <w:szCs w:val="24"/>
              </w:rPr>
              <w:t>иностранные юридические лица.</w:t>
            </w:r>
          </w:p>
          <w:p w:rsidR="00BD1DE0" w:rsidRPr="00854FD8" w:rsidRDefault="00BD1DE0" w:rsidP="00BD1DE0">
            <w:pPr>
              <w:spacing w:after="160" w:line="259" w:lineRule="auto"/>
              <w:jc w:val="both"/>
              <w:rPr>
                <w:rFonts w:ascii="Times New Roman" w:hAnsi="Times New Roman"/>
                <w:bCs/>
                <w:sz w:val="24"/>
                <w:szCs w:val="24"/>
              </w:rPr>
            </w:pPr>
          </w:p>
          <w:p w:rsidR="004524CB" w:rsidRPr="00402CEC" w:rsidRDefault="004524CB" w:rsidP="004524CB">
            <w:pPr>
              <w:jc w:val="both"/>
              <w:rPr>
                <w:rFonts w:ascii="Times New Roman" w:hAnsi="Times New Roman"/>
                <w:bCs/>
                <w:sz w:val="24"/>
                <w:szCs w:val="24"/>
              </w:rPr>
            </w:pPr>
          </w:p>
        </w:tc>
      </w:tr>
      <w:tr w:rsidR="00D6217E" w:rsidRPr="00402CEC" w:rsidTr="00BE00C5">
        <w:tc>
          <w:tcPr>
            <w:tcW w:w="4672" w:type="dxa"/>
          </w:tcPr>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lastRenderedPageBreak/>
              <w:t xml:space="preserve">24. Структура активов фонда должна соответствовать одновременно следующим требованиям: </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23.9. настоящих Правил; </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7) оценочная стоимость неликвидных ценных бумаг может составлять не более 10 процентов стоимости активов фонда;</w:t>
            </w:r>
          </w:p>
          <w:p w:rsidR="00D6217E" w:rsidRPr="00402CEC" w:rsidRDefault="00D6217E" w:rsidP="00D6217E">
            <w:pPr>
              <w:jc w:val="both"/>
              <w:rPr>
                <w:rFonts w:ascii="Times New Roman" w:hAnsi="Times New Roman"/>
                <w:bCs/>
                <w:sz w:val="24"/>
                <w:szCs w:val="24"/>
              </w:rPr>
            </w:pPr>
            <w:r w:rsidRPr="00402CEC">
              <w:rPr>
                <w:rFonts w:ascii="Times New Roman" w:hAnsi="Times New Roman"/>
                <w:bCs/>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6217E" w:rsidRPr="00402CEC" w:rsidRDefault="00D6217E" w:rsidP="00D6217E">
            <w:pPr>
              <w:jc w:val="both"/>
              <w:rPr>
                <w:rFonts w:ascii="Times New Roman" w:hAnsi="Times New Roman"/>
                <w:bCs/>
                <w:sz w:val="24"/>
                <w:szCs w:val="24"/>
              </w:rPr>
            </w:pPr>
            <w:bookmarkStart w:id="0" w:name="p_29"/>
            <w:bookmarkStart w:id="1" w:name="p_27"/>
            <w:bookmarkEnd w:id="0"/>
            <w:bookmarkEnd w:id="1"/>
            <w:r w:rsidRPr="00402CEC">
              <w:rPr>
                <w:rFonts w:ascii="Times New Roman" w:hAnsi="Times New Roman"/>
                <w:bCs/>
                <w:sz w:val="24"/>
                <w:szCs w:val="24"/>
              </w:rPr>
              <w:t>Требования настоящего пункта применяются с истечения 30 дней с даты завершения (окончания) формирования фонда и до даты возникновения основания прекращения Фонда.</w:t>
            </w:r>
          </w:p>
          <w:p w:rsidR="00D6217E" w:rsidRPr="00402CEC" w:rsidRDefault="00D6217E" w:rsidP="00D6217E">
            <w:pPr>
              <w:jc w:val="both"/>
              <w:rPr>
                <w:rFonts w:ascii="Times New Roman" w:hAnsi="Times New Roman"/>
                <w:bCs/>
                <w:sz w:val="24"/>
                <w:szCs w:val="24"/>
              </w:rPr>
            </w:pPr>
          </w:p>
        </w:tc>
        <w:tc>
          <w:tcPr>
            <w:tcW w:w="4673" w:type="dxa"/>
          </w:tcPr>
          <w:p w:rsidR="00D6217E" w:rsidRPr="00402CEC" w:rsidRDefault="00BD1DE0" w:rsidP="004524CB">
            <w:pPr>
              <w:jc w:val="both"/>
              <w:rPr>
                <w:rFonts w:ascii="Times New Roman" w:hAnsi="Times New Roman"/>
                <w:bCs/>
                <w:sz w:val="24"/>
                <w:szCs w:val="24"/>
              </w:rPr>
            </w:pPr>
            <w:r w:rsidRPr="00402CEC">
              <w:rPr>
                <w:rFonts w:ascii="Times New Roman" w:hAnsi="Times New Roman"/>
                <w:bCs/>
                <w:sz w:val="24"/>
                <w:szCs w:val="24"/>
              </w:rPr>
              <w:t>24. Структура активов фонда:</w:t>
            </w:r>
          </w:p>
          <w:p w:rsidR="00BD1DE0" w:rsidRPr="00402CEC" w:rsidRDefault="00B5595E" w:rsidP="00BD1DE0">
            <w:pPr>
              <w:jc w:val="both"/>
              <w:rPr>
                <w:rFonts w:ascii="Times New Roman" w:hAnsi="Times New Roman"/>
                <w:bCs/>
                <w:sz w:val="24"/>
                <w:szCs w:val="24"/>
              </w:rPr>
            </w:pPr>
            <w:r w:rsidRPr="00402CEC">
              <w:rPr>
                <w:rFonts w:ascii="Times New Roman" w:hAnsi="Times New Roman"/>
                <w:bCs/>
                <w:sz w:val="24"/>
                <w:szCs w:val="24"/>
              </w:rPr>
              <w:t>2</w:t>
            </w:r>
            <w:r>
              <w:rPr>
                <w:rFonts w:ascii="Times New Roman" w:hAnsi="Times New Roman"/>
                <w:bCs/>
                <w:sz w:val="24"/>
                <w:szCs w:val="24"/>
              </w:rPr>
              <w:t>4</w:t>
            </w:r>
            <w:r w:rsidR="00BD1DE0" w:rsidRPr="00402CEC">
              <w:rPr>
                <w:rFonts w:ascii="Times New Roman" w:hAnsi="Times New Roman"/>
                <w:bCs/>
                <w:sz w:val="24"/>
                <w:szCs w:val="24"/>
              </w:rPr>
              <w:t>.1. Доля стоимости инструментов денежного рынка со сроком до погашения (закрытия) менее трех месяцев, облигаций с фиксированным купонным доходом, рейтинг</w:t>
            </w:r>
            <w:r w:rsidR="00AF5628" w:rsidRPr="00402CEC">
              <w:rPr>
                <w:rFonts w:ascii="Times New Roman" w:hAnsi="Times New Roman"/>
                <w:bCs/>
                <w:sz w:val="24"/>
                <w:szCs w:val="24"/>
              </w:rPr>
              <w:t xml:space="preserve"> </w:t>
            </w:r>
            <w:r w:rsidR="00BD1DE0" w:rsidRPr="00402CEC">
              <w:rPr>
                <w:rFonts w:ascii="Times New Roman" w:hAnsi="Times New Roman"/>
                <w:bCs/>
                <w:sz w:val="24"/>
                <w:szCs w:val="24"/>
              </w:rPr>
              <w:t>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 S&amp;P/ASX-200 (Австралия)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 АТХ (Австрия)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 BEL20 (Бельгия)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4. Ibovespa (Бразилия)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5. Budapest SE (Венгрия)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6. FTSE 100 (Великобритания)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7. Hang Seng (Гонконг)</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8. DАХ (Германия)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9. ОМХ Copenhagen 20 (Дания)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10. ТА 25 (Израиль)</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11. BSE Sensex (Индия)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12. ISEQ 20 (Ирландия)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13. ICEX (Исландия)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14. IBEX 35 (Испания)</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15. FTSE MIB (</w:t>
            </w:r>
            <w:r w:rsidRPr="00402CEC">
              <w:rPr>
                <w:rFonts w:ascii="Times New Roman" w:hAnsi="Times New Roman"/>
                <w:bCs/>
                <w:sz w:val="24"/>
                <w:szCs w:val="24"/>
              </w:rPr>
              <w:t>Италия</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16. S&amp;P/TSX (</w:t>
            </w:r>
            <w:r w:rsidRPr="00402CEC">
              <w:rPr>
                <w:rFonts w:ascii="Times New Roman" w:hAnsi="Times New Roman"/>
                <w:bCs/>
                <w:sz w:val="24"/>
                <w:szCs w:val="24"/>
              </w:rPr>
              <w:t>Канада</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17. SSE Composite Index (</w:t>
            </w:r>
            <w:r w:rsidRPr="00402CEC">
              <w:rPr>
                <w:rFonts w:ascii="Times New Roman" w:hAnsi="Times New Roman"/>
                <w:bCs/>
                <w:sz w:val="24"/>
                <w:szCs w:val="24"/>
              </w:rPr>
              <w:t>Китай</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18. LuxX Index (</w:t>
            </w:r>
            <w:r w:rsidRPr="00402CEC">
              <w:rPr>
                <w:rFonts w:ascii="Times New Roman" w:hAnsi="Times New Roman"/>
                <w:bCs/>
                <w:sz w:val="24"/>
                <w:szCs w:val="24"/>
              </w:rPr>
              <w:t>Люксембург</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19. IPC (</w:t>
            </w:r>
            <w:r w:rsidRPr="00402CEC">
              <w:rPr>
                <w:rFonts w:ascii="Times New Roman" w:hAnsi="Times New Roman"/>
                <w:bCs/>
                <w:sz w:val="24"/>
                <w:szCs w:val="24"/>
              </w:rPr>
              <w:t>Мексика</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 xml:space="preserve">20. </w:t>
            </w:r>
            <w:r w:rsidRPr="00402CEC">
              <w:rPr>
                <w:rFonts w:ascii="Times New Roman" w:hAnsi="Times New Roman"/>
                <w:bCs/>
                <w:sz w:val="24"/>
                <w:szCs w:val="24"/>
              </w:rPr>
              <w:t>АЕХ</w:t>
            </w:r>
            <w:r w:rsidRPr="00402CEC">
              <w:rPr>
                <w:rFonts w:ascii="Times New Roman" w:hAnsi="Times New Roman"/>
                <w:bCs/>
                <w:sz w:val="24"/>
                <w:szCs w:val="24"/>
                <w:lang w:val="en-US"/>
              </w:rPr>
              <w:t xml:space="preserve"> Index (</w:t>
            </w:r>
            <w:r w:rsidRPr="00402CEC">
              <w:rPr>
                <w:rFonts w:ascii="Times New Roman" w:hAnsi="Times New Roman"/>
                <w:bCs/>
                <w:sz w:val="24"/>
                <w:szCs w:val="24"/>
              </w:rPr>
              <w:t>Нидерланды</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21. DJ New Zealand (</w:t>
            </w:r>
            <w:r w:rsidRPr="00402CEC">
              <w:rPr>
                <w:rFonts w:ascii="Times New Roman" w:hAnsi="Times New Roman"/>
                <w:bCs/>
                <w:sz w:val="24"/>
                <w:szCs w:val="24"/>
              </w:rPr>
              <w:t>Новая</w:t>
            </w:r>
            <w:r w:rsidRPr="00402CEC">
              <w:rPr>
                <w:rFonts w:ascii="Times New Roman" w:hAnsi="Times New Roman"/>
                <w:bCs/>
                <w:sz w:val="24"/>
                <w:szCs w:val="24"/>
                <w:lang w:val="en-US"/>
              </w:rPr>
              <w:t xml:space="preserve"> </w:t>
            </w:r>
            <w:r w:rsidRPr="00402CEC">
              <w:rPr>
                <w:rFonts w:ascii="Times New Roman" w:hAnsi="Times New Roman"/>
                <w:bCs/>
                <w:sz w:val="24"/>
                <w:szCs w:val="24"/>
              </w:rPr>
              <w:t>Зеландия</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22. ОВХ (Норвегия)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23. WIG (Польша)</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24. PSI 20 (Португалия)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25. ММВБ (Россия)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26. РТС (Россия)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27. SAX (Словакия)</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28. Blue-Chip SBITOP (</w:t>
            </w:r>
            <w:r w:rsidRPr="00402CEC">
              <w:rPr>
                <w:rFonts w:ascii="Times New Roman" w:hAnsi="Times New Roman"/>
                <w:bCs/>
                <w:sz w:val="24"/>
                <w:szCs w:val="24"/>
              </w:rPr>
              <w:t>Словения</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29. Dow Jones (</w:t>
            </w:r>
            <w:r w:rsidRPr="00402CEC">
              <w:rPr>
                <w:rFonts w:ascii="Times New Roman" w:hAnsi="Times New Roman"/>
                <w:bCs/>
                <w:sz w:val="24"/>
                <w:szCs w:val="24"/>
              </w:rPr>
              <w:t>США</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30. S&amp;P 500 (</w:t>
            </w:r>
            <w:r w:rsidRPr="00402CEC">
              <w:rPr>
                <w:rFonts w:ascii="Times New Roman" w:hAnsi="Times New Roman"/>
                <w:bCs/>
                <w:sz w:val="24"/>
                <w:szCs w:val="24"/>
              </w:rPr>
              <w:t>США</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31. BIST 100 (</w:t>
            </w:r>
            <w:r w:rsidRPr="00402CEC">
              <w:rPr>
                <w:rFonts w:ascii="Times New Roman" w:hAnsi="Times New Roman"/>
                <w:bCs/>
                <w:sz w:val="24"/>
                <w:szCs w:val="24"/>
              </w:rPr>
              <w:t>Турция</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 xml:space="preserve">32. </w:t>
            </w:r>
            <w:r w:rsidRPr="00402CEC">
              <w:rPr>
                <w:rFonts w:ascii="Times New Roman" w:hAnsi="Times New Roman"/>
                <w:bCs/>
                <w:sz w:val="24"/>
                <w:szCs w:val="24"/>
              </w:rPr>
              <w:t>ОМХ</w:t>
            </w:r>
            <w:r w:rsidRPr="00402CEC">
              <w:rPr>
                <w:rFonts w:ascii="Times New Roman" w:hAnsi="Times New Roman"/>
                <w:bCs/>
                <w:sz w:val="24"/>
                <w:szCs w:val="24"/>
                <w:lang w:val="en-US"/>
              </w:rPr>
              <w:t xml:space="preserve"> Helsinki 25 (</w:t>
            </w:r>
            <w:r w:rsidRPr="00402CEC">
              <w:rPr>
                <w:rFonts w:ascii="Times New Roman" w:hAnsi="Times New Roman"/>
                <w:bCs/>
                <w:sz w:val="24"/>
                <w:szCs w:val="24"/>
              </w:rPr>
              <w:t>Финляндия</w:t>
            </w:r>
            <w:r w:rsidRPr="00402CEC">
              <w:rPr>
                <w:rFonts w:ascii="Times New Roman" w:hAnsi="Times New Roman"/>
                <w:bCs/>
                <w:sz w:val="24"/>
                <w:szCs w:val="24"/>
                <w:lang w:val="en-US"/>
              </w:rPr>
              <w:t>)</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33. САС 40 (Франция)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34. РХ Index (Чешская республика)</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35. IPSA (Чили)</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36. SMI (Швейцария)</w:t>
            </w:r>
          </w:p>
          <w:p w:rsidR="00BD1DE0" w:rsidRPr="00402CEC" w:rsidRDefault="00BD1DE0" w:rsidP="00BD1DE0">
            <w:pPr>
              <w:jc w:val="both"/>
              <w:rPr>
                <w:rFonts w:ascii="Times New Roman" w:hAnsi="Times New Roman"/>
                <w:bCs/>
                <w:sz w:val="24"/>
                <w:szCs w:val="24"/>
              </w:rPr>
            </w:pPr>
            <w:r w:rsidRPr="00402CEC">
              <w:rPr>
                <w:rFonts w:ascii="Times New Roman" w:hAnsi="Times New Roman"/>
                <w:bCs/>
                <w:sz w:val="24"/>
                <w:szCs w:val="24"/>
              </w:rPr>
              <w:t>37. OMXS30 (Швеция)</w:t>
            </w:r>
          </w:p>
          <w:p w:rsidR="00BD1DE0" w:rsidRPr="00402CEC" w:rsidRDefault="00BD1DE0" w:rsidP="00BD1DE0">
            <w:pPr>
              <w:jc w:val="both"/>
              <w:rPr>
                <w:rFonts w:ascii="Times New Roman" w:hAnsi="Times New Roman"/>
                <w:bCs/>
                <w:sz w:val="24"/>
                <w:szCs w:val="24"/>
                <w:lang w:val="en-US"/>
              </w:rPr>
            </w:pPr>
            <w:r w:rsidRPr="00402CEC">
              <w:rPr>
                <w:rFonts w:ascii="Times New Roman" w:hAnsi="Times New Roman"/>
                <w:bCs/>
                <w:sz w:val="24"/>
                <w:szCs w:val="24"/>
                <w:lang w:val="en-US"/>
              </w:rPr>
              <w:t>38. Tallinn SE General (</w:t>
            </w:r>
            <w:r w:rsidRPr="00402CEC">
              <w:rPr>
                <w:rFonts w:ascii="Times New Roman" w:hAnsi="Times New Roman"/>
                <w:bCs/>
                <w:sz w:val="24"/>
                <w:szCs w:val="24"/>
              </w:rPr>
              <w:t>Эстония</w:t>
            </w:r>
            <w:r w:rsidRPr="00402CEC">
              <w:rPr>
                <w:rFonts w:ascii="Times New Roman" w:hAnsi="Times New Roman"/>
                <w:bCs/>
                <w:sz w:val="24"/>
                <w:szCs w:val="24"/>
                <w:lang w:val="en-US"/>
              </w:rPr>
              <w:t>)</w:t>
            </w:r>
          </w:p>
          <w:p w:rsidR="00BD1DE0" w:rsidRPr="00402CEC" w:rsidRDefault="00BD1DE0" w:rsidP="00067605">
            <w:pPr>
              <w:jc w:val="both"/>
              <w:rPr>
                <w:rFonts w:ascii="Times New Roman" w:hAnsi="Times New Roman"/>
                <w:bCs/>
                <w:sz w:val="24"/>
                <w:szCs w:val="24"/>
                <w:lang w:val="en-US"/>
              </w:rPr>
            </w:pPr>
            <w:r w:rsidRPr="00402CEC">
              <w:rPr>
                <w:rFonts w:ascii="Times New Roman" w:hAnsi="Times New Roman"/>
                <w:bCs/>
                <w:sz w:val="24"/>
                <w:szCs w:val="24"/>
                <w:lang w:val="en-US"/>
              </w:rPr>
              <w:t xml:space="preserve">39. FTSE/JSE </w:t>
            </w:r>
            <w:r w:rsidRPr="00402CEC">
              <w:rPr>
                <w:rFonts w:ascii="Times New Roman" w:hAnsi="Times New Roman"/>
                <w:bCs/>
                <w:sz w:val="24"/>
                <w:szCs w:val="24"/>
              </w:rPr>
              <w:t>Тор</w:t>
            </w:r>
            <w:r w:rsidRPr="00402CEC">
              <w:rPr>
                <w:rFonts w:ascii="Times New Roman" w:hAnsi="Times New Roman"/>
                <w:bCs/>
                <w:sz w:val="24"/>
                <w:szCs w:val="24"/>
                <w:lang w:val="en-US"/>
              </w:rPr>
              <w:t>40 (</w:t>
            </w:r>
            <w:r w:rsidRPr="00402CEC">
              <w:rPr>
                <w:rFonts w:ascii="Times New Roman" w:hAnsi="Times New Roman"/>
                <w:bCs/>
                <w:sz w:val="24"/>
                <w:szCs w:val="24"/>
              </w:rPr>
              <w:t>ЮАР</w:t>
            </w:r>
            <w:r w:rsidR="00067605" w:rsidRPr="00402CEC">
              <w:rPr>
                <w:rFonts w:ascii="Times New Roman" w:hAnsi="Times New Roman"/>
                <w:bCs/>
                <w:sz w:val="24"/>
                <w:szCs w:val="24"/>
                <w:lang w:val="en-US"/>
              </w:rPr>
              <w:t>)</w:t>
            </w:r>
          </w:p>
          <w:p w:rsidR="00067605" w:rsidRPr="00402CEC" w:rsidRDefault="00067605" w:rsidP="00067605">
            <w:pPr>
              <w:jc w:val="both"/>
              <w:rPr>
                <w:rFonts w:ascii="Times New Roman" w:hAnsi="Times New Roman"/>
                <w:bCs/>
                <w:sz w:val="24"/>
                <w:szCs w:val="24"/>
                <w:lang w:val="en-US"/>
              </w:rPr>
            </w:pPr>
            <w:r w:rsidRPr="00402CEC">
              <w:rPr>
                <w:rFonts w:ascii="Times New Roman" w:hAnsi="Times New Roman"/>
                <w:bCs/>
                <w:sz w:val="24"/>
                <w:szCs w:val="24"/>
                <w:lang w:val="en-US"/>
              </w:rPr>
              <w:t>40. KOSPI (</w:t>
            </w:r>
            <w:r w:rsidRPr="00402CEC">
              <w:rPr>
                <w:rFonts w:ascii="Times New Roman" w:hAnsi="Times New Roman"/>
                <w:bCs/>
                <w:sz w:val="24"/>
                <w:szCs w:val="24"/>
              </w:rPr>
              <w:t>Южная</w:t>
            </w:r>
            <w:r w:rsidRPr="00402CEC">
              <w:rPr>
                <w:rFonts w:ascii="Times New Roman" w:hAnsi="Times New Roman"/>
                <w:bCs/>
                <w:sz w:val="24"/>
                <w:szCs w:val="24"/>
                <w:lang w:val="en-US"/>
              </w:rPr>
              <w:t xml:space="preserve"> </w:t>
            </w:r>
            <w:r w:rsidRPr="00402CEC">
              <w:rPr>
                <w:rFonts w:ascii="Times New Roman" w:hAnsi="Times New Roman"/>
                <w:bCs/>
                <w:sz w:val="24"/>
                <w:szCs w:val="24"/>
              </w:rPr>
              <w:t>Корея</w:t>
            </w:r>
            <w:r w:rsidRPr="00402CEC">
              <w:rPr>
                <w:rFonts w:ascii="Times New Roman" w:hAnsi="Times New Roman"/>
                <w:bCs/>
                <w:sz w:val="24"/>
                <w:szCs w:val="24"/>
                <w:lang w:val="en-US"/>
              </w:rPr>
              <w:t>)</w:t>
            </w:r>
          </w:p>
          <w:p w:rsidR="00067605" w:rsidRPr="00402CEC" w:rsidRDefault="00067605" w:rsidP="00067605">
            <w:pPr>
              <w:jc w:val="both"/>
              <w:rPr>
                <w:rFonts w:ascii="Times New Roman" w:hAnsi="Times New Roman"/>
                <w:bCs/>
                <w:sz w:val="24"/>
                <w:szCs w:val="24"/>
                <w:lang w:val="en-US"/>
              </w:rPr>
            </w:pPr>
            <w:r w:rsidRPr="00402CEC">
              <w:rPr>
                <w:rFonts w:ascii="Times New Roman" w:hAnsi="Times New Roman"/>
                <w:bCs/>
                <w:sz w:val="24"/>
                <w:szCs w:val="24"/>
                <w:lang w:val="en-US"/>
              </w:rPr>
              <w:t>41. Nikkei 225 (</w:t>
            </w:r>
            <w:r w:rsidRPr="00402CEC">
              <w:rPr>
                <w:rFonts w:ascii="Times New Roman" w:hAnsi="Times New Roman"/>
                <w:bCs/>
                <w:sz w:val="24"/>
                <w:szCs w:val="24"/>
              </w:rPr>
              <w:t>Япония</w:t>
            </w:r>
            <w:r w:rsidRPr="00402CEC">
              <w:rPr>
                <w:rFonts w:ascii="Times New Roman" w:hAnsi="Times New Roman"/>
                <w:bCs/>
                <w:sz w:val="24"/>
                <w:szCs w:val="24"/>
                <w:lang w:val="en-US"/>
              </w:rPr>
              <w:t>)</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от стоимости чистых активов фонда в совокупности должна превышать</w:t>
            </w:r>
            <w:r w:rsidR="005052AC" w:rsidRPr="00402CEC">
              <w:rPr>
                <w:rFonts w:ascii="Times New Roman" w:hAnsi="Times New Roman"/>
                <w:bCs/>
                <w:sz w:val="24"/>
                <w:szCs w:val="24"/>
              </w:rPr>
              <w:t xml:space="preserve"> </w:t>
            </w:r>
            <w:r w:rsidRPr="00402CEC">
              <w:rPr>
                <w:rFonts w:ascii="Times New Roman" w:hAnsi="Times New Roman"/>
                <w:bCs/>
                <w:sz w:val="24"/>
                <w:szCs w:val="24"/>
              </w:rPr>
              <w:t>большую из следующих величин:</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 пять процентов;</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C8063A">
              <w:rPr>
                <w:rFonts w:ascii="Times New Roman" w:hAnsi="Times New Roman"/>
                <w:bCs/>
                <w:sz w:val="24"/>
                <w:szCs w:val="24"/>
              </w:rPr>
              <w:t xml:space="preserve"> </w:t>
            </w:r>
            <w:r w:rsidR="00C8063A" w:rsidRPr="00B5595E">
              <w:rPr>
                <w:rFonts w:ascii="Times New Roman" w:hAnsi="Times New Roman"/>
                <w:bCs/>
                <w:sz w:val="24"/>
                <w:szCs w:val="24"/>
              </w:rPr>
              <w:t>(данное требование применяется, в случае если с даты завершения (окончания) формирования фонда прошло 36 календарных месяцев и более)</w:t>
            </w:r>
            <w:r w:rsidRPr="00402CEC">
              <w:rPr>
                <w:rFonts w:ascii="Times New Roman" w:hAnsi="Times New Roman"/>
                <w:bCs/>
                <w:sz w:val="24"/>
                <w:szCs w:val="24"/>
              </w:rPr>
              <w:t>.</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w:t>
            </w:r>
            <w:r w:rsidR="00AF5628" w:rsidRPr="00402CEC">
              <w:rPr>
                <w:rFonts w:ascii="Times New Roman" w:hAnsi="Times New Roman"/>
                <w:bCs/>
                <w:sz w:val="24"/>
                <w:szCs w:val="24"/>
              </w:rPr>
              <w:t xml:space="preserve"> </w:t>
            </w:r>
            <w:r w:rsidRPr="00402CEC">
              <w:rPr>
                <w:rFonts w:ascii="Times New Roman" w:hAnsi="Times New Roman"/>
                <w:bCs/>
                <w:sz w:val="24"/>
                <w:szCs w:val="24"/>
              </w:rPr>
              <w:t>календарного месяца.</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067605" w:rsidRPr="00402CEC" w:rsidRDefault="006D013B" w:rsidP="00067605">
            <w:pPr>
              <w:jc w:val="both"/>
              <w:rPr>
                <w:rFonts w:ascii="Times New Roman" w:hAnsi="Times New Roman"/>
                <w:bCs/>
                <w:sz w:val="24"/>
                <w:szCs w:val="24"/>
              </w:rPr>
            </w:pPr>
            <w:r w:rsidRPr="00402CEC">
              <w:rPr>
                <w:rFonts w:ascii="Times New Roman" w:hAnsi="Times New Roman"/>
                <w:bCs/>
                <w:sz w:val="24"/>
                <w:szCs w:val="24"/>
              </w:rPr>
              <w:t>2</w:t>
            </w:r>
            <w:r>
              <w:rPr>
                <w:rFonts w:ascii="Times New Roman" w:hAnsi="Times New Roman"/>
                <w:bCs/>
                <w:sz w:val="24"/>
                <w:szCs w:val="24"/>
              </w:rPr>
              <w:t>4</w:t>
            </w:r>
            <w:r w:rsidR="00067605" w:rsidRPr="00402CEC">
              <w:rPr>
                <w:rFonts w:ascii="Times New Roman" w:hAnsi="Times New Roman"/>
                <w:bCs/>
                <w:sz w:val="24"/>
                <w:szCs w:val="24"/>
              </w:rPr>
              <w:t>.2. Оценочная стоимость ценных бумаг одного юридического лица, денежные</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 xml:space="preserve">средства в рублях и в иностранной валюте на счетах и во вкладах (депозитах) в таком юридическом лице (если соответствующее юридическое </w:t>
            </w:r>
            <w:r w:rsidRPr="00821F4C">
              <w:rPr>
                <w:rFonts w:ascii="Times New Roman" w:hAnsi="Times New Roman"/>
                <w:bCs/>
                <w:sz w:val="24"/>
                <w:szCs w:val="24"/>
              </w:rPr>
              <w:t>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w:t>
            </w:r>
            <w:r w:rsidRPr="00402CEC">
              <w:rPr>
                <w:rFonts w:ascii="Times New Roman" w:hAnsi="Times New Roman"/>
                <w:bCs/>
                <w:sz w:val="24"/>
                <w:szCs w:val="24"/>
              </w:rPr>
              <w:t xml:space="preserve">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 xml:space="preserve">Оценочная стоимость ценных бумаг одного субъекта Российской Федерации, </w:t>
            </w:r>
            <w:r w:rsidRPr="00821F4C">
              <w:rPr>
                <w:rFonts w:ascii="Times New Roman" w:hAnsi="Times New Roman"/>
                <w:bCs/>
                <w:sz w:val="24"/>
                <w:szCs w:val="24"/>
              </w:rPr>
              <w:t>муниципального образования,</w:t>
            </w:r>
            <w:r w:rsidR="00AF5628" w:rsidRPr="00821F4C">
              <w:rPr>
                <w:rFonts w:ascii="Times New Roman" w:hAnsi="Times New Roman"/>
                <w:bCs/>
                <w:sz w:val="24"/>
                <w:szCs w:val="24"/>
              </w:rPr>
              <w:t xml:space="preserve"> </w:t>
            </w:r>
            <w:r w:rsidRPr="00821F4C">
              <w:rPr>
                <w:rFonts w:ascii="Times New Roman" w:hAnsi="Times New Roman"/>
                <w:bCs/>
                <w:sz w:val="24"/>
                <w:szCs w:val="24"/>
              </w:rPr>
              <w:t>государственных ценных бумаг одного иностранного государства</w:t>
            </w:r>
            <w:r w:rsidRPr="00402CEC">
              <w:rPr>
                <w:rFonts w:ascii="Times New Roman" w:hAnsi="Times New Roman"/>
                <w:bCs/>
                <w:sz w:val="24"/>
                <w:szCs w:val="24"/>
              </w:rPr>
              <w:t xml:space="preserve"> не должна превышать 15 процентов стоимости активов фонда.</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w:t>
            </w:r>
            <w:r w:rsidR="00071DBD">
              <w:rPr>
                <w:rFonts w:ascii="Times New Roman" w:hAnsi="Times New Roman"/>
                <w:bCs/>
                <w:sz w:val="24"/>
                <w:szCs w:val="24"/>
              </w:rPr>
              <w:t xml:space="preserve"> </w:t>
            </w:r>
            <w:r w:rsidRPr="00402CEC">
              <w:rPr>
                <w:rFonts w:ascii="Times New Roman" w:hAnsi="Times New Roman"/>
                <w:bCs/>
                <w:sz w:val="24"/>
                <w:szCs w:val="24"/>
              </w:rPr>
              <w:t>депозитарные расписки.</w:t>
            </w:r>
          </w:p>
          <w:p w:rsidR="00306A6E"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 xml:space="preserve">Для целей настоящего </w:t>
            </w:r>
            <w:r w:rsidRPr="00821F4C">
              <w:rPr>
                <w:rFonts w:ascii="Times New Roman" w:hAnsi="Times New Roman"/>
                <w:bCs/>
                <w:sz w:val="24"/>
                <w:szCs w:val="24"/>
              </w:rPr>
              <w:t>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w:t>
            </w:r>
            <w:r w:rsidRPr="00402CEC">
              <w:rPr>
                <w:rFonts w:ascii="Times New Roman" w:hAnsi="Times New Roman"/>
                <w:bCs/>
                <w:sz w:val="24"/>
                <w:szCs w:val="24"/>
              </w:rPr>
              <w:t xml:space="preserve"> активов, в которые инвестировано имущество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w:t>
            </w:r>
            <w:r w:rsidR="00071DBD">
              <w:rPr>
                <w:rFonts w:ascii="Times New Roman" w:hAnsi="Times New Roman"/>
                <w:bCs/>
                <w:sz w:val="24"/>
                <w:szCs w:val="24"/>
              </w:rPr>
              <w:t xml:space="preserve"> </w:t>
            </w:r>
            <w:r w:rsidRPr="00402CEC">
              <w:rPr>
                <w:rFonts w:ascii="Times New Roman" w:hAnsi="Times New Roman"/>
                <w:bCs/>
                <w:sz w:val="24"/>
                <w:szCs w:val="24"/>
              </w:rPr>
              <w:t xml:space="preserve">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w:t>
            </w:r>
            <w:r w:rsidR="00854FD8">
              <w:rPr>
                <w:rFonts w:ascii="Times New Roman" w:hAnsi="Times New Roman"/>
                <w:bCs/>
                <w:sz w:val="24"/>
                <w:szCs w:val="24"/>
              </w:rPr>
              <w:t xml:space="preserve">инвестиционного </w:t>
            </w:r>
            <w:r w:rsidRPr="00402CEC">
              <w:rPr>
                <w:rFonts w:ascii="Times New Roman" w:hAnsi="Times New Roman"/>
                <w:bCs/>
                <w:sz w:val="24"/>
                <w:szCs w:val="24"/>
              </w:rPr>
              <w:t xml:space="preserve">фонда. </w:t>
            </w:r>
          </w:p>
          <w:p w:rsidR="004C1271" w:rsidRDefault="00067605" w:rsidP="00A1360B">
            <w:pPr>
              <w:jc w:val="both"/>
              <w:rPr>
                <w:rFonts w:ascii="Times New Roman" w:hAnsi="Times New Roman"/>
                <w:bCs/>
                <w:sz w:val="24"/>
                <w:szCs w:val="24"/>
              </w:rPr>
            </w:pPr>
            <w:r w:rsidRPr="00402CEC">
              <w:rPr>
                <w:rFonts w:ascii="Times New Roman" w:hAnsi="Times New Roman"/>
                <w:bCs/>
                <w:sz w:val="24"/>
                <w:szCs w:val="24"/>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 </w:t>
            </w:r>
          </w:p>
          <w:p w:rsidR="004C1271" w:rsidRPr="00724997" w:rsidRDefault="00532166" w:rsidP="00724997">
            <w:pPr>
              <w:jc w:val="both"/>
              <w:rPr>
                <w:rFonts w:ascii="Times New Roman" w:hAnsi="Times New Roman"/>
                <w:bCs/>
                <w:sz w:val="24"/>
                <w:szCs w:val="24"/>
              </w:rPr>
            </w:pPr>
            <w:r>
              <w:rPr>
                <w:rFonts w:ascii="Times New Roman" w:hAnsi="Times New Roman"/>
                <w:bCs/>
                <w:sz w:val="24"/>
                <w:szCs w:val="24"/>
              </w:rPr>
              <w:t>Стоимость  ценных бумаг (сумма денежных средств), полученных управляющей компанией по первой части договора репо, р</w:t>
            </w:r>
            <w:r w:rsidRPr="00724997">
              <w:rPr>
                <w:rFonts w:ascii="Times New Roman" w:hAnsi="Times New Roman"/>
                <w:bCs/>
                <w:sz w:val="24"/>
                <w:szCs w:val="24"/>
              </w:rPr>
              <w:t xml:space="preserve">азмер </w:t>
            </w:r>
            <w:r w:rsidR="004C1271" w:rsidRPr="00724997">
              <w:rPr>
                <w:rFonts w:ascii="Times New Roman" w:hAnsi="Times New Roman"/>
                <w:bCs/>
                <w:sz w:val="24"/>
                <w:szCs w:val="24"/>
              </w:rPr>
              <w:t xml:space="preserve">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C1271" w:rsidRDefault="004C1271">
            <w:pPr>
              <w:jc w:val="both"/>
              <w:rPr>
                <w:rFonts w:ascii="Times New Roman" w:hAnsi="Times New Roman"/>
                <w:bCs/>
                <w:sz w:val="24"/>
                <w:szCs w:val="24"/>
              </w:rPr>
            </w:pPr>
            <w:r w:rsidRPr="00724997">
              <w:rPr>
                <w:rFonts w:ascii="Times New Roman" w:hAnsi="Times New Roman"/>
                <w:bCs/>
                <w:sz w:val="24"/>
                <w:szCs w:val="24"/>
              </w:rPr>
              <w:t xml:space="preserve">На дату заключения </w:t>
            </w:r>
            <w:r w:rsidR="00532166">
              <w:rPr>
                <w:rFonts w:ascii="Times New Roman" w:hAnsi="Times New Roman"/>
                <w:bCs/>
                <w:sz w:val="24"/>
                <w:szCs w:val="24"/>
              </w:rPr>
              <w:t xml:space="preserve">договоров репо, </w:t>
            </w:r>
            <w:r w:rsidRPr="00724997">
              <w:rPr>
                <w:rFonts w:ascii="Times New Roman" w:hAnsi="Times New Roman"/>
                <w:bCs/>
                <w:sz w:val="24"/>
                <w:szCs w:val="24"/>
              </w:rPr>
              <w:t xml:space="preserve">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w:t>
            </w:r>
            <w:r w:rsidR="00532166">
              <w:rPr>
                <w:rFonts w:ascii="Times New Roman" w:hAnsi="Times New Roman"/>
                <w:bCs/>
                <w:sz w:val="24"/>
                <w:szCs w:val="24"/>
              </w:rPr>
              <w:t xml:space="preserve">договоров репо и </w:t>
            </w:r>
            <w:r w:rsidRPr="00724997">
              <w:rPr>
                <w:rFonts w:ascii="Times New Roman" w:hAnsi="Times New Roman"/>
                <w:bCs/>
                <w:sz w:val="24"/>
                <w:szCs w:val="24"/>
              </w:rPr>
              <w:t xml:space="preserve">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532166" w:rsidRPr="00E14953" w:rsidRDefault="00532166" w:rsidP="00E14953">
            <w:pPr>
              <w:jc w:val="both"/>
              <w:rPr>
                <w:rFonts w:ascii="Times New Roman" w:hAnsi="Times New Roman"/>
                <w:bCs/>
                <w:sz w:val="24"/>
                <w:szCs w:val="24"/>
              </w:rPr>
            </w:pPr>
            <w:r w:rsidRPr="00E14953">
              <w:rPr>
                <w:rFonts w:ascii="Times New Roman" w:hAnsi="Times New Roman"/>
                <w:bCs/>
                <w:sz w:val="24"/>
                <w:szCs w:val="24"/>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532166" w:rsidRDefault="00532166">
            <w:pPr>
              <w:jc w:val="both"/>
              <w:rPr>
                <w:rFonts w:ascii="Times New Roman" w:hAnsi="Times New Roman"/>
                <w:bCs/>
                <w:sz w:val="24"/>
                <w:szCs w:val="24"/>
              </w:rPr>
            </w:pPr>
            <w:r w:rsidRPr="00E14953">
              <w:rPr>
                <w:rFonts w:ascii="Times New Roman" w:hAnsi="Times New Roman"/>
                <w:bCs/>
                <w:sz w:val="24"/>
                <w:szCs w:val="24"/>
              </w:rPr>
              <w:t xml:space="preserve">Для целей абзаца шестого и </w:t>
            </w:r>
            <w:r w:rsidRPr="00532166">
              <w:rPr>
                <w:rFonts w:ascii="Times New Roman" w:hAnsi="Times New Roman"/>
                <w:bCs/>
                <w:sz w:val="24"/>
                <w:szCs w:val="24"/>
              </w:rPr>
              <w:t>седьмого</w:t>
            </w:r>
            <w:r w:rsidRPr="00E14953">
              <w:rPr>
                <w:rFonts w:ascii="Times New Roman" w:hAnsi="Times New Roman"/>
                <w:bCs/>
                <w:sz w:val="24"/>
                <w:szCs w:val="24"/>
              </w:rPr>
              <w:t xml:space="preserve"> </w:t>
            </w:r>
            <w:r>
              <w:rPr>
                <w:rFonts w:ascii="Times New Roman" w:hAnsi="Times New Roman"/>
                <w:bCs/>
                <w:sz w:val="24"/>
                <w:szCs w:val="24"/>
              </w:rPr>
              <w:t>под</w:t>
            </w:r>
            <w:r w:rsidRPr="00E14953">
              <w:rPr>
                <w:rFonts w:ascii="Times New Roman" w:hAnsi="Times New Roman"/>
                <w:bCs/>
                <w:sz w:val="24"/>
                <w:szCs w:val="24"/>
              </w:rPr>
              <w:t>пункта</w:t>
            </w:r>
            <w:r>
              <w:rPr>
                <w:rFonts w:ascii="Times New Roman" w:hAnsi="Times New Roman"/>
                <w:bCs/>
                <w:sz w:val="24"/>
                <w:szCs w:val="24"/>
              </w:rPr>
              <w:t xml:space="preserve"> 24.2.</w:t>
            </w:r>
            <w:r w:rsidRPr="00E14953">
              <w:rPr>
                <w:rFonts w:ascii="Times New Roman" w:hAnsi="Times New Roman"/>
                <w:bCs/>
                <w:sz w:val="24"/>
                <w:szCs w:val="24"/>
              </w:rPr>
              <w:t xml:space="preserve">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w:t>
            </w:r>
            <w:r w:rsidR="00011412">
              <w:rPr>
                <w:rFonts w:ascii="Times New Roman" w:hAnsi="Times New Roman"/>
                <w:bCs/>
                <w:sz w:val="24"/>
                <w:szCs w:val="24"/>
              </w:rPr>
              <w:t>орой части такого договора репо</w:t>
            </w:r>
            <w:r w:rsidRPr="00E14953">
              <w:rPr>
                <w:rFonts w:ascii="Times New Roman" w:hAnsi="Times New Roman"/>
                <w:bCs/>
                <w:sz w:val="24"/>
                <w:szCs w:val="24"/>
              </w:rPr>
              <w:t>.</w:t>
            </w:r>
          </w:p>
          <w:p w:rsidR="00067605" w:rsidRPr="00402CEC" w:rsidRDefault="00067605" w:rsidP="00067605">
            <w:pPr>
              <w:jc w:val="both"/>
              <w:rPr>
                <w:rFonts w:ascii="Times New Roman" w:hAnsi="Times New Roman"/>
                <w:bCs/>
                <w:sz w:val="24"/>
                <w:szCs w:val="24"/>
              </w:rPr>
            </w:pPr>
            <w:r w:rsidRPr="00402CEC">
              <w:rPr>
                <w:rFonts w:ascii="Times New Roman" w:hAnsi="Times New Roman"/>
                <w:bCs/>
                <w:sz w:val="24"/>
                <w:szCs w:val="24"/>
              </w:rPr>
              <w:t>Требования настоящего пункта применяются до даты возникновения основания прекращения фонда.</w:t>
            </w:r>
          </w:p>
        </w:tc>
      </w:tr>
      <w:tr w:rsidR="00F3401B" w:rsidRPr="00402CEC" w:rsidTr="00BE00C5">
        <w:tc>
          <w:tcPr>
            <w:tcW w:w="4672" w:type="dxa"/>
          </w:tcPr>
          <w:p w:rsidR="00F3401B" w:rsidRPr="00B5595E" w:rsidRDefault="00496814" w:rsidP="00F3401B">
            <w:pPr>
              <w:spacing w:after="160" w:line="259" w:lineRule="auto"/>
              <w:ind w:firstLine="720"/>
              <w:jc w:val="both"/>
              <w:rPr>
                <w:rFonts w:ascii="Times New Roman" w:hAnsi="Times New Roman"/>
                <w:sz w:val="24"/>
                <w:szCs w:val="24"/>
              </w:rPr>
            </w:pPr>
            <w:r w:rsidRPr="00B5595E">
              <w:rPr>
                <w:rFonts w:ascii="Times New Roman" w:hAnsi="Times New Roman"/>
                <w:sz w:val="24"/>
                <w:szCs w:val="24"/>
              </w:rPr>
              <w:t xml:space="preserve">90. За счет имущества, составляющего фонд, оплачиваются следующие расходы, связанные с доверительным управлением указанным имуществом: </w:t>
            </w:r>
          </w:p>
          <w:p w:rsidR="00F3401B" w:rsidRPr="00B5595E" w:rsidRDefault="00496814" w:rsidP="00F3401B">
            <w:pPr>
              <w:autoSpaceDE w:val="0"/>
              <w:autoSpaceDN w:val="0"/>
              <w:adjustRightInd w:val="0"/>
              <w:spacing w:after="160" w:line="259" w:lineRule="auto"/>
              <w:ind w:firstLine="708"/>
              <w:jc w:val="both"/>
              <w:rPr>
                <w:rFonts w:ascii="Times New Roman" w:hAnsi="Times New Roman"/>
                <w:sz w:val="24"/>
                <w:szCs w:val="24"/>
              </w:rPr>
            </w:pPr>
            <w:r w:rsidRPr="00B5595E">
              <w:rPr>
                <w:rFonts w:ascii="Times New Roman" w:hAnsi="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3401B" w:rsidRPr="00B5595E" w:rsidRDefault="00496814" w:rsidP="00F3401B">
            <w:pPr>
              <w:widowControl w:val="0"/>
              <w:autoSpaceDE w:val="0"/>
              <w:autoSpaceDN w:val="0"/>
              <w:adjustRightInd w:val="0"/>
              <w:spacing w:after="160" w:line="259" w:lineRule="auto"/>
              <w:ind w:firstLine="708"/>
              <w:jc w:val="both"/>
              <w:rPr>
                <w:rFonts w:ascii="Times New Roman" w:hAnsi="Times New Roman"/>
                <w:sz w:val="24"/>
                <w:szCs w:val="24"/>
              </w:rPr>
            </w:pPr>
            <w:r w:rsidRPr="00B5595E">
              <w:rPr>
                <w:rFonts w:ascii="Times New Roman" w:hAnsi="Times New Roman"/>
                <w:sz w:val="24"/>
                <w:szCs w:val="24"/>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3401B" w:rsidRPr="00B5595E" w:rsidRDefault="00496814" w:rsidP="00F3401B">
            <w:pPr>
              <w:autoSpaceDE w:val="0"/>
              <w:autoSpaceDN w:val="0"/>
              <w:adjustRightInd w:val="0"/>
              <w:spacing w:after="160" w:line="259" w:lineRule="auto"/>
              <w:ind w:firstLine="708"/>
              <w:jc w:val="both"/>
              <w:rPr>
                <w:rFonts w:ascii="Times New Roman" w:hAnsi="Times New Roman"/>
                <w:sz w:val="24"/>
                <w:szCs w:val="24"/>
              </w:rPr>
            </w:pPr>
            <w:r w:rsidRPr="00B5595E">
              <w:rPr>
                <w:rFonts w:ascii="Times New Roman" w:hAnsi="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8F734E" w:rsidRDefault="00496814" w:rsidP="00B5595E">
            <w:pPr>
              <w:ind w:firstLine="720"/>
              <w:jc w:val="both"/>
              <w:rPr>
                <w:rFonts w:ascii="Times New Roman" w:hAnsi="Times New Roman"/>
                <w:bCs/>
                <w:sz w:val="24"/>
                <w:szCs w:val="24"/>
              </w:rPr>
            </w:pPr>
            <w:r w:rsidRPr="00B5595E">
              <w:rPr>
                <w:rFonts w:ascii="Times New Roman" w:hAnsi="Times New Roman"/>
                <w:sz w:val="24"/>
                <w:szCs w:val="24"/>
              </w:rPr>
              <w:t>Максимальный размер расходов, подлежащих оплате за счет имущества, составляющего фонд, составляет 10  (десять) процентов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 бумаг.</w:t>
            </w:r>
          </w:p>
        </w:tc>
        <w:tc>
          <w:tcPr>
            <w:tcW w:w="4673" w:type="dxa"/>
          </w:tcPr>
          <w:p w:rsidR="00F3401B" w:rsidRPr="00B5595E" w:rsidRDefault="00496814" w:rsidP="00F3401B">
            <w:pPr>
              <w:spacing w:after="160" w:line="259" w:lineRule="auto"/>
              <w:ind w:firstLine="720"/>
              <w:jc w:val="both"/>
              <w:rPr>
                <w:rFonts w:ascii="Times New Roman" w:hAnsi="Times New Roman"/>
                <w:sz w:val="24"/>
                <w:szCs w:val="24"/>
              </w:rPr>
            </w:pPr>
            <w:r w:rsidRPr="00B5595E">
              <w:rPr>
                <w:rFonts w:ascii="Times New Roman" w:hAnsi="Times New Roman"/>
                <w:sz w:val="24"/>
                <w:szCs w:val="24"/>
              </w:rPr>
              <w:t xml:space="preserve">90. За счет имущества, составляющего фонд, оплачиваются следующие расходы, связанные с доверительным управлением указанным имуществом: </w:t>
            </w:r>
          </w:p>
          <w:p w:rsidR="00F3401B" w:rsidRPr="00B5595E" w:rsidRDefault="00496814" w:rsidP="00F3401B">
            <w:pPr>
              <w:autoSpaceDE w:val="0"/>
              <w:autoSpaceDN w:val="0"/>
              <w:adjustRightInd w:val="0"/>
              <w:spacing w:after="160" w:line="259" w:lineRule="auto"/>
              <w:ind w:firstLine="708"/>
              <w:jc w:val="both"/>
              <w:rPr>
                <w:rFonts w:ascii="Times New Roman" w:hAnsi="Times New Roman"/>
                <w:sz w:val="24"/>
                <w:szCs w:val="24"/>
              </w:rPr>
            </w:pPr>
            <w:r w:rsidRPr="00B5595E">
              <w:rPr>
                <w:rFonts w:ascii="Times New Roman" w:hAnsi="Times New Roman"/>
                <w:sz w:val="24"/>
                <w:szCs w:val="24"/>
              </w:rPr>
              <w:t>1) оплата услуг организаций</w:t>
            </w:r>
            <w:r w:rsidR="004C1271" w:rsidRPr="00FF28D2">
              <w:rPr>
                <w:rFonts w:ascii="Times New Roman" w:hAnsi="Times New Roman"/>
                <w:lang w:eastAsia="ru-RU"/>
              </w:rPr>
              <w:t xml:space="preserve">, </w:t>
            </w:r>
            <w:r w:rsidR="004C1271" w:rsidRPr="00B5595E">
              <w:rPr>
                <w:rFonts w:ascii="Times New Roman" w:hAnsi="Times New Roman"/>
                <w:b/>
                <w:sz w:val="24"/>
                <w:szCs w:val="24"/>
              </w:rPr>
              <w:t>индивидуальных предпринимателей</w:t>
            </w:r>
            <w:r w:rsidRPr="00B5595E">
              <w:rPr>
                <w:rFonts w:ascii="Times New Roman" w:hAnsi="Times New Roman"/>
                <w:sz w:val="24"/>
                <w:szCs w:val="24"/>
              </w:rPr>
              <w:t xml:space="preserve"> по совершению сделок за счет имущества фонда от имени этих организаций</w:t>
            </w:r>
            <w:r w:rsidR="004C1271">
              <w:rPr>
                <w:rFonts w:ascii="Times New Roman" w:hAnsi="Times New Roman"/>
                <w:sz w:val="24"/>
                <w:szCs w:val="24"/>
              </w:rPr>
              <w:t>,</w:t>
            </w:r>
            <w:r w:rsidRPr="00B5595E">
              <w:rPr>
                <w:rFonts w:ascii="Times New Roman" w:hAnsi="Times New Roman"/>
                <w:sz w:val="24"/>
                <w:szCs w:val="24"/>
              </w:rPr>
              <w:t xml:space="preserve"> </w:t>
            </w:r>
            <w:r w:rsidR="004C1271" w:rsidRPr="004C1271">
              <w:rPr>
                <w:rFonts w:ascii="Times New Roman" w:hAnsi="Times New Roman"/>
                <w:b/>
                <w:sz w:val="24"/>
                <w:szCs w:val="24"/>
              </w:rPr>
              <w:t>индивидуальных предпринимателей</w:t>
            </w:r>
            <w:r w:rsidR="004C1271" w:rsidRPr="00496814">
              <w:rPr>
                <w:rFonts w:ascii="Times New Roman" w:hAnsi="Times New Roman"/>
                <w:sz w:val="24"/>
                <w:szCs w:val="24"/>
              </w:rPr>
              <w:t xml:space="preserve"> </w:t>
            </w:r>
            <w:r w:rsidRPr="00B5595E">
              <w:rPr>
                <w:rFonts w:ascii="Times New Roman" w:hAnsi="Times New Roman"/>
                <w:sz w:val="24"/>
                <w:szCs w:val="24"/>
              </w:rPr>
              <w:t>или от имени управляющей компании;</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 xml:space="preserve">2) оплата услуг кредитных организаций по открытию отдельного банковского счета (счетов), предназначенного </w:t>
            </w:r>
            <w:r w:rsidR="00D838B5" w:rsidRPr="00B5595E">
              <w:rPr>
                <w:rFonts w:ascii="Times New Roman" w:hAnsi="Times New Roman"/>
                <w:b/>
                <w:sz w:val="24"/>
                <w:szCs w:val="24"/>
              </w:rPr>
              <w:t xml:space="preserve">(предназначенных) </w:t>
            </w:r>
            <w:r w:rsidRPr="00B5595E">
              <w:rPr>
                <w:rFonts w:ascii="Times New Roman" w:hAnsi="Times New Roman"/>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D838B5" w:rsidRPr="00FF28D2">
              <w:rPr>
                <w:rFonts w:ascii="Times New Roman" w:hAnsi="Times New Roman"/>
                <w:lang w:eastAsia="ru-RU"/>
              </w:rPr>
              <w:t xml:space="preserve">,  </w:t>
            </w:r>
            <w:r w:rsidR="00D838B5" w:rsidRPr="00B5595E">
              <w:rPr>
                <w:rFonts w:ascii="Times New Roman" w:hAnsi="Times New Roman"/>
                <w:b/>
                <w:sz w:val="24"/>
                <w:szCs w:val="24"/>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B5595E">
              <w:rPr>
                <w:rFonts w:ascii="Times New Roman" w:hAnsi="Times New Roman"/>
                <w:b/>
                <w:sz w:val="24"/>
                <w:szCs w:val="24"/>
              </w:rPr>
              <w:t>;</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Pr="00B5595E">
              <w:rPr>
                <w:rFonts w:ascii="Times New Roman" w:hAnsi="Times New Roman"/>
                <w:b/>
                <w:sz w:val="24"/>
                <w:szCs w:val="24"/>
              </w:rPr>
              <w:t>осуществляем</w:t>
            </w:r>
            <w:r w:rsidR="00D838B5" w:rsidRPr="00B5595E">
              <w:rPr>
                <w:rFonts w:ascii="Times New Roman" w:hAnsi="Times New Roman"/>
                <w:b/>
                <w:sz w:val="24"/>
                <w:szCs w:val="24"/>
              </w:rPr>
              <w:t>ых</w:t>
            </w:r>
            <w:r w:rsidRPr="00B5595E">
              <w:rPr>
                <w:rFonts w:ascii="Times New Roman" w:hAnsi="Times New Roman"/>
                <w:sz w:val="24"/>
                <w:szCs w:val="24"/>
              </w:rPr>
              <w:t xml:space="preserve"> специализированным депозитарием;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D838B5">
              <w:rPr>
                <w:rFonts w:ascii="Times New Roman" w:hAnsi="Times New Roman"/>
                <w:sz w:val="24"/>
                <w:szCs w:val="24"/>
              </w:rPr>
              <w:t>ф</w:t>
            </w:r>
            <w:r w:rsidRPr="00B5595E">
              <w:rPr>
                <w:rFonts w:ascii="Times New Roman" w:hAnsi="Times New Roman"/>
                <w:sz w:val="24"/>
                <w:szCs w:val="24"/>
              </w:rPr>
              <w:t>онда или связанных с операциями с указанным имуществом;</w:t>
            </w:r>
          </w:p>
          <w:p w:rsidR="00F3401B" w:rsidRPr="00B5595E" w:rsidRDefault="00496814" w:rsidP="00F3401B">
            <w:pPr>
              <w:widowControl w:val="0"/>
              <w:autoSpaceDE w:val="0"/>
              <w:autoSpaceDN w:val="0"/>
              <w:adjustRightInd w:val="0"/>
              <w:spacing w:after="160" w:line="259" w:lineRule="auto"/>
              <w:ind w:firstLine="709"/>
              <w:jc w:val="both"/>
              <w:rPr>
                <w:rFonts w:ascii="Times New Roman" w:hAnsi="Times New Roman"/>
                <w:sz w:val="24"/>
                <w:szCs w:val="24"/>
              </w:rPr>
            </w:pPr>
            <w:r w:rsidRPr="00B5595E">
              <w:rPr>
                <w:rFonts w:ascii="Times New Roman" w:hAnsi="Times New Roman"/>
                <w:sz w:val="24"/>
                <w:szCs w:val="24"/>
              </w:rPr>
              <w:t>8) расходы, возникшие в связи с участием управляющей компании в судебных спорах в качестве истца, ответчика</w:t>
            </w:r>
            <w:r w:rsidR="00D838B5" w:rsidRPr="00B5595E">
              <w:rPr>
                <w:rFonts w:ascii="Times New Roman" w:hAnsi="Times New Roman"/>
                <w:b/>
                <w:lang w:eastAsia="ru-RU"/>
              </w:rPr>
              <w:t>, заявителя</w:t>
            </w:r>
            <w:r w:rsidRPr="00B5595E">
              <w:rPr>
                <w:rFonts w:ascii="Times New Roman" w:hAnsi="Times New Roman"/>
                <w:sz w:val="24"/>
                <w:szCs w:val="24"/>
              </w:rPr>
              <w:t xml:space="preserve"> или третьего лица по искам </w:t>
            </w:r>
            <w:r w:rsidR="00D838B5" w:rsidRPr="00B5595E">
              <w:rPr>
                <w:rFonts w:ascii="Times New Roman" w:hAnsi="Times New Roman"/>
                <w:b/>
                <w:lang w:eastAsia="ru-RU"/>
              </w:rPr>
              <w:t>и заявлениям</w:t>
            </w:r>
            <w:r w:rsidR="00D838B5" w:rsidRPr="00B5595E">
              <w:rPr>
                <w:rFonts w:ascii="Times New Roman" w:hAnsi="Times New Roman"/>
              </w:rPr>
              <w:t xml:space="preserve"> </w:t>
            </w:r>
            <w:r w:rsidRPr="00B5595E">
              <w:rPr>
                <w:rFonts w:ascii="Times New Roman" w:hAnsi="Times New Roman"/>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3401B" w:rsidRPr="00B5595E" w:rsidRDefault="00496814" w:rsidP="00F3401B">
            <w:pPr>
              <w:widowControl w:val="0"/>
              <w:autoSpaceDE w:val="0"/>
              <w:autoSpaceDN w:val="0"/>
              <w:adjustRightInd w:val="0"/>
              <w:spacing w:after="160" w:line="259" w:lineRule="auto"/>
              <w:ind w:firstLine="708"/>
              <w:jc w:val="both"/>
              <w:rPr>
                <w:rFonts w:ascii="Times New Roman" w:hAnsi="Times New Roman"/>
                <w:sz w:val="24"/>
                <w:szCs w:val="24"/>
              </w:rPr>
            </w:pPr>
            <w:r w:rsidRPr="00B5595E">
              <w:rPr>
                <w:rFonts w:ascii="Times New Roman" w:hAnsi="Times New Roman"/>
                <w:sz w:val="24"/>
                <w:szCs w:val="24"/>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w:t>
            </w:r>
            <w:r w:rsidR="00D838B5" w:rsidRPr="00B5595E">
              <w:rPr>
                <w:rFonts w:ascii="Times New Roman" w:hAnsi="Times New Roman"/>
                <w:b/>
                <w:lang w:eastAsia="ru-RU"/>
              </w:rPr>
              <w:t>имущества</w:t>
            </w:r>
            <w:r w:rsidR="00D838B5" w:rsidRPr="00FF28D2">
              <w:rPr>
                <w:rFonts w:ascii="Times New Roman" w:hAnsi="Times New Roman"/>
                <w:lang w:eastAsia="ru-RU"/>
              </w:rPr>
              <w:t xml:space="preserve"> </w:t>
            </w:r>
            <w:r w:rsidRPr="00B5595E">
              <w:rPr>
                <w:rFonts w:ascii="Times New Roman" w:hAnsi="Times New Roman"/>
                <w:sz w:val="24"/>
                <w:szCs w:val="24"/>
              </w:rPr>
              <w:t>фонда, требующих такого удостоверения;</w:t>
            </w:r>
          </w:p>
          <w:p w:rsidR="00D838B5" w:rsidRPr="00B5595E" w:rsidRDefault="00D838B5" w:rsidP="00B5595E">
            <w:pPr>
              <w:autoSpaceDE w:val="0"/>
              <w:autoSpaceDN w:val="0"/>
              <w:adjustRightInd w:val="0"/>
              <w:spacing w:line="276" w:lineRule="auto"/>
              <w:ind w:firstLine="715"/>
              <w:jc w:val="both"/>
              <w:rPr>
                <w:rFonts w:ascii="Times New Roman" w:hAnsi="Times New Roman"/>
                <w:b/>
                <w:sz w:val="24"/>
                <w:szCs w:val="24"/>
              </w:rPr>
            </w:pPr>
            <w:r w:rsidRPr="00B5595E">
              <w:rPr>
                <w:rFonts w:ascii="Times New Roman" w:hAnsi="Times New Roman"/>
                <w:b/>
                <w:sz w:val="24"/>
                <w:szCs w:val="24"/>
              </w:rPr>
              <w:t>10) иные расходы, не указанные в пункте 90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838B5" w:rsidRPr="00B5595E" w:rsidRDefault="00D838B5" w:rsidP="00B5595E">
            <w:pPr>
              <w:autoSpaceDE w:val="0"/>
              <w:autoSpaceDN w:val="0"/>
              <w:adjustRightInd w:val="0"/>
              <w:spacing w:line="276" w:lineRule="auto"/>
              <w:ind w:firstLine="715"/>
              <w:jc w:val="both"/>
              <w:rPr>
                <w:rFonts w:ascii="Times New Roman" w:hAnsi="Times New Roman"/>
                <w:sz w:val="24"/>
                <w:szCs w:val="24"/>
              </w:rPr>
            </w:pPr>
            <w:r w:rsidRPr="00B5595E">
              <w:rPr>
                <w:rFonts w:ascii="Times New Roman" w:hAnsi="Times New Roman"/>
                <w:sz w:val="24"/>
                <w:szCs w:val="24"/>
              </w:rPr>
              <w:t xml:space="preserve">Управляющая компания не вправе возмещать из имущества, составляющего фонд, расходы, понесенные ею за свой счет, </w:t>
            </w:r>
            <w:r w:rsidRPr="00B5595E">
              <w:rPr>
                <w:rFonts w:ascii="Times New Roman" w:hAnsi="Times New Roman"/>
                <w:b/>
                <w:sz w:val="24"/>
                <w:szCs w:val="24"/>
              </w:rPr>
              <w:t>за исключением возмещения сумм налогов, объектом которых является имущество,</w:t>
            </w:r>
            <w:r w:rsidRPr="00B5595E">
              <w:rPr>
                <w:rFonts w:ascii="Times New Roman" w:hAnsi="Times New Roman"/>
                <w:sz w:val="24"/>
                <w:szCs w:val="24"/>
              </w:rPr>
              <w:t xml:space="preserve">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8F734E" w:rsidRDefault="00496814" w:rsidP="00B5595E">
            <w:pPr>
              <w:spacing w:line="276" w:lineRule="auto"/>
              <w:ind w:firstLine="720"/>
              <w:jc w:val="both"/>
              <w:rPr>
                <w:rFonts w:ascii="Times New Roman" w:hAnsi="Times New Roman"/>
                <w:bCs/>
                <w:sz w:val="24"/>
                <w:szCs w:val="24"/>
              </w:rPr>
            </w:pPr>
            <w:r w:rsidRPr="00B5595E">
              <w:rPr>
                <w:rFonts w:ascii="Times New Roman" w:hAnsi="Times New Roman"/>
                <w:sz w:val="24"/>
                <w:szCs w:val="24"/>
              </w:rPr>
              <w:t>Максимальный размер расходов, подлежащих оплате за счет имущества, составляющего фонд,</w:t>
            </w:r>
            <w:r w:rsidR="0096158D" w:rsidRPr="00B5595E">
              <w:rPr>
                <w:rFonts w:ascii="Times New Roman" w:hAnsi="Times New Roman"/>
              </w:rPr>
              <w:t xml:space="preserve"> </w:t>
            </w:r>
            <w:r w:rsidR="0096158D" w:rsidRPr="00B5595E">
              <w:rPr>
                <w:rFonts w:ascii="Times New Roman" w:hAnsi="Times New Roman"/>
                <w:b/>
                <w:sz w:val="24"/>
                <w:szCs w:val="24"/>
              </w:rPr>
              <w:t xml:space="preserve">за исключением налогов и иных обязательных платежей, связанных с доверительным управлением фондом, </w:t>
            </w:r>
            <w:r w:rsidRPr="00B5595E">
              <w:rPr>
                <w:rFonts w:ascii="Times New Roman" w:hAnsi="Times New Roman"/>
                <w:sz w:val="24"/>
                <w:szCs w:val="24"/>
              </w:rPr>
              <w:t xml:space="preserve">составляет 10  (десять) процентов среднегодовой стоимости чистых активов фонда (с учетом налога на добавленную стоимость), определяемой в порядке, установленном </w:t>
            </w:r>
            <w:r w:rsidRPr="00B5595E">
              <w:rPr>
                <w:rFonts w:ascii="Times New Roman" w:hAnsi="Times New Roman"/>
                <w:b/>
                <w:sz w:val="24"/>
                <w:szCs w:val="24"/>
              </w:rPr>
              <w:t xml:space="preserve">нормативными актами </w:t>
            </w:r>
            <w:r w:rsidR="0096158D" w:rsidRPr="00B5595E">
              <w:rPr>
                <w:rFonts w:ascii="Times New Roman" w:hAnsi="Times New Roman"/>
                <w:b/>
                <w:sz w:val="24"/>
                <w:szCs w:val="24"/>
              </w:rPr>
              <w:t>в сфере финансовых рынков</w:t>
            </w:r>
            <w:r w:rsidRPr="00B5595E">
              <w:rPr>
                <w:rFonts w:ascii="Times New Roman" w:hAnsi="Times New Roman"/>
                <w:sz w:val="24"/>
                <w:szCs w:val="24"/>
              </w:rPr>
              <w:t>.</w:t>
            </w:r>
          </w:p>
        </w:tc>
      </w:tr>
    </w:tbl>
    <w:p w:rsidR="00BE00C5" w:rsidRPr="00402CEC" w:rsidRDefault="00BE00C5" w:rsidP="00496B16">
      <w:pPr>
        <w:pStyle w:val="AODocTxtL2"/>
        <w:numPr>
          <w:ilvl w:val="2"/>
          <w:numId w:val="1"/>
        </w:numPr>
        <w:spacing w:before="0" w:after="120" w:line="276" w:lineRule="auto"/>
        <w:ind w:left="0" w:firstLine="0"/>
        <w:rPr>
          <w:bCs/>
          <w:sz w:val="24"/>
          <w:szCs w:val="24"/>
          <w:lang w:val="ru-RU"/>
        </w:rPr>
      </w:pPr>
    </w:p>
    <w:p w:rsidR="00BE00C5" w:rsidRPr="00402CEC" w:rsidRDefault="00BE00C5">
      <w:pPr>
        <w:rPr>
          <w:rFonts w:ascii="Times New Roman" w:hAnsi="Times New Roman"/>
          <w:sz w:val="24"/>
          <w:szCs w:val="24"/>
        </w:rPr>
      </w:pPr>
    </w:p>
    <w:p w:rsidR="00BE00C5" w:rsidRPr="00402CEC" w:rsidRDefault="00BE00C5" w:rsidP="00954378">
      <w:pPr>
        <w:spacing w:after="255" w:line="255" w:lineRule="atLeast"/>
        <w:ind w:firstLine="1134"/>
        <w:rPr>
          <w:rFonts w:ascii="Times New Roman" w:hAnsi="Times New Roman"/>
          <w:sz w:val="24"/>
          <w:szCs w:val="24"/>
        </w:rPr>
      </w:pPr>
      <w:r w:rsidRPr="00402CEC">
        <w:rPr>
          <w:rFonts w:ascii="Times New Roman" w:eastAsia="SimSun" w:hAnsi="Times New Roman"/>
          <w:bCs/>
          <w:sz w:val="24"/>
          <w:szCs w:val="24"/>
        </w:rPr>
        <w:t>Генеральный директор __________________</w:t>
      </w:r>
      <w:r w:rsidR="00366B10" w:rsidRPr="00402CEC">
        <w:rPr>
          <w:rFonts w:ascii="Times New Roman" w:eastAsia="SimSun" w:hAnsi="Times New Roman"/>
          <w:bCs/>
          <w:sz w:val="24"/>
          <w:szCs w:val="24"/>
        </w:rPr>
        <w:t>/З.Ф. Гараев/</w:t>
      </w:r>
      <w:r w:rsidRPr="00402CEC">
        <w:rPr>
          <w:rFonts w:ascii="Times New Roman" w:eastAsia="SimSun" w:hAnsi="Times New Roman"/>
          <w:bCs/>
          <w:sz w:val="24"/>
          <w:szCs w:val="24"/>
        </w:rPr>
        <w:t>                                 </w:t>
      </w:r>
      <w:r w:rsidRPr="00402CEC">
        <w:rPr>
          <w:rFonts w:ascii="Times New Roman" w:eastAsia="SimSun" w:hAnsi="Times New Roman"/>
          <w:bCs/>
          <w:sz w:val="24"/>
          <w:szCs w:val="24"/>
        </w:rPr>
        <w:br/>
      </w:r>
    </w:p>
    <w:sectPr w:rsidR="00BE00C5" w:rsidRPr="00402CEC" w:rsidSect="00CA33D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CC" w:rsidRDefault="00D24DCC" w:rsidP="00E45640">
      <w:pPr>
        <w:spacing w:after="0" w:line="240" w:lineRule="auto"/>
      </w:pPr>
      <w:r>
        <w:separator/>
      </w:r>
    </w:p>
  </w:endnote>
  <w:endnote w:type="continuationSeparator" w:id="0">
    <w:p w:rsidR="00D24DCC" w:rsidRDefault="00D24DCC" w:rsidP="00E4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GOpusHR">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40" w:rsidRDefault="0053244D">
    <w:pPr>
      <w:pStyle w:val="ac"/>
      <w:jc w:val="right"/>
    </w:pPr>
    <w:fldSimple w:instr="PAGE   \* MERGEFORMAT">
      <w:r w:rsidR="00B700C6">
        <w:rPr>
          <w:noProof/>
        </w:rPr>
        <w:t>1</w:t>
      </w:r>
    </w:fldSimple>
  </w:p>
  <w:p w:rsidR="00E45640" w:rsidRDefault="00E456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CC" w:rsidRDefault="00D24DCC" w:rsidP="00E45640">
      <w:pPr>
        <w:spacing w:after="0" w:line="240" w:lineRule="auto"/>
      </w:pPr>
      <w:r>
        <w:separator/>
      </w:r>
    </w:p>
  </w:footnote>
  <w:footnote w:type="continuationSeparator" w:id="0">
    <w:p w:rsidR="00D24DCC" w:rsidRDefault="00D24DCC" w:rsidP="00E45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337"/>
    <w:multiLevelType w:val="hybridMultilevel"/>
    <w:tmpl w:val="BD226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475B3203"/>
    <w:multiLevelType w:val="multilevel"/>
    <w:tmpl w:val="6096DEFC"/>
    <w:name w:val="AODo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496B16"/>
    <w:rsid w:val="00011412"/>
    <w:rsid w:val="00067605"/>
    <w:rsid w:val="00071DBD"/>
    <w:rsid w:val="000B28FA"/>
    <w:rsid w:val="000F3DDB"/>
    <w:rsid w:val="001D6196"/>
    <w:rsid w:val="001E16D2"/>
    <w:rsid w:val="00213990"/>
    <w:rsid w:val="002A74D8"/>
    <w:rsid w:val="002D2C9B"/>
    <w:rsid w:val="00306A6E"/>
    <w:rsid w:val="00323AC9"/>
    <w:rsid w:val="00366B10"/>
    <w:rsid w:val="003A78D9"/>
    <w:rsid w:val="00402CEC"/>
    <w:rsid w:val="00406B88"/>
    <w:rsid w:val="004524CB"/>
    <w:rsid w:val="00487C90"/>
    <w:rsid w:val="00496814"/>
    <w:rsid w:val="00496B16"/>
    <w:rsid w:val="004C1271"/>
    <w:rsid w:val="004C6241"/>
    <w:rsid w:val="004F5BD7"/>
    <w:rsid w:val="005052AC"/>
    <w:rsid w:val="00532166"/>
    <w:rsid w:val="0053244D"/>
    <w:rsid w:val="00536D1D"/>
    <w:rsid w:val="005428AD"/>
    <w:rsid w:val="005D547D"/>
    <w:rsid w:val="005D74F4"/>
    <w:rsid w:val="005F5829"/>
    <w:rsid w:val="00625599"/>
    <w:rsid w:val="006279B1"/>
    <w:rsid w:val="006809DA"/>
    <w:rsid w:val="00695115"/>
    <w:rsid w:val="006B3598"/>
    <w:rsid w:val="006B58C8"/>
    <w:rsid w:val="006D013B"/>
    <w:rsid w:val="00724997"/>
    <w:rsid w:val="00750523"/>
    <w:rsid w:val="007547F9"/>
    <w:rsid w:val="00805AF5"/>
    <w:rsid w:val="008072A7"/>
    <w:rsid w:val="00821F4C"/>
    <w:rsid w:val="008301F2"/>
    <w:rsid w:val="00854FD8"/>
    <w:rsid w:val="00881718"/>
    <w:rsid w:val="0088565C"/>
    <w:rsid w:val="008A5A99"/>
    <w:rsid w:val="008B040D"/>
    <w:rsid w:val="008B600D"/>
    <w:rsid w:val="008D4451"/>
    <w:rsid w:val="008F734E"/>
    <w:rsid w:val="0091171C"/>
    <w:rsid w:val="009245B7"/>
    <w:rsid w:val="00954378"/>
    <w:rsid w:val="0096158D"/>
    <w:rsid w:val="009A7254"/>
    <w:rsid w:val="00A1360B"/>
    <w:rsid w:val="00AD2D98"/>
    <w:rsid w:val="00AE4C4D"/>
    <w:rsid w:val="00AF5628"/>
    <w:rsid w:val="00AF6EF5"/>
    <w:rsid w:val="00B5595E"/>
    <w:rsid w:val="00B60F12"/>
    <w:rsid w:val="00B63856"/>
    <w:rsid w:val="00B6446B"/>
    <w:rsid w:val="00B700C6"/>
    <w:rsid w:val="00BA2DA0"/>
    <w:rsid w:val="00BD1DE0"/>
    <w:rsid w:val="00BD5DF9"/>
    <w:rsid w:val="00BE00C5"/>
    <w:rsid w:val="00C60DAE"/>
    <w:rsid w:val="00C8063A"/>
    <w:rsid w:val="00C812A3"/>
    <w:rsid w:val="00C9488F"/>
    <w:rsid w:val="00CA33DD"/>
    <w:rsid w:val="00CB329D"/>
    <w:rsid w:val="00CF548E"/>
    <w:rsid w:val="00D165BE"/>
    <w:rsid w:val="00D24DCC"/>
    <w:rsid w:val="00D34F8E"/>
    <w:rsid w:val="00D6217E"/>
    <w:rsid w:val="00D838B5"/>
    <w:rsid w:val="00DA261E"/>
    <w:rsid w:val="00DA3BF0"/>
    <w:rsid w:val="00DA7AC2"/>
    <w:rsid w:val="00DD0911"/>
    <w:rsid w:val="00DE1E19"/>
    <w:rsid w:val="00E14953"/>
    <w:rsid w:val="00E2716C"/>
    <w:rsid w:val="00E3127F"/>
    <w:rsid w:val="00E35FCE"/>
    <w:rsid w:val="00E45640"/>
    <w:rsid w:val="00E50C22"/>
    <w:rsid w:val="00E57B58"/>
    <w:rsid w:val="00E87B3F"/>
    <w:rsid w:val="00EE50AA"/>
    <w:rsid w:val="00F15373"/>
    <w:rsid w:val="00F17A12"/>
    <w:rsid w:val="00F3401B"/>
    <w:rsid w:val="00FB413A"/>
    <w:rsid w:val="00FC26DC"/>
    <w:rsid w:val="00FF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3DD"/>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B16"/>
    <w:pPr>
      <w:spacing w:after="0" w:line="240" w:lineRule="auto"/>
      <w:ind w:left="720"/>
    </w:pPr>
    <w:rPr>
      <w:rFonts w:ascii="Times New Roman" w:hAnsi="Times New Roman"/>
      <w:lang w:val="en-GB"/>
    </w:rPr>
  </w:style>
  <w:style w:type="paragraph" w:customStyle="1" w:styleId="AODocTxtL2">
    <w:name w:val="AODocTxtL2"/>
    <w:basedOn w:val="a"/>
    <w:uiPriority w:val="99"/>
    <w:rsid w:val="00496B16"/>
    <w:pPr>
      <w:numPr>
        <w:ilvl w:val="2"/>
      </w:numPr>
      <w:tabs>
        <w:tab w:val="num" w:pos="643"/>
      </w:tabs>
      <w:spacing w:before="240" w:after="0" w:line="260" w:lineRule="atLeast"/>
      <w:ind w:left="1440" w:hanging="360"/>
      <w:jc w:val="both"/>
    </w:pPr>
    <w:rPr>
      <w:rFonts w:ascii="Times New Roman" w:eastAsia="SimSun" w:hAnsi="Times New Roman"/>
      <w:lang w:val="en-GB"/>
    </w:rPr>
  </w:style>
  <w:style w:type="paragraph" w:styleId="a4">
    <w:name w:val="Plain Text"/>
    <w:basedOn w:val="a"/>
    <w:link w:val="a5"/>
    <w:uiPriority w:val="99"/>
    <w:rsid w:val="00496B16"/>
    <w:pPr>
      <w:spacing w:after="0" w:line="240" w:lineRule="auto"/>
    </w:pPr>
    <w:rPr>
      <w:rFonts w:ascii="Courier New" w:hAnsi="Courier New"/>
      <w:i/>
      <w:iCs/>
      <w:sz w:val="20"/>
      <w:szCs w:val="20"/>
      <w:lang w:eastAsia="ru-RU"/>
    </w:rPr>
  </w:style>
  <w:style w:type="character" w:customStyle="1" w:styleId="a5">
    <w:name w:val="Текст Знак"/>
    <w:basedOn w:val="a0"/>
    <w:link w:val="a4"/>
    <w:uiPriority w:val="99"/>
    <w:locked/>
    <w:rsid w:val="00496B16"/>
    <w:rPr>
      <w:rFonts w:ascii="Courier New" w:hAnsi="Courier New" w:cs="Times New Roman"/>
      <w:i/>
      <w:iCs/>
      <w:sz w:val="20"/>
      <w:szCs w:val="20"/>
      <w:lang w:eastAsia="ru-RU"/>
    </w:rPr>
  </w:style>
  <w:style w:type="table" w:styleId="a6">
    <w:name w:val="Table Grid"/>
    <w:basedOn w:val="a1"/>
    <w:uiPriority w:val="39"/>
    <w:rsid w:val="00BE00C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BD1DE0"/>
    <w:rPr>
      <w:rFonts w:ascii="Times New Roman" w:hAnsi="Times New Roman"/>
      <w:sz w:val="24"/>
      <w:szCs w:val="24"/>
    </w:rPr>
  </w:style>
  <w:style w:type="paragraph" w:customStyle="1" w:styleId="RulesNo">
    <w:name w:val="Rules No"/>
    <w:autoRedefine/>
    <w:uiPriority w:val="99"/>
    <w:rsid w:val="00A1360B"/>
    <w:pPr>
      <w:spacing w:after="0" w:line="240" w:lineRule="auto"/>
      <w:ind w:firstLine="540"/>
      <w:jc w:val="both"/>
    </w:pPr>
    <w:rPr>
      <w:rFonts w:ascii="Arial" w:eastAsiaTheme="minorEastAsia" w:hAnsi="Arial" w:cs="Arial"/>
      <w:sz w:val="18"/>
      <w:szCs w:val="18"/>
      <w:lang w:eastAsia="ru-RU"/>
    </w:rPr>
  </w:style>
  <w:style w:type="paragraph" w:styleId="a8">
    <w:name w:val="Balloon Text"/>
    <w:basedOn w:val="a"/>
    <w:link w:val="a9"/>
    <w:uiPriority w:val="99"/>
    <w:semiHidden/>
    <w:unhideWhenUsed/>
    <w:rsid w:val="003A78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3A78D9"/>
    <w:rPr>
      <w:rFonts w:ascii="Segoe UI" w:hAnsi="Segoe UI" w:cs="Segoe UI"/>
      <w:sz w:val="18"/>
      <w:szCs w:val="18"/>
    </w:rPr>
  </w:style>
  <w:style w:type="paragraph" w:styleId="aa">
    <w:name w:val="header"/>
    <w:basedOn w:val="a"/>
    <w:link w:val="ab"/>
    <w:uiPriority w:val="99"/>
    <w:unhideWhenUsed/>
    <w:rsid w:val="00E45640"/>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E45640"/>
    <w:rPr>
      <w:rFonts w:cs="Times New Roman"/>
    </w:rPr>
  </w:style>
  <w:style w:type="paragraph" w:styleId="ac">
    <w:name w:val="footer"/>
    <w:basedOn w:val="a"/>
    <w:link w:val="ad"/>
    <w:uiPriority w:val="99"/>
    <w:unhideWhenUsed/>
    <w:rsid w:val="00E4564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E45640"/>
    <w:rPr>
      <w:rFonts w:cs="Times New Roman"/>
    </w:rPr>
  </w:style>
</w:styles>
</file>

<file path=word/webSettings.xml><?xml version="1.0" encoding="utf-8"?>
<w:webSettings xmlns:r="http://schemas.openxmlformats.org/officeDocument/2006/relationships" xmlns:w="http://schemas.openxmlformats.org/wordprocessingml/2006/main">
  <w:divs>
    <w:div w:id="905653106">
      <w:marLeft w:val="0"/>
      <w:marRight w:val="0"/>
      <w:marTop w:val="0"/>
      <w:marBottom w:val="0"/>
      <w:divBdr>
        <w:top w:val="none" w:sz="0" w:space="0" w:color="auto"/>
        <w:left w:val="none" w:sz="0" w:space="0" w:color="auto"/>
        <w:bottom w:val="none" w:sz="0" w:space="0" w:color="auto"/>
        <w:right w:val="none" w:sz="0" w:space="0" w:color="auto"/>
      </w:divBdr>
    </w:div>
    <w:div w:id="905653107">
      <w:marLeft w:val="0"/>
      <w:marRight w:val="0"/>
      <w:marTop w:val="0"/>
      <w:marBottom w:val="0"/>
      <w:divBdr>
        <w:top w:val="none" w:sz="0" w:space="0" w:color="auto"/>
        <w:left w:val="none" w:sz="0" w:space="0" w:color="auto"/>
        <w:bottom w:val="none" w:sz="0" w:space="0" w:color="auto"/>
        <w:right w:val="none" w:sz="0" w:space="0" w:color="auto"/>
      </w:divBdr>
    </w:div>
    <w:div w:id="905653108">
      <w:marLeft w:val="0"/>
      <w:marRight w:val="0"/>
      <w:marTop w:val="0"/>
      <w:marBottom w:val="0"/>
      <w:divBdr>
        <w:top w:val="none" w:sz="0" w:space="0" w:color="auto"/>
        <w:left w:val="none" w:sz="0" w:space="0" w:color="auto"/>
        <w:bottom w:val="none" w:sz="0" w:space="0" w:color="auto"/>
        <w:right w:val="none" w:sz="0" w:space="0" w:color="auto"/>
      </w:divBdr>
    </w:div>
    <w:div w:id="905653109">
      <w:marLeft w:val="0"/>
      <w:marRight w:val="0"/>
      <w:marTop w:val="0"/>
      <w:marBottom w:val="0"/>
      <w:divBdr>
        <w:top w:val="none" w:sz="0" w:space="0" w:color="auto"/>
        <w:left w:val="none" w:sz="0" w:space="0" w:color="auto"/>
        <w:bottom w:val="none" w:sz="0" w:space="0" w:color="auto"/>
        <w:right w:val="none" w:sz="0" w:space="0" w:color="auto"/>
      </w:divBdr>
    </w:div>
    <w:div w:id="905653110">
      <w:marLeft w:val="0"/>
      <w:marRight w:val="0"/>
      <w:marTop w:val="0"/>
      <w:marBottom w:val="0"/>
      <w:divBdr>
        <w:top w:val="none" w:sz="0" w:space="0" w:color="auto"/>
        <w:left w:val="none" w:sz="0" w:space="0" w:color="auto"/>
        <w:bottom w:val="none" w:sz="0" w:space="0" w:color="auto"/>
        <w:right w:val="none" w:sz="0" w:space="0" w:color="auto"/>
      </w:divBdr>
    </w:div>
    <w:div w:id="905653111">
      <w:marLeft w:val="0"/>
      <w:marRight w:val="0"/>
      <w:marTop w:val="0"/>
      <w:marBottom w:val="0"/>
      <w:divBdr>
        <w:top w:val="none" w:sz="0" w:space="0" w:color="auto"/>
        <w:left w:val="none" w:sz="0" w:space="0" w:color="auto"/>
        <w:bottom w:val="none" w:sz="0" w:space="0" w:color="auto"/>
        <w:right w:val="none" w:sz="0" w:space="0" w:color="auto"/>
      </w:divBdr>
    </w:div>
    <w:div w:id="90565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001_частично действующая редакция</Статус_x0020_документа>
    <_EndDate xmlns="http://schemas.microsoft.com/sharepoint/v3/fields">11.10.2017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40CBB-1324-4EE3-8A29-CC33711D65B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882EFDA-768E-424E-BD57-88898F75C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5E9B69-B22F-4B5E-A094-E02D881B1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5138</Words>
  <Characters>29288</Characters>
  <Application>Microsoft Office Word</Application>
  <DocSecurity>0</DocSecurity>
  <Lines>244</Lines>
  <Paragraphs>68</Paragraphs>
  <ScaleCrop>false</ScaleCrop>
  <Company>FRSD</Company>
  <LinksUpToDate>false</LinksUpToDate>
  <CharactersWithSpaces>34358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voronovskaya.v</cp:lastModifiedBy>
  <cp:revision>2</cp:revision>
  <cp:lastPrinted>2017-09-13T11:21:00Z</cp:lastPrinted>
  <dcterms:created xsi:type="dcterms:W3CDTF">2017-10-20T08:25:00Z</dcterms:created>
  <dcterms:modified xsi:type="dcterms:W3CDTF">2017-10-20T08:25:00Z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