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BF" w:rsidRPr="00407083" w:rsidRDefault="00254ABF" w:rsidP="00746AA8">
      <w:pPr>
        <w:pStyle w:val="24"/>
        <w:spacing w:line="240" w:lineRule="exact"/>
        <w:ind w:lef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46AA8">
        <w:rPr>
          <w:rFonts w:ascii="Calibri" w:hAnsi="Calibri" w:cs="Calibri"/>
          <w:b/>
          <w:bCs/>
          <w:sz w:val="18"/>
          <w:szCs w:val="18"/>
        </w:rPr>
        <w:t>ИЗМЕНЕНИЯ И ДОПОЛНЕНИЯ</w:t>
      </w:r>
      <w:r w:rsidR="00746AA8" w:rsidRPr="00746AA8">
        <w:rPr>
          <w:rFonts w:ascii="Calibri" w:hAnsi="Calibri" w:cs="Calibri"/>
          <w:b/>
          <w:bCs/>
          <w:sz w:val="18"/>
          <w:szCs w:val="18"/>
        </w:rPr>
        <w:t xml:space="preserve"> №1</w:t>
      </w:r>
      <w:r w:rsidR="00B63A7F">
        <w:rPr>
          <w:rFonts w:ascii="Calibri" w:hAnsi="Calibri" w:cs="Calibri"/>
          <w:b/>
          <w:bCs/>
          <w:sz w:val="18"/>
          <w:szCs w:val="18"/>
        </w:rPr>
        <w:t>9</w:t>
      </w:r>
    </w:p>
    <w:p w:rsidR="00254ABF" w:rsidRPr="00746AA8" w:rsidRDefault="00254ABF" w:rsidP="00746AA8">
      <w:pPr>
        <w:pStyle w:val="24"/>
        <w:spacing w:line="240" w:lineRule="exact"/>
        <w:ind w:lef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46AA8">
        <w:rPr>
          <w:rFonts w:ascii="Calibri" w:hAnsi="Calibri" w:cs="Calibri"/>
          <w:b/>
          <w:bCs/>
          <w:sz w:val="18"/>
          <w:szCs w:val="18"/>
        </w:rPr>
        <w:t>В ПРАВИЛА ДОВЕРИТЕЛЬНОГО УПРАВЛЕНИЯ</w:t>
      </w:r>
    </w:p>
    <w:p w:rsidR="00254ABF" w:rsidRPr="00746AA8" w:rsidRDefault="00254ABF" w:rsidP="00746AA8">
      <w:pPr>
        <w:pStyle w:val="24"/>
        <w:spacing w:line="240" w:lineRule="exact"/>
        <w:ind w:lef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46AA8">
        <w:rPr>
          <w:rFonts w:ascii="Calibri" w:hAnsi="Calibri" w:cs="Calibri"/>
          <w:b/>
          <w:bCs/>
          <w:sz w:val="18"/>
          <w:szCs w:val="18"/>
        </w:rPr>
        <w:t xml:space="preserve">ОТКРЫТЫМ ПАЕВЫМ ИНВЕСТИЦИОННЫМ ФОНДОМ </w:t>
      </w:r>
      <w:r w:rsidR="00676AA5" w:rsidRPr="00746AA8">
        <w:rPr>
          <w:rFonts w:ascii="Calibri" w:hAnsi="Calibri" w:cs="Calibri"/>
          <w:b/>
          <w:bCs/>
          <w:sz w:val="18"/>
          <w:szCs w:val="18"/>
        </w:rPr>
        <w:t>ОБЛИГАЦИЙ</w:t>
      </w:r>
    </w:p>
    <w:p w:rsidR="00254ABF" w:rsidRPr="00746AA8" w:rsidRDefault="00254ABF" w:rsidP="00746AA8">
      <w:pPr>
        <w:pStyle w:val="24"/>
        <w:spacing w:line="240" w:lineRule="exact"/>
        <w:ind w:left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46AA8">
        <w:rPr>
          <w:rFonts w:ascii="Calibri" w:hAnsi="Calibri" w:cs="Calibri"/>
          <w:b/>
          <w:bCs/>
          <w:sz w:val="18"/>
          <w:szCs w:val="18"/>
        </w:rPr>
        <w:t xml:space="preserve">«ТРОЙКА ДИАЛОГ – </w:t>
      </w:r>
      <w:r w:rsidR="00676AA5" w:rsidRPr="00746AA8">
        <w:rPr>
          <w:rFonts w:ascii="Calibri" w:hAnsi="Calibri" w:cs="Calibri"/>
          <w:b/>
          <w:bCs/>
          <w:sz w:val="18"/>
          <w:szCs w:val="18"/>
        </w:rPr>
        <w:t>РИСКОВАННЫЕ ОБЛИГАЦИИ</w:t>
      </w:r>
      <w:r w:rsidRPr="00746AA8">
        <w:rPr>
          <w:rFonts w:ascii="Calibri" w:hAnsi="Calibri" w:cs="Calibri"/>
          <w:b/>
          <w:bCs/>
          <w:sz w:val="18"/>
          <w:szCs w:val="18"/>
        </w:rPr>
        <w:t>»</w:t>
      </w:r>
    </w:p>
    <w:p w:rsidR="002D2238" w:rsidRPr="00746AA8" w:rsidRDefault="002D2238" w:rsidP="00746AA8">
      <w:pPr>
        <w:spacing w:after="120" w:line="240" w:lineRule="exact"/>
        <w:jc w:val="center"/>
        <w:rPr>
          <w:rFonts w:ascii="Calibri" w:hAnsi="Calibri" w:cs="Calibri"/>
          <w:sz w:val="18"/>
          <w:szCs w:val="18"/>
        </w:rPr>
      </w:pPr>
      <w:r w:rsidRPr="00746AA8">
        <w:rPr>
          <w:rFonts w:ascii="Calibri" w:hAnsi="Calibri" w:cs="Calibri"/>
          <w:sz w:val="18"/>
          <w:szCs w:val="18"/>
        </w:rPr>
        <w:t>(Правила доверительного управления фондом зарегистрированы</w:t>
      </w:r>
    </w:p>
    <w:p w:rsidR="002D2238" w:rsidRDefault="002D2238" w:rsidP="00746AA8">
      <w:pPr>
        <w:spacing w:before="120" w:after="120" w:line="240" w:lineRule="exact"/>
        <w:jc w:val="center"/>
        <w:rPr>
          <w:rFonts w:ascii="Calibri" w:hAnsi="Calibri" w:cs="Calibri"/>
          <w:sz w:val="18"/>
          <w:szCs w:val="18"/>
        </w:rPr>
      </w:pPr>
      <w:bookmarkStart w:id="0" w:name="Text1"/>
      <w:r w:rsidRPr="00746AA8">
        <w:rPr>
          <w:rFonts w:ascii="Calibri" w:hAnsi="Calibri" w:cs="Calibri"/>
          <w:sz w:val="18"/>
          <w:szCs w:val="18"/>
        </w:rPr>
        <w:t>2 марта 2005 года за № 0327-76077399)</w:t>
      </w:r>
      <w:bookmarkEnd w:id="0"/>
    </w:p>
    <w:p w:rsidR="0049031D" w:rsidRPr="007910CA" w:rsidRDefault="0049031D" w:rsidP="0049031D">
      <w:pPr>
        <w:pStyle w:val="24"/>
        <w:spacing w:after="0" w:line="240" w:lineRule="auto"/>
        <w:ind w:left="284"/>
        <w:jc w:val="center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5107"/>
        <w:gridCol w:w="5189"/>
      </w:tblGrid>
      <w:tr w:rsidR="00746AA8" w:rsidRPr="007910CA" w:rsidTr="000759BF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8" w:rsidRPr="005E0016" w:rsidRDefault="00746AA8" w:rsidP="005E0016">
            <w:pPr>
              <w:pStyle w:val="aa"/>
              <w:spacing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СТАРАЯ РЕДАКЦИЯ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8" w:rsidRPr="005E0016" w:rsidRDefault="00746AA8" w:rsidP="005E0016">
            <w:pPr>
              <w:pStyle w:val="aa"/>
              <w:spacing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НОВАЯ РЕДАКЦИЯ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6C579E">
            <w:pPr>
              <w:spacing w:after="120" w:line="240" w:lineRule="exact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Полное название паевого инвестиционного фонда: Открытый паевой инвестиционный фонд </w:t>
            </w:r>
            <w:r>
              <w:rPr>
                <w:rFonts w:asciiTheme="minorHAnsi" w:hAnsiTheme="minorHAnsi" w:cs="Calibri"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 xml:space="preserve">«Тройка Диалог 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Рискованные облигации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«Фонд»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</w:tc>
        <w:tc>
          <w:tcPr>
            <w:tcW w:w="2520" w:type="pct"/>
          </w:tcPr>
          <w:p w:rsidR="006C579E" w:rsidRPr="00FC1678" w:rsidRDefault="006C579E" w:rsidP="006C579E">
            <w:pPr>
              <w:spacing w:after="120" w:line="240" w:lineRule="exact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Полное название паевого инвестиционного фонда: Открытый паевой инвестиционный фонд </w:t>
            </w:r>
            <w:r>
              <w:rPr>
                <w:rFonts w:asciiTheme="minorHAnsi" w:hAnsiTheme="minorHAnsi" w:cs="Calibri"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«</w:t>
            </w:r>
            <w:r w:rsidRPr="003C4535">
              <w:rPr>
                <w:rFonts w:asciiTheme="minorHAnsi" w:hAnsiTheme="minorHAnsi" w:cs="Calibri"/>
                <w:b/>
                <w:sz w:val="18"/>
                <w:szCs w:val="18"/>
              </w:rPr>
              <w:t>Сбербанк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Фонд рискованных облигаций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«Фонд»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pStyle w:val="ConsNormal"/>
              <w:spacing w:after="120" w:line="240" w:lineRule="exact"/>
              <w:ind w:right="-159" w:firstLine="0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Краткое название Фонда: ОПИФ </w:t>
            </w:r>
            <w:r>
              <w:rPr>
                <w:rFonts w:asciiTheme="minorHAnsi" w:hAnsiTheme="minorHAnsi" w:cs="Calibri"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 xml:space="preserve">«Тройка Диалог 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Рискованные облигации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»</w:t>
            </w:r>
          </w:p>
        </w:tc>
        <w:tc>
          <w:tcPr>
            <w:tcW w:w="2520" w:type="pct"/>
          </w:tcPr>
          <w:p w:rsidR="006C579E" w:rsidRPr="00FC1678" w:rsidRDefault="006C579E" w:rsidP="006C579E">
            <w:pPr>
              <w:pStyle w:val="ConsNormal"/>
              <w:spacing w:after="120" w:line="240" w:lineRule="exact"/>
              <w:ind w:right="-159" w:firstLine="0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Краткое название Фонда: ОПИФ </w:t>
            </w:r>
            <w:r>
              <w:rPr>
                <w:rFonts w:asciiTheme="minorHAnsi" w:hAnsiTheme="minorHAnsi" w:cs="Calibri"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«</w:t>
            </w:r>
            <w:r w:rsidRPr="003C4535">
              <w:rPr>
                <w:rFonts w:asciiTheme="minorHAnsi" w:hAnsiTheme="minorHAnsi" w:cs="Calibri"/>
                <w:b/>
                <w:sz w:val="18"/>
                <w:szCs w:val="18"/>
              </w:rPr>
              <w:t xml:space="preserve">Сбербанк </w:t>
            </w:r>
            <w:r w:rsidRPr="00EC3737">
              <w:rPr>
                <w:rFonts w:asciiTheme="minorHAnsi" w:hAnsiTheme="minorHAnsi" w:cs="Calibr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Фонд рискованных облигаций</w:t>
            </w:r>
            <w:r w:rsidRPr="00EC3737">
              <w:rPr>
                <w:rFonts w:ascii="Calibri" w:hAnsi="Calibri" w:cs="Calibri"/>
                <w:b/>
                <w:sz w:val="18"/>
                <w:szCs w:val="18"/>
              </w:rPr>
              <w:t>»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Название паевого инвестиционного фонда Открытый паевой инвестиционный фонд </w:t>
            </w:r>
            <w:r w:rsidRPr="006C579E">
              <w:rPr>
                <w:rFonts w:asciiTheme="minorHAnsi" w:hAnsiTheme="minorHAnsi" w:cs="Calibri"/>
                <w:b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 xml:space="preserve">«Тройка Диалог 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Рискованные облигации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»</w:t>
            </w:r>
          </w:p>
        </w:tc>
        <w:tc>
          <w:tcPr>
            <w:tcW w:w="2520" w:type="pct"/>
          </w:tcPr>
          <w:p w:rsidR="006C579E" w:rsidRPr="00FC1678" w:rsidRDefault="006C579E" w:rsidP="006C579E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Заменить в тексте Правил Фонда на Открытый паевой инвестиционный фонд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облигаций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«</w:t>
            </w:r>
            <w:r w:rsidRPr="00CB0A2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Сбербанк –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Фонд рискованных облигаций</w:t>
            </w:r>
            <w:r w:rsidRPr="00EC3737">
              <w:rPr>
                <w:rFonts w:ascii="Calibri" w:hAnsi="Calibri" w:cs="Calibri"/>
                <w:b/>
                <w:sz w:val="18"/>
                <w:szCs w:val="18"/>
              </w:rPr>
              <w:t>»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4.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Полное фирменное наименование управляющей компании Фонда: Закрытое акционерное общество «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Управляющая компания «Тройка Диалог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»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«Управляющая компания»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</w:tc>
        <w:tc>
          <w:tcPr>
            <w:tcW w:w="2520" w:type="pct"/>
          </w:tcPr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4.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Полное фирменное наименование управляющей компании Фонда: Закрытое акционерное общество «</w:t>
            </w:r>
            <w:r w:rsidRPr="003C4535">
              <w:rPr>
                <w:rFonts w:asciiTheme="minorHAnsi" w:hAnsiTheme="minorHAnsi" w:cs="Calibri"/>
                <w:b/>
                <w:sz w:val="18"/>
                <w:szCs w:val="18"/>
              </w:rPr>
              <w:t>Сбербанк Управление Активами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»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«Управляющая компания»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Наименование управляющей компании фонда Закрытое акционерное общество «Управляющая компания «Тройка Диалог»</w:t>
            </w:r>
          </w:p>
        </w:tc>
        <w:tc>
          <w:tcPr>
            <w:tcW w:w="2520" w:type="pct"/>
          </w:tcPr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Заменить по тексту Правил Фонда на Закрытое акционерное общество «Сбербанк Управление Активами»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48.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 Порядок подачи заявок на приобретение Инвестиционных паев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оформленные в соответствии с приложениями № 1 и № 2 к настоящим Правилам, подаются в пунктах приема заявок инвестором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оформленные в соответствии с приложением № 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Заявки на приобретение Инвестиционных паев, вместе с комплектом документов, необходимых для открытия лицевого счета в реестре владельцев Инвестиционных паев, могут быть направлены приобретателем Инвестиционных паев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В случае направления приобретателем Инвестиционных паев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компании, подпись приобретателя Инвестиционных паев на заявке на приобретение Инвестиционных паев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, и иных документах, необходимых для открытия лицевого счета в реестре владельцев Инвестиционных паев,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должна быть удостоверена нотариально.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В случае направления приобретателем Инвестиционных паев заявки на приобретение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приобретение Инвестиционных паев считается дата и время получения заказного письма Управляющей компанией.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В случае отказа в приеме заявки на приобретение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приобрести Инвестиционные паи, на обратный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могут быть направлены физическим лицом от своего имени, желающим приобрести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- физическое лицо, желающее приобрести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Управляющей компанией (далее по тексту – </w:t>
            </w:r>
            <w:r w:rsidRPr="00FC1678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приобретение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10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приобретение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приобрести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приобретение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приобретение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11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направленные факсом или курьером, не принимаются.</w:t>
            </w:r>
          </w:p>
        </w:tc>
        <w:tc>
          <w:tcPr>
            <w:tcW w:w="2520" w:type="pct"/>
          </w:tcPr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48.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 Порядок подачи заявок на приобретение Инвестиционных паев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оформленные в соответствии с приложениями № 1 и № 2 к настоящим Правилам, подаются в пунктах приема заявок инвестором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оформленные в соответствии с приложением № 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Заявки на приобретение Инвестиционных паев, вместе с комплектом документов, необходимых для открытия лицевого счета в реестре владельцев Инвестиционных паев, могут быть направлены приобретателем Инвестиционных паев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В случае направления приобретателем Инвестиционных паев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компании, подпись приобретателя Инвестиционных паев на заявке на приобретение Инвестиционных паев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, и иных документах, необходимых для открытия лицевого счета в реестре владельцев Инвестиционных паев,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должна быть удостоверена нотариально.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В случае направления приобретателем Инвестиционных паев заявки на приобретение Инвестиционных паев посредством почтовой связи заказным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письмом с уведомлением о вручении заказного письма Управляющей компании, датой и временем приема заявки на приобретение Инвестиционных паев считается дата и время получения заказного письма Управляющей компанией.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В случае отказа в приеме заявки на приобретение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приобрести Инвестиционные паи, на обратный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могут быть направлены физическим лицом от своего имени, желающим приобрести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- физическое лицо, желающее приобрести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Управляющей компанией (далее по тексту – </w:t>
            </w:r>
            <w:r w:rsidRPr="00FC1678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приобретение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12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приобретение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приобрести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приобретение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приобретение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13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приобретение Инвестиционных паев, направленные факсом или курьером, не принимаются.</w:t>
            </w:r>
          </w:p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6</w:t>
            </w:r>
            <w:r w:rsidR="00B63A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7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>приложением к настоящим Правилам.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 носят безотзывный характер.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 подаются в следующем порядке: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оформленные в соответствии с приложениями № 4 и № 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оформленные в соответствии с приложением № 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Заявки на погашение Инвестиционных паев, а также, при необходимости комплект документов, необходимых для погашения Инвестиционных паев, могут быть поданы лицом, желающим погасить Инвестиционные паи непосредственно в Управляющую компанию, либо направлены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4, Закрытое акционерное общество </w:t>
            </w:r>
            <w:r w:rsidRPr="00197E1C">
              <w:rPr>
                <w:rFonts w:asciiTheme="minorHAnsi" w:hAnsiTheme="minorHAnsi" w:cs="Calibri"/>
                <w:b/>
                <w:sz w:val="18"/>
                <w:szCs w:val="18"/>
              </w:rPr>
              <w:t>«Управляющая компания «Тройка Диалог».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погасить Инвестиционные паи заявки на погашение Инвестиционных паев, посредством почтовой связи заказным письмом с уведомлением о вручении заказного письма Управляющей компании, подпись лица, желающего погасить Инвестиционные паи, на заявке на погашение Инвестиционных паев должна быть удостоверена нотариально.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погасить Инвестиционные паи, заявки на погашение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погашение Инвестиционных паев считается дата и время получения заказного письма Управляющей компанией 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погашение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погасить Инвестиционные паи, на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обратный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могут быть направлены физическим лицом от своего имени, желающим погасить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- физическое лицо, желающее погасить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Управляющей компанией (далее по тексту – </w:t>
            </w:r>
            <w:r w:rsidRPr="00FC1678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погашение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14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погашение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погасить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погашение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погашение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15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направленные факсом или курьером, не принимаются.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</w:tc>
        <w:tc>
          <w:tcPr>
            <w:tcW w:w="2520" w:type="pct"/>
          </w:tcPr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6</w:t>
            </w:r>
            <w:r w:rsidR="00B63A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7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>приложением к настоящим Правилам.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 носят безотзывный характер.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 подаются в следующем порядке: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оформленные в соответствии с приложениями № 4 и № 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оформленные в соответствии с приложением № 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Заявки на погашение Инвестиционных паев, а также, при необходимости комплект документов, необходимых для погашения Инвестиционных паев, могут быть поданы лицом, желающим погасить Инвестиционные паи непосредственно в Управляющую компанию, либо направлены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4, 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</w:rPr>
              <w:t>Закрытое акционерное общество «Сбербанк Управление Активами».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погасить Инвестиционные паи заявки на погашение Инвестиционных паев, посредством почтовой связи заказным письмом с уведомлением о вручении заказного письма Управляющей компании, подпись лица, желающего погасить Инвестиционные паи, на заявке на погашение Инвестиционных паев должна быть удостоверена нотариально.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погасить Инвестиционные паи, заявки на погашение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погашение Инвестиционных паев считается дата и время получения заказного письма Управляющей компанией 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погашение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погасить Инвестиционные паи, на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обратный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могут быть направлены физическим лицом от своего имени, желающим погасить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- физическое лицо, желающее погасить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Управляющей компанией (далее по тексту – </w:t>
            </w:r>
            <w:r w:rsidRPr="00FC1678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погашение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16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погашение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погасить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погашение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погашение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17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направленные факсом или курьером, не принимаются.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  <w:p w:rsidR="006C579E" w:rsidRPr="00FC1678" w:rsidRDefault="006C579E" w:rsidP="00090CED">
            <w:pPr>
              <w:tabs>
                <w:tab w:val="right" w:pos="9070"/>
              </w:tabs>
              <w:spacing w:after="120" w:line="240" w:lineRule="exact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5E0016" w:rsidRDefault="006C579E" w:rsidP="006C579E">
            <w:pPr>
              <w:pStyle w:val="ConsNormal"/>
              <w:spacing w:after="120" w:line="240" w:lineRule="exact"/>
              <w:ind w:right="-1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83.</w:t>
            </w: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 Инвестиционные паи могут обмениваться на инвестиционные паи:</w:t>
            </w:r>
          </w:p>
          <w:p w:rsidR="006C579E" w:rsidRPr="005E0016" w:rsidRDefault="006C579E" w:rsidP="006C579E">
            <w:pPr>
              <w:spacing w:after="120" w:line="240" w:lineRule="exact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облигаций “Тройка Диалог - Илья Муромец”;</w:t>
            </w:r>
          </w:p>
          <w:p w:rsidR="006C579E" w:rsidRPr="005E0016" w:rsidRDefault="006C579E" w:rsidP="006C579E">
            <w:pPr>
              <w:spacing w:after="120" w:line="240" w:lineRule="exact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акций “Тройка Диалог – Добрыня Никитич”;</w:t>
            </w:r>
          </w:p>
          <w:p w:rsidR="006C579E" w:rsidRPr="005E0016" w:rsidRDefault="006C579E" w:rsidP="006C579E">
            <w:pPr>
              <w:spacing w:after="120" w:line="240" w:lineRule="exact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смешанных инвестиций “Тройка Диалог - Дружина";</w:t>
            </w:r>
          </w:p>
          <w:p w:rsidR="006C579E" w:rsidRPr="005E0016" w:rsidRDefault="006C579E" w:rsidP="006C579E">
            <w:pPr>
              <w:spacing w:after="120" w:line="240" w:lineRule="exact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«Тройка Диалог – Фонд денежного рынка»;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Нефтегазовый сектор”;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Финансовый сектор”;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Федеральный”;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Телекоммуникации”;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 xml:space="preserve">Открытого паевого инвестиционного фонда акций </w:t>
            </w:r>
            <w:r w:rsidRPr="005E0016">
              <w:rPr>
                <w:rFonts w:asciiTheme="minorHAnsi" w:hAnsiTheme="minorHAnsi" w:cstheme="minorHAnsi"/>
                <w:b w:val="0"/>
                <w:bCs w:val="0"/>
              </w:rPr>
              <w:lastRenderedPageBreak/>
              <w:t>“Тройка Диалог – Металлургия”;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Потребительский сектор”;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«Тройка Диалог - Электроэнергетика»;</w:t>
            </w:r>
          </w:p>
          <w:p w:rsidR="006C579E" w:rsidRPr="005E0016" w:rsidRDefault="006C579E" w:rsidP="006C579E">
            <w:pPr>
              <w:spacing w:after="120" w:line="240" w:lineRule="exact"/>
              <w:ind w:right="69"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смешанных инвестиций «Тройка Диалог – БРИК» ;</w:t>
            </w:r>
          </w:p>
          <w:p w:rsidR="006C579E" w:rsidRPr="005E0016" w:rsidRDefault="006C579E" w:rsidP="006C579E">
            <w:pPr>
              <w:spacing w:after="120" w:line="240" w:lineRule="exact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Открытого паевого инвестиционного фонда акций  “Тройка Диалог – Потенциал”;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Компании рынка драгоценных металлов”;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 xml:space="preserve">Открытого паевого инвестиционного фонда акций </w:t>
            </w:r>
            <w:r w:rsidRPr="005E0016">
              <w:rPr>
                <w:rFonts w:asciiTheme="minorHAnsi" w:hAnsiTheme="minorHAnsi" w:cstheme="minorHAnsi"/>
                <w:bCs w:val="0"/>
              </w:rPr>
              <w:t>“Тройка Диалог – Фонд активного управления”;</w:t>
            </w:r>
          </w:p>
          <w:p w:rsidR="006C579E" w:rsidRPr="005E0016" w:rsidRDefault="006C579E" w:rsidP="006C579E">
            <w:pPr>
              <w:pStyle w:val="22"/>
              <w:spacing w:after="120" w:line="240" w:lineRule="exact"/>
              <w:ind w:firstLine="720"/>
              <w:rPr>
                <w:rFonts w:asciiTheme="minorHAnsi" w:hAnsiTheme="minorHAnsi" w:cstheme="minorHAnsi"/>
                <w:b w:val="0"/>
                <w:bCs w:val="0"/>
              </w:rPr>
            </w:pPr>
            <w:r w:rsidRPr="005E0016">
              <w:rPr>
                <w:rFonts w:asciiTheme="minorHAnsi" w:hAnsiTheme="minorHAnsi" w:cstheme="minorHAnsi"/>
                <w:b w:val="0"/>
                <w:bCs w:val="0"/>
              </w:rPr>
              <w:t>Открытого паевого инвестиционного фонда акций “Тройка Диалог – Глобальный Интернет”;</w:t>
            </w:r>
          </w:p>
          <w:p w:rsidR="006C579E" w:rsidRPr="005E0016" w:rsidRDefault="006C579E" w:rsidP="00B63A7F">
            <w:pPr>
              <w:pStyle w:val="ConsNormal"/>
              <w:spacing w:after="120" w:line="240" w:lineRule="exact"/>
              <w:ind w:right="-15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016">
              <w:rPr>
                <w:rFonts w:asciiTheme="minorHAnsi" w:hAnsiTheme="minorHAnsi" w:cstheme="minorHAnsi"/>
                <w:sz w:val="18"/>
                <w:szCs w:val="18"/>
              </w:rPr>
              <w:t>находящихся в доверительном управлении Управляющей компании.</w:t>
            </w:r>
          </w:p>
        </w:tc>
        <w:tc>
          <w:tcPr>
            <w:tcW w:w="2520" w:type="pct"/>
          </w:tcPr>
          <w:p w:rsidR="00B63A7F" w:rsidRPr="00B63A7F" w:rsidRDefault="00B63A7F" w:rsidP="00B63A7F">
            <w:pPr>
              <w:pStyle w:val="ConsNormal"/>
              <w:spacing w:after="120" w:line="240" w:lineRule="exact"/>
              <w:ind w:right="-15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3A7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83.</w:t>
            </w:r>
            <w:r w:rsidRPr="00B63A7F">
              <w:rPr>
                <w:rFonts w:asciiTheme="minorHAnsi" w:hAnsiTheme="minorHAnsi"/>
                <w:sz w:val="18"/>
                <w:szCs w:val="18"/>
              </w:rPr>
              <w:t> Инвестиционные паи могут обмениваться на инвестиционные паи:</w:t>
            </w:r>
          </w:p>
          <w:p w:rsidR="00B63A7F" w:rsidRPr="00B63A7F" w:rsidRDefault="00B63A7F" w:rsidP="00B63A7F">
            <w:pPr>
              <w:spacing w:after="120" w:line="240" w:lineRule="exact"/>
              <w:ind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облигаций “ Сбербанк - Фонд облигаций «Илья Муромец ”;</w:t>
            </w:r>
          </w:p>
          <w:p w:rsidR="00B63A7F" w:rsidRPr="00B63A7F" w:rsidRDefault="00B63A7F" w:rsidP="00B63A7F">
            <w:pPr>
              <w:spacing w:after="120" w:line="240" w:lineRule="exact"/>
              <w:ind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акций “ Сбербанк – Фонд акций «Добрыня Никитич» ”;</w:t>
            </w:r>
          </w:p>
          <w:p w:rsidR="00B63A7F" w:rsidRPr="00B63A7F" w:rsidRDefault="00B63A7F" w:rsidP="00B63A7F">
            <w:pPr>
              <w:spacing w:after="120" w:line="240" w:lineRule="exact"/>
              <w:ind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смешанных инвестиций “ Сбербанк-Фонд Сбалансированный ";</w:t>
            </w:r>
          </w:p>
          <w:p w:rsidR="00B63A7F" w:rsidRPr="00B63A7F" w:rsidRDefault="00B63A7F" w:rsidP="00B63A7F">
            <w:pPr>
              <w:spacing w:after="120" w:line="240" w:lineRule="exact"/>
              <w:ind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«Сбербанк – Фонд денежного рынка»;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Нефтегазовый сектор”;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Финансовый сектор”;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- Фонд акций компаний с государственным участием”;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Телекоммуникации”;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Металлургия”;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lastRenderedPageBreak/>
              <w:t>Открытого паевого инвестиционного фонда акций “Сбербанк – Потребительский сектор”;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«Сбербанк - Электроэнергетика»;</w:t>
            </w:r>
          </w:p>
          <w:p w:rsidR="00B63A7F" w:rsidRPr="00B63A7F" w:rsidRDefault="00B63A7F" w:rsidP="00B63A7F">
            <w:pPr>
              <w:spacing w:after="120" w:line="240" w:lineRule="exact"/>
              <w:ind w:right="69"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смешанных инвестиций «Сбербанк – БРИК» ;</w:t>
            </w:r>
          </w:p>
          <w:p w:rsidR="00B63A7F" w:rsidRPr="00B63A7F" w:rsidRDefault="00B63A7F" w:rsidP="00B63A7F">
            <w:pPr>
              <w:spacing w:after="120" w:line="240" w:lineRule="exact"/>
              <w:ind w:firstLine="720"/>
              <w:rPr>
                <w:rFonts w:asciiTheme="minorHAnsi" w:hAnsiTheme="minorHAnsi" w:cs="Arial"/>
                <w:sz w:val="18"/>
                <w:szCs w:val="18"/>
              </w:rPr>
            </w:pPr>
            <w:r w:rsidRPr="00B63A7F">
              <w:rPr>
                <w:rFonts w:asciiTheme="minorHAnsi" w:hAnsiTheme="minorHAnsi" w:cs="Arial"/>
                <w:sz w:val="18"/>
                <w:szCs w:val="18"/>
              </w:rPr>
              <w:t>Открытого паевого инвестиционного фонда акций  “Сбербанк – Фонд акций компаний малой капитализации”;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Компании рынка драгоценных металлов”;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Фонд активного управления”;</w:t>
            </w:r>
          </w:p>
          <w:p w:rsidR="00B63A7F" w:rsidRPr="00B63A7F" w:rsidRDefault="00B63A7F" w:rsidP="00B63A7F">
            <w:pPr>
              <w:pStyle w:val="22"/>
              <w:spacing w:line="240" w:lineRule="exact"/>
              <w:ind w:firstLine="720"/>
              <w:rPr>
                <w:rFonts w:asciiTheme="minorHAnsi" w:hAnsiTheme="minorHAnsi"/>
                <w:b w:val="0"/>
                <w:bCs w:val="0"/>
              </w:rPr>
            </w:pPr>
            <w:r w:rsidRPr="00B63A7F">
              <w:rPr>
                <w:rFonts w:asciiTheme="minorHAnsi" w:hAnsiTheme="minorHAnsi"/>
                <w:b w:val="0"/>
                <w:bCs w:val="0"/>
              </w:rPr>
              <w:t>Открытого паевого инвестиционного фонда акций “Сбербанк – Глобальный Интернет”;</w:t>
            </w:r>
          </w:p>
          <w:p w:rsidR="00B63A7F" w:rsidRPr="00B63A7F" w:rsidRDefault="00B63A7F" w:rsidP="00B63A7F">
            <w:pPr>
              <w:pStyle w:val="ConsNormal"/>
              <w:spacing w:after="120" w:line="240" w:lineRule="exact"/>
              <w:ind w:right="-15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3A7F">
              <w:rPr>
                <w:rFonts w:asciiTheme="minorHAnsi" w:hAnsiTheme="minorHAnsi"/>
                <w:sz w:val="18"/>
                <w:szCs w:val="18"/>
              </w:rPr>
              <w:t>находящихся в доверительном управлении Управляющей компании.</w:t>
            </w:r>
          </w:p>
          <w:p w:rsidR="006C579E" w:rsidRPr="005E0016" w:rsidRDefault="006C579E" w:rsidP="006C579E">
            <w:pPr>
              <w:pStyle w:val="ConsNormal"/>
              <w:spacing w:after="120" w:line="240" w:lineRule="exact"/>
              <w:ind w:right="-15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6C579E" w:rsidP="00090CED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8</w:t>
            </w:r>
            <w:r w:rsidR="00B63A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5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 Заявки на обмен Инвестиционных паев подаются в следующем порядке.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оформленные в соответствии с приложениями № 7 и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оформленные в соответствии с приложением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а также, при необходимости, комплект документов, необходимый для открытия лицевого счета в реестре владельцев Инвестиционных паев, на инвестиционные паи которого производится обмен, могут быть направлены лицом, желающим обменять Инвестиционные паи, в Управляющую компанию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обменять Инвестиционные паи заявки на обмен Инвестиционных паев посредством почтовой связи заказным письмом с уведомлением о вручении заказного письма Управляющей компании, подпись лица, желающего обменять Инвестиционные паи, на заявке на обмен Инвестиционных паев, и иных документах, необходимых для открытия лицевого счета в реестре владельцев Инвестиционных паев Фонда, должна быть удостоверена нотариально.</w:t>
            </w:r>
          </w:p>
          <w:p w:rsidR="006C579E" w:rsidRPr="00FC1678" w:rsidRDefault="006C579E" w:rsidP="00090CED">
            <w:pPr>
              <w:pStyle w:val="22"/>
              <w:spacing w:after="120" w:line="240" w:lineRule="exact"/>
              <w:rPr>
                <w:rFonts w:asciiTheme="minorHAnsi" w:hAnsiTheme="minorHAnsi" w:cs="Calibri"/>
                <w:b w:val="0"/>
                <w:bCs w:val="0"/>
                <w:noProof w:val="0"/>
                <w:lang w:eastAsia="ru-RU"/>
              </w:rPr>
            </w:pPr>
            <w:r w:rsidRPr="00FC1678">
              <w:rPr>
                <w:rFonts w:asciiTheme="minorHAnsi" w:hAnsiTheme="minorHAnsi" w:cs="Calibri"/>
                <w:b w:val="0"/>
                <w:bCs w:val="0"/>
                <w:noProof w:val="0"/>
                <w:lang w:eastAsia="ru-RU"/>
              </w:rPr>
              <w:t>В случае направления лицом, желающим обменять Инвестиционные паи, заявки на обмен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обмен Инвестиционных паев считается дата и время получения заказного письма Управляющей компанией.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обмен Инвестиционных 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>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обменять Инвестиционные паи, на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могут быть направлены физическим лицом от своего имени, желающим обменять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- физическое лицо, желающее обменять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Управляющей компанией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обмен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18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обмен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обменять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обмен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обмен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19" w:history="1"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http://personal.troika-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направленные факсом или курьером, не принимаются.</w:t>
            </w:r>
          </w:p>
        </w:tc>
        <w:tc>
          <w:tcPr>
            <w:tcW w:w="2520" w:type="pct"/>
          </w:tcPr>
          <w:p w:rsidR="006C579E" w:rsidRPr="00FC1678" w:rsidRDefault="006C579E" w:rsidP="00090CED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8</w:t>
            </w:r>
            <w:r w:rsidR="00B63A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5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 Заявки на обмен Инвестиционных паев подаются в следующем порядке.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оформленные в соответствии с приложениями № 7 и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оформленные в соответствии с приложением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а также, при необходимости, комплект документов, необходимый для открытия лицевого счета в реестре владельцев Инвестиционных паев, на инвестиционные паи которого производится обмен, могут быть направлены лицом, желающим обменять Инвестиционные паи, в Управляющую компанию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125009, Российская Федерация, город Москва, Романов переулок, дом 4.</w:t>
            </w:r>
          </w:p>
          <w:p w:rsidR="006C579E" w:rsidRPr="00FC1678" w:rsidRDefault="006C579E" w:rsidP="00090CED">
            <w:pPr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В случае направления лицом, желающим обменять Инвестиционные паи заявки на обмен Инвестиционных паев посредством почтовой связи заказным письмом с уведомлением о вручении заказного письма Управляющей компании, подпись лица, желающего обменять Инвестиционные паи, на заявке на обмен Инвестиционных паев, и иных документах, необходимых для открытия лицевого счета в реестре владельцев Инвестиционных паев Фонда, должна быть удостоверена нотариально.</w:t>
            </w:r>
          </w:p>
          <w:p w:rsidR="006C579E" w:rsidRPr="00FC1678" w:rsidRDefault="006C579E" w:rsidP="00090CED">
            <w:pPr>
              <w:pStyle w:val="22"/>
              <w:spacing w:after="120" w:line="240" w:lineRule="exact"/>
              <w:rPr>
                <w:rFonts w:asciiTheme="minorHAnsi" w:hAnsiTheme="minorHAnsi" w:cs="Calibri"/>
                <w:b w:val="0"/>
                <w:bCs w:val="0"/>
                <w:noProof w:val="0"/>
                <w:lang w:eastAsia="ru-RU"/>
              </w:rPr>
            </w:pPr>
            <w:r w:rsidRPr="00FC1678">
              <w:rPr>
                <w:rFonts w:asciiTheme="minorHAnsi" w:hAnsiTheme="minorHAnsi" w:cs="Calibri"/>
                <w:b w:val="0"/>
                <w:bCs w:val="0"/>
                <w:noProof w:val="0"/>
                <w:lang w:eastAsia="ru-RU"/>
              </w:rPr>
              <w:t>В случае направления лицом, желающим обменять Инвестиционные паи, заявки на обмен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обмен Инвестиционных паев считается дата и время получения заказного письма Управляющей компанией.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обмен Инвестиционных 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lastRenderedPageBreak/>
              <w:t>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Федеральным законом "Об инвестиционных фондах" и настоящими Правилами, мотивированный отказ направляется Управляющей компанией заказным письмом с уведомлением о вручении заказного письма лицу, желающему обменять Инвестиционные паи, на почтовый адрес, указанный на почтовом отправлении.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могут быть направлены физическим лицом от своего имени, желающим обменять Инвестиционные паи, посредством электронной связи в Управляющую компанию по защищенному Internet – соединению в виде электронных документов при одновременном соблюдении следующих условий: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- физическое лицо, желающее обменять Инвестиционные паи посредством электронной связи, является участником системы электронного документооборота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), организованной  Регистратором и Управляющей компанией (далее по тексту – </w:t>
            </w:r>
            <w:r w:rsidRPr="00FC1678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«Организаторы ЭДО»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>) в соответствии с нормативными правовыми актами РФ и Соглашением об ЭДО.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обмен Инвестиционных паев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направлена в виде электронного документа, созданного путем заполнения электронных форм на web-сервере Управляющей компании, предназначенном для осуществления электронного документооборота и расположенном по адресу: </w:t>
            </w:r>
            <w:hyperlink r:id="rId20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- Заявка на обмен Инвестиционных паев заверена ЭЦП физического лица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, желающего обменять Инвестиционные паи.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Сертификаты ЭЦП выдаются лицом, осуществляющим функции удостоверяющего центра в соответствии с Соглашением об ЭДО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Датой и временем приема заявки на обмен Инвестиционных паев, поданной посредством электронной связи, считается дата и время получения электронного документа Управляющей компанией.</w:t>
            </w:r>
          </w:p>
          <w:p w:rsidR="006C579E" w:rsidRPr="00FC1678" w:rsidRDefault="006C579E" w:rsidP="00090CE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В случае отказа в приеме заявки на обмен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Управляющей компанией в виде электронного документа, заверенного ЭЦП через </w:t>
            </w:r>
            <w:r w:rsidRPr="00FC16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web-сервер Управляющей компании, предназначенном для осуществления электронного документооборота и расположенном по адресу: </w:t>
            </w:r>
            <w:hyperlink r:id="rId21" w:history="1"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http://personal.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sberbank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-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am</w:t>
              </w:r>
              <w:r w:rsidRPr="00FC1678">
                <w:rPr>
                  <w:rStyle w:val="af0"/>
                  <w:rFonts w:asciiTheme="minorHAnsi" w:hAnsiTheme="minorHAnsi" w:cs="Calibri"/>
                  <w:b/>
                  <w:sz w:val="18"/>
                  <w:szCs w:val="18"/>
                </w:rPr>
                <w:t>.ru</w:t>
              </w:r>
            </w:hyperlink>
            <w:r w:rsidRPr="00FC167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;</w:t>
            </w:r>
          </w:p>
          <w:p w:rsidR="006C579E" w:rsidRPr="00FC1678" w:rsidRDefault="006C579E" w:rsidP="00090CED">
            <w:pPr>
              <w:spacing w:after="120" w:line="240" w:lineRule="exact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C1678">
              <w:rPr>
                <w:rFonts w:asciiTheme="minorHAnsi" w:hAnsiTheme="minorHAnsi" w:cs="Calibri"/>
                <w:sz w:val="18"/>
                <w:szCs w:val="18"/>
              </w:rPr>
              <w:t>Заявки на обмен Инвестиционных паев, направленные факсом или курьером, не принимаются.</w:t>
            </w:r>
          </w:p>
        </w:tc>
      </w:tr>
      <w:tr w:rsidR="006C579E" w:rsidRPr="007910CA" w:rsidTr="0032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pct"/>
          </w:tcPr>
          <w:p w:rsidR="006C579E" w:rsidRPr="00FC1678" w:rsidRDefault="00B63A7F" w:rsidP="00B63A7F">
            <w:pPr>
              <w:spacing w:after="120" w:line="240" w:lineRule="exact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106</w:t>
            </w:r>
            <w:r w:rsidR="006C579E"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6C579E" w:rsidRPr="00FC1678">
              <w:rPr>
                <w:rFonts w:asciiTheme="minorHAnsi" w:hAnsiTheme="minorHAnsi" w:cs="Calibri"/>
                <w:sz w:val="18"/>
                <w:szCs w:val="18"/>
              </w:rPr>
              <w:t> Управляющая компания обязана раскрывать информацию на сайте http://www.</w:t>
            </w:r>
            <w:r w:rsidR="006C579E" w:rsidRPr="00FC1678">
              <w:rPr>
                <w:rFonts w:asciiTheme="minorHAnsi" w:hAnsiTheme="minorHAnsi" w:cs="Calibri"/>
                <w:sz w:val="18"/>
                <w:szCs w:val="18"/>
                <w:lang w:val="en-US"/>
              </w:rPr>
              <w:t>troika</w:t>
            </w:r>
            <w:r w:rsidR="006C579E" w:rsidRPr="00FC1678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6C579E" w:rsidRPr="00FC1678">
              <w:rPr>
                <w:rFonts w:asciiTheme="minorHAnsi" w:hAnsiTheme="minorHAnsi" w:cs="Calibri"/>
                <w:sz w:val="18"/>
                <w:szCs w:val="18"/>
                <w:lang w:val="en-US"/>
              </w:rPr>
              <w:t>am</w:t>
            </w:r>
            <w:r w:rsidR="006C579E" w:rsidRPr="00FC1678">
              <w:rPr>
                <w:rFonts w:asciiTheme="minorHAnsi" w:hAnsiTheme="minorHAnsi" w:cs="Calibri"/>
                <w:sz w:val="18"/>
                <w:szCs w:val="18"/>
              </w:rPr>
              <w:t>.ru/.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2520" w:type="pct"/>
          </w:tcPr>
          <w:p w:rsidR="006C579E" w:rsidRPr="00FC1678" w:rsidRDefault="006C579E" w:rsidP="00B63A7F">
            <w:pPr>
              <w:spacing w:after="120" w:line="240" w:lineRule="exact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</w:t>
            </w:r>
            <w:r w:rsidR="00B63A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</w:t>
            </w:r>
            <w:r w:rsidRPr="00FC167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 Управляющая компания обязана раскрывать информацию на сайте 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</w:rPr>
              <w:t>http://www.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sberbank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</w:rPr>
              <w:t>-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am</w:t>
            </w:r>
            <w:r w:rsidRPr="00FC1678">
              <w:rPr>
                <w:rFonts w:asciiTheme="minorHAnsi" w:hAnsiTheme="minorHAnsi" w:cs="Calibri"/>
                <w:b/>
                <w:sz w:val="18"/>
                <w:szCs w:val="18"/>
              </w:rPr>
              <w:t>.ru/.</w:t>
            </w:r>
            <w:r w:rsidRPr="00FC1678">
              <w:rPr>
                <w:rFonts w:asciiTheme="minorHAnsi" w:hAnsiTheme="minorHAnsi" w:cs="Calibri"/>
                <w:sz w:val="18"/>
                <w:szCs w:val="18"/>
              </w:rPr>
              <w:t xml:space="preserve">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272082" w:rsidRDefault="00272082" w:rsidP="00B44033">
      <w:pPr>
        <w:spacing w:after="120" w:line="240" w:lineRule="exact"/>
        <w:jc w:val="center"/>
        <w:rPr>
          <w:rFonts w:ascii="Arial" w:hAnsi="Arial" w:cs="Arial"/>
          <w:sz w:val="18"/>
          <w:szCs w:val="18"/>
        </w:rPr>
      </w:pPr>
    </w:p>
    <w:p w:rsidR="006C579E" w:rsidRDefault="006C579E" w:rsidP="006C579E">
      <w:pPr>
        <w:spacing w:line="240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CB0A21">
        <w:rPr>
          <w:rFonts w:ascii="Calibri" w:hAnsi="Calibri" w:cs="Calibri"/>
          <w:b/>
          <w:bCs/>
          <w:i/>
          <w:iCs/>
          <w:sz w:val="18"/>
          <w:szCs w:val="18"/>
        </w:rPr>
        <w:t>Директор</w:t>
      </w:r>
    </w:p>
    <w:p w:rsidR="006C579E" w:rsidRPr="00CB0A21" w:rsidRDefault="006C579E" w:rsidP="006C579E">
      <w:pPr>
        <w:spacing w:line="240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CB0A21">
        <w:rPr>
          <w:rFonts w:ascii="Calibri" w:hAnsi="Calibri" w:cs="Calibri"/>
          <w:b/>
          <w:bCs/>
          <w:i/>
          <w:iCs/>
          <w:sz w:val="18"/>
          <w:szCs w:val="18"/>
        </w:rPr>
        <w:t>Отдела развития и поддержки бизнеса</w:t>
      </w:r>
    </w:p>
    <w:p w:rsidR="006C579E" w:rsidRPr="00CB0A21" w:rsidRDefault="006C579E" w:rsidP="006C579E">
      <w:pPr>
        <w:spacing w:line="240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CB0A21">
        <w:rPr>
          <w:rFonts w:ascii="Calibri" w:hAnsi="Calibri" w:cs="Calibri"/>
          <w:b/>
          <w:bCs/>
          <w:i/>
          <w:iCs/>
          <w:sz w:val="18"/>
          <w:szCs w:val="18"/>
        </w:rPr>
        <w:t xml:space="preserve">Закрытого акционерного общества </w:t>
      </w:r>
    </w:p>
    <w:p w:rsidR="006C71D4" w:rsidRPr="00675F25" w:rsidRDefault="006C579E" w:rsidP="004377D7">
      <w:pPr>
        <w:spacing w:line="240" w:lineRule="exact"/>
      </w:pPr>
      <w:r w:rsidRPr="00CB0A21">
        <w:rPr>
          <w:rFonts w:ascii="Calibri" w:hAnsi="Calibri" w:cs="Calibri"/>
          <w:b/>
          <w:bCs/>
          <w:i/>
          <w:iCs/>
          <w:sz w:val="18"/>
          <w:szCs w:val="18"/>
        </w:rPr>
        <w:t xml:space="preserve">«Сбербанк Управление Активами»                                                                                </w:t>
      </w:r>
      <w:r w:rsidRPr="00CB0A21"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                           В.А. Илларионов</w:t>
      </w:r>
      <w:r w:rsidRPr="00CB0A21">
        <w:rPr>
          <w:rFonts w:ascii="Calibri" w:hAnsi="Calibri" w:cs="Calibri"/>
        </w:rPr>
        <w:t xml:space="preserve"> </w:t>
      </w:r>
      <w:r>
        <w:t xml:space="preserve"> </w:t>
      </w:r>
    </w:p>
    <w:sectPr w:rsidR="006C71D4" w:rsidRPr="00675F25" w:rsidSect="00937F66">
      <w:footerReference w:type="default" r:id="rId22"/>
      <w:pgSz w:w="11906" w:h="16838"/>
      <w:pgMar w:top="540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9A" w:rsidRDefault="00442E9A">
      <w:r>
        <w:separator/>
      </w:r>
    </w:p>
  </w:endnote>
  <w:endnote w:type="continuationSeparator" w:id="0">
    <w:p w:rsidR="00442E9A" w:rsidRDefault="0044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09" w:rsidRPr="005465E9" w:rsidRDefault="006C0509">
    <w:pPr>
      <w:pStyle w:val="af1"/>
      <w:framePr w:w="898" w:wrap="auto" w:vAnchor="text" w:hAnchor="page" w:x="9802" w:y="33"/>
      <w:rPr>
        <w:rStyle w:val="af3"/>
        <w:rFonts w:ascii="Arial" w:hAnsi="Arial" w:cs="Arial"/>
        <w:i/>
        <w:iCs/>
        <w:sz w:val="14"/>
        <w:szCs w:val="14"/>
      </w:rPr>
    </w:pPr>
    <w:r>
      <w:rPr>
        <w:rStyle w:val="af3"/>
        <w:rFonts w:ascii="Arial" w:hAnsi="Arial" w:cs="Arial"/>
        <w:i/>
        <w:iCs/>
        <w:sz w:val="14"/>
        <w:szCs w:val="14"/>
      </w:rPr>
      <w:t xml:space="preserve">Стр. </w:t>
    </w:r>
    <w:r>
      <w:rPr>
        <w:rStyle w:val="af3"/>
        <w:rFonts w:ascii="Arial" w:hAnsi="Arial" w:cs="Arial"/>
        <w:i/>
        <w:iCs/>
        <w:sz w:val="14"/>
        <w:szCs w:val="14"/>
      </w:rPr>
      <w:fldChar w:fldCharType="begin"/>
    </w:r>
    <w:r>
      <w:rPr>
        <w:rStyle w:val="af3"/>
        <w:rFonts w:ascii="Arial" w:hAnsi="Arial" w:cs="Arial"/>
        <w:i/>
        <w:iCs/>
        <w:sz w:val="14"/>
        <w:szCs w:val="14"/>
      </w:rPr>
      <w:instrText xml:space="preserve">PAGE  </w:instrText>
    </w:r>
    <w:r>
      <w:rPr>
        <w:rStyle w:val="af3"/>
        <w:rFonts w:ascii="Arial" w:hAnsi="Arial" w:cs="Arial"/>
        <w:i/>
        <w:iCs/>
        <w:sz w:val="14"/>
        <w:szCs w:val="14"/>
      </w:rPr>
      <w:fldChar w:fldCharType="separate"/>
    </w:r>
    <w:r w:rsidR="0036351D">
      <w:rPr>
        <w:rStyle w:val="af3"/>
        <w:rFonts w:ascii="Arial" w:hAnsi="Arial" w:cs="Arial"/>
        <w:i/>
        <w:iCs/>
        <w:noProof/>
        <w:sz w:val="14"/>
        <w:szCs w:val="14"/>
      </w:rPr>
      <w:t>6</w:t>
    </w:r>
    <w:r>
      <w:rPr>
        <w:rStyle w:val="af3"/>
        <w:rFonts w:ascii="Arial" w:hAnsi="Arial" w:cs="Arial"/>
        <w:i/>
        <w:iCs/>
        <w:sz w:val="14"/>
        <w:szCs w:val="14"/>
      </w:rPr>
      <w:fldChar w:fldCharType="end"/>
    </w:r>
    <w:r>
      <w:rPr>
        <w:rStyle w:val="af3"/>
        <w:rFonts w:ascii="Arial" w:hAnsi="Arial" w:cs="Arial"/>
        <w:i/>
        <w:iCs/>
        <w:sz w:val="14"/>
        <w:szCs w:val="14"/>
      </w:rPr>
      <w:t>/</w:t>
    </w:r>
    <w:r w:rsidR="00B63A7F">
      <w:rPr>
        <w:rStyle w:val="af3"/>
        <w:rFonts w:ascii="Arial" w:hAnsi="Arial" w:cs="Arial"/>
        <w:i/>
        <w:iCs/>
        <w:sz w:val="14"/>
        <w:szCs w:val="14"/>
      </w:rPr>
      <w:t>6</w:t>
    </w:r>
  </w:p>
  <w:p w:rsidR="006C0509" w:rsidRPr="00F74123" w:rsidRDefault="006C0509">
    <w:pPr>
      <w:pStyle w:val="af1"/>
      <w:framePr w:w="898" w:wrap="auto" w:vAnchor="text" w:hAnchor="page" w:x="9802" w:y="33"/>
      <w:rPr>
        <w:rStyle w:val="af3"/>
        <w:rFonts w:ascii="Arial" w:hAnsi="Arial" w:cs="Arial"/>
        <w:i/>
        <w:iCs/>
        <w:sz w:val="14"/>
        <w:szCs w:val="14"/>
      </w:rPr>
    </w:pPr>
  </w:p>
  <w:p w:rsidR="006C0509" w:rsidRDefault="006C0509" w:rsidP="00B63A7F">
    <w:pPr>
      <w:pStyle w:val="af1"/>
      <w:ind w:right="3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9A" w:rsidRDefault="00442E9A">
      <w:r>
        <w:separator/>
      </w:r>
    </w:p>
  </w:footnote>
  <w:footnote w:type="continuationSeparator" w:id="0">
    <w:p w:rsidR="00442E9A" w:rsidRDefault="0044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9FD0AFA"/>
    <w:multiLevelType w:val="hybridMultilevel"/>
    <w:tmpl w:val="6226AD0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2C4E77"/>
    <w:multiLevelType w:val="hybridMultilevel"/>
    <w:tmpl w:val="E10E53C8"/>
    <w:lvl w:ilvl="0" w:tplc="DF80CB7C">
      <w:numFmt w:val="bullet"/>
      <w:lvlText w:val=""/>
      <w:lvlJc w:val="left"/>
      <w:pPr>
        <w:tabs>
          <w:tab w:val="num" w:pos="1440"/>
        </w:tabs>
        <w:ind w:left="1440" w:hanging="90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34A"/>
    <w:rsid w:val="00000F2A"/>
    <w:rsid w:val="000107D3"/>
    <w:rsid w:val="00011B87"/>
    <w:rsid w:val="00012CF5"/>
    <w:rsid w:val="00025DE9"/>
    <w:rsid w:val="000378DD"/>
    <w:rsid w:val="000532BF"/>
    <w:rsid w:val="000759BF"/>
    <w:rsid w:val="0008064E"/>
    <w:rsid w:val="00090CED"/>
    <w:rsid w:val="000A7029"/>
    <w:rsid w:val="000B086D"/>
    <w:rsid w:val="000B0F43"/>
    <w:rsid w:val="000B3355"/>
    <w:rsid w:val="000B75BB"/>
    <w:rsid w:val="000E5BDE"/>
    <w:rsid w:val="000F1155"/>
    <w:rsid w:val="00113AAE"/>
    <w:rsid w:val="001263DE"/>
    <w:rsid w:val="00135BDD"/>
    <w:rsid w:val="00141374"/>
    <w:rsid w:val="00156485"/>
    <w:rsid w:val="00165C6C"/>
    <w:rsid w:val="00170BF7"/>
    <w:rsid w:val="00172771"/>
    <w:rsid w:val="00177EBA"/>
    <w:rsid w:val="00191234"/>
    <w:rsid w:val="00197E1C"/>
    <w:rsid w:val="001B5D28"/>
    <w:rsid w:val="001D3BDC"/>
    <w:rsid w:val="001E4EF4"/>
    <w:rsid w:val="00220B03"/>
    <w:rsid w:val="00237880"/>
    <w:rsid w:val="00240817"/>
    <w:rsid w:val="0025470C"/>
    <w:rsid w:val="00254ABF"/>
    <w:rsid w:val="00260A8F"/>
    <w:rsid w:val="00272082"/>
    <w:rsid w:val="002754F4"/>
    <w:rsid w:val="00297327"/>
    <w:rsid w:val="002B228C"/>
    <w:rsid w:val="002B67AC"/>
    <w:rsid w:val="002C3114"/>
    <w:rsid w:val="002C45BD"/>
    <w:rsid w:val="002C47D8"/>
    <w:rsid w:val="002D2238"/>
    <w:rsid w:val="002D27AF"/>
    <w:rsid w:val="002D36E2"/>
    <w:rsid w:val="002E63AE"/>
    <w:rsid w:val="002E6C8B"/>
    <w:rsid w:val="003038E9"/>
    <w:rsid w:val="003147B0"/>
    <w:rsid w:val="003200C5"/>
    <w:rsid w:val="0032423D"/>
    <w:rsid w:val="00345B85"/>
    <w:rsid w:val="00352312"/>
    <w:rsid w:val="003560B1"/>
    <w:rsid w:val="0036351D"/>
    <w:rsid w:val="003711A7"/>
    <w:rsid w:val="0039284E"/>
    <w:rsid w:val="003A3628"/>
    <w:rsid w:val="003C4535"/>
    <w:rsid w:val="003D6C44"/>
    <w:rsid w:val="003F10E3"/>
    <w:rsid w:val="00402314"/>
    <w:rsid w:val="00407083"/>
    <w:rsid w:val="00421E34"/>
    <w:rsid w:val="004377D7"/>
    <w:rsid w:val="004424DF"/>
    <w:rsid w:val="00442874"/>
    <w:rsid w:val="00442E9A"/>
    <w:rsid w:val="00446FEE"/>
    <w:rsid w:val="00462C43"/>
    <w:rsid w:val="00477BEB"/>
    <w:rsid w:val="00482F83"/>
    <w:rsid w:val="00484000"/>
    <w:rsid w:val="0049031D"/>
    <w:rsid w:val="004904B4"/>
    <w:rsid w:val="00491CCE"/>
    <w:rsid w:val="004B7B50"/>
    <w:rsid w:val="004C0E6F"/>
    <w:rsid w:val="004D1C61"/>
    <w:rsid w:val="00505661"/>
    <w:rsid w:val="005332B8"/>
    <w:rsid w:val="00540B97"/>
    <w:rsid w:val="00542544"/>
    <w:rsid w:val="005465E9"/>
    <w:rsid w:val="00565616"/>
    <w:rsid w:val="00571BE0"/>
    <w:rsid w:val="00582A93"/>
    <w:rsid w:val="00582E64"/>
    <w:rsid w:val="005852F9"/>
    <w:rsid w:val="00591B11"/>
    <w:rsid w:val="005A35CF"/>
    <w:rsid w:val="005A5521"/>
    <w:rsid w:val="005A70F4"/>
    <w:rsid w:val="005B1439"/>
    <w:rsid w:val="005B2C57"/>
    <w:rsid w:val="005B4452"/>
    <w:rsid w:val="005C7005"/>
    <w:rsid w:val="005D25E1"/>
    <w:rsid w:val="005D6F04"/>
    <w:rsid w:val="005E0016"/>
    <w:rsid w:val="005E10F4"/>
    <w:rsid w:val="00612A33"/>
    <w:rsid w:val="006137F2"/>
    <w:rsid w:val="00617824"/>
    <w:rsid w:val="00624D38"/>
    <w:rsid w:val="00625200"/>
    <w:rsid w:val="00630D80"/>
    <w:rsid w:val="00636C0F"/>
    <w:rsid w:val="006422FA"/>
    <w:rsid w:val="00651C01"/>
    <w:rsid w:val="0066335E"/>
    <w:rsid w:val="00673C79"/>
    <w:rsid w:val="00675F25"/>
    <w:rsid w:val="00676AA5"/>
    <w:rsid w:val="006A5496"/>
    <w:rsid w:val="006A6D03"/>
    <w:rsid w:val="006B1942"/>
    <w:rsid w:val="006C0509"/>
    <w:rsid w:val="006C065E"/>
    <w:rsid w:val="006C51E0"/>
    <w:rsid w:val="006C579E"/>
    <w:rsid w:val="006C71D4"/>
    <w:rsid w:val="006D5F64"/>
    <w:rsid w:val="006E5A4C"/>
    <w:rsid w:val="006F7518"/>
    <w:rsid w:val="00707BB4"/>
    <w:rsid w:val="00707C8E"/>
    <w:rsid w:val="00734C93"/>
    <w:rsid w:val="00746AA8"/>
    <w:rsid w:val="0075442C"/>
    <w:rsid w:val="00762C34"/>
    <w:rsid w:val="00765126"/>
    <w:rsid w:val="007675DF"/>
    <w:rsid w:val="007907BD"/>
    <w:rsid w:val="007910CA"/>
    <w:rsid w:val="007A0B6B"/>
    <w:rsid w:val="007A1EDD"/>
    <w:rsid w:val="007B2128"/>
    <w:rsid w:val="007C06AB"/>
    <w:rsid w:val="007C57AA"/>
    <w:rsid w:val="007C7710"/>
    <w:rsid w:val="007F34B6"/>
    <w:rsid w:val="00813367"/>
    <w:rsid w:val="00827560"/>
    <w:rsid w:val="00834708"/>
    <w:rsid w:val="00841967"/>
    <w:rsid w:val="00851C25"/>
    <w:rsid w:val="00857C91"/>
    <w:rsid w:val="00863DAB"/>
    <w:rsid w:val="0086676E"/>
    <w:rsid w:val="008778B9"/>
    <w:rsid w:val="008814DF"/>
    <w:rsid w:val="00893B0B"/>
    <w:rsid w:val="00896D3F"/>
    <w:rsid w:val="008A7741"/>
    <w:rsid w:val="008C5274"/>
    <w:rsid w:val="008D5887"/>
    <w:rsid w:val="008D6A80"/>
    <w:rsid w:val="00902057"/>
    <w:rsid w:val="00937F66"/>
    <w:rsid w:val="009449FC"/>
    <w:rsid w:val="00946F8C"/>
    <w:rsid w:val="00963492"/>
    <w:rsid w:val="00967D6F"/>
    <w:rsid w:val="00985F52"/>
    <w:rsid w:val="009A3416"/>
    <w:rsid w:val="009A380B"/>
    <w:rsid w:val="009B797D"/>
    <w:rsid w:val="009C23DA"/>
    <w:rsid w:val="009C5A05"/>
    <w:rsid w:val="009C6B3E"/>
    <w:rsid w:val="009F7C16"/>
    <w:rsid w:val="00A033BE"/>
    <w:rsid w:val="00A053C5"/>
    <w:rsid w:val="00A265C3"/>
    <w:rsid w:val="00A64D99"/>
    <w:rsid w:val="00A6524B"/>
    <w:rsid w:val="00A70380"/>
    <w:rsid w:val="00A90B49"/>
    <w:rsid w:val="00A95C5D"/>
    <w:rsid w:val="00AD0088"/>
    <w:rsid w:val="00AD396F"/>
    <w:rsid w:val="00AD62BF"/>
    <w:rsid w:val="00AE2950"/>
    <w:rsid w:val="00AE4F0C"/>
    <w:rsid w:val="00B05DAE"/>
    <w:rsid w:val="00B15C6F"/>
    <w:rsid w:val="00B44033"/>
    <w:rsid w:val="00B63A7F"/>
    <w:rsid w:val="00B648E9"/>
    <w:rsid w:val="00B757EE"/>
    <w:rsid w:val="00B85D86"/>
    <w:rsid w:val="00BA4097"/>
    <w:rsid w:val="00BC0138"/>
    <w:rsid w:val="00BD4DBE"/>
    <w:rsid w:val="00BE480F"/>
    <w:rsid w:val="00C11C8A"/>
    <w:rsid w:val="00C1639E"/>
    <w:rsid w:val="00C21978"/>
    <w:rsid w:val="00C25F88"/>
    <w:rsid w:val="00C41B47"/>
    <w:rsid w:val="00C440B1"/>
    <w:rsid w:val="00C466BF"/>
    <w:rsid w:val="00C479B0"/>
    <w:rsid w:val="00C63535"/>
    <w:rsid w:val="00C654CA"/>
    <w:rsid w:val="00C77C17"/>
    <w:rsid w:val="00C8260B"/>
    <w:rsid w:val="00CB0A21"/>
    <w:rsid w:val="00CC30B0"/>
    <w:rsid w:val="00CD0D54"/>
    <w:rsid w:val="00CD4798"/>
    <w:rsid w:val="00CD6A90"/>
    <w:rsid w:val="00CF320A"/>
    <w:rsid w:val="00CF51C4"/>
    <w:rsid w:val="00CF76B2"/>
    <w:rsid w:val="00D132FD"/>
    <w:rsid w:val="00D2133A"/>
    <w:rsid w:val="00D22A6A"/>
    <w:rsid w:val="00D318A9"/>
    <w:rsid w:val="00D33616"/>
    <w:rsid w:val="00D412D9"/>
    <w:rsid w:val="00D4183E"/>
    <w:rsid w:val="00D441B6"/>
    <w:rsid w:val="00D47F51"/>
    <w:rsid w:val="00D50514"/>
    <w:rsid w:val="00D5707F"/>
    <w:rsid w:val="00D6324D"/>
    <w:rsid w:val="00D7174B"/>
    <w:rsid w:val="00D77EEA"/>
    <w:rsid w:val="00D85D32"/>
    <w:rsid w:val="00DB634A"/>
    <w:rsid w:val="00DE51A5"/>
    <w:rsid w:val="00DF3D2E"/>
    <w:rsid w:val="00DF6B36"/>
    <w:rsid w:val="00E05F2C"/>
    <w:rsid w:val="00E20EDE"/>
    <w:rsid w:val="00E24D55"/>
    <w:rsid w:val="00E323A0"/>
    <w:rsid w:val="00E328F7"/>
    <w:rsid w:val="00E60562"/>
    <w:rsid w:val="00E64CF2"/>
    <w:rsid w:val="00EA0B41"/>
    <w:rsid w:val="00EA41B4"/>
    <w:rsid w:val="00EC3737"/>
    <w:rsid w:val="00EE22D6"/>
    <w:rsid w:val="00EE2FE0"/>
    <w:rsid w:val="00EE51BA"/>
    <w:rsid w:val="00EE5686"/>
    <w:rsid w:val="00EF32CD"/>
    <w:rsid w:val="00EF71AF"/>
    <w:rsid w:val="00F10742"/>
    <w:rsid w:val="00F34072"/>
    <w:rsid w:val="00F52475"/>
    <w:rsid w:val="00F61FC4"/>
    <w:rsid w:val="00F66210"/>
    <w:rsid w:val="00F676C4"/>
    <w:rsid w:val="00F67A34"/>
    <w:rsid w:val="00F74123"/>
    <w:rsid w:val="00F951E8"/>
    <w:rsid w:val="00FA4F57"/>
    <w:rsid w:val="00FC1678"/>
    <w:rsid w:val="00FC240D"/>
    <w:rsid w:val="00FC3B2F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paragraph" w:styleId="2">
    <w:name w:val="heading 2"/>
    <w:basedOn w:val="a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/>
    </w:rPr>
  </w:style>
  <w:style w:type="paragraph" w:styleId="3">
    <w:name w:val="heading 3"/>
    <w:basedOn w:val="a"/>
    <w:link w:val="30"/>
    <w:uiPriority w:val="99"/>
    <w:qFormat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27"/>
      <w:jc w:val="center"/>
      <w:outlineLvl w:val="4"/>
    </w:pPr>
    <w:rPr>
      <w:rFonts w:ascii="Arial" w:hAnsi="Arial" w:cs="Arial"/>
      <w:b/>
      <w:bCs/>
      <w:sz w:val="17"/>
      <w:szCs w:val="17"/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627"/>
      <w:jc w:val="both"/>
      <w:outlineLvl w:val="5"/>
    </w:pPr>
    <w:rPr>
      <w:rFonts w:ascii="Arial" w:hAnsi="Arial" w:cs="Arial"/>
      <w:b/>
      <w:bCs/>
      <w:sz w:val="17"/>
      <w:szCs w:val="17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627"/>
      <w:outlineLvl w:val="6"/>
    </w:pPr>
    <w:rPr>
      <w:rFonts w:ascii="Arial" w:hAnsi="Arial" w:cs="Arial"/>
      <w:b/>
      <w:bCs/>
      <w:sz w:val="17"/>
      <w:szCs w:val="17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627"/>
      <w:jc w:val="both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aliases w:val="Char Char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signfield">
    <w:name w:val="sign_field"/>
    <w:basedOn w:val="a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pPr>
      <w:spacing w:after="105"/>
      <w:ind w:left="367"/>
    </w:pPr>
    <w:rPr>
      <w:rFonts w:ascii="Arial" w:hAnsi="Arial" w:cs="Arial"/>
      <w:sz w:val="9"/>
      <w:szCs w:val="9"/>
      <w:lang w:val="en-US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Style">
    <w:name w:val="Style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шрифт"/>
    <w:uiPriority w:val="99"/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  <w:lang w:eastAsia="en-US"/>
    </w:rPr>
  </w:style>
  <w:style w:type="paragraph" w:styleId="ac">
    <w:name w:val="Body Text First Indent"/>
    <w:basedOn w:val="aa"/>
    <w:link w:val="ad"/>
    <w:uiPriority w:val="99"/>
    <w:pPr>
      <w:ind w:firstLine="210"/>
    </w:pPr>
    <w:rPr>
      <w:lang w:eastAsia="ru-RU"/>
    </w:rPr>
  </w:style>
  <w:style w:type="character" w:customStyle="1" w:styleId="ad">
    <w:name w:val="Красная строка Знак"/>
    <w:basedOn w:val="ab"/>
    <w:link w:val="ac"/>
    <w:uiPriority w:val="99"/>
    <w:semiHidden/>
    <w:locked/>
  </w:style>
  <w:style w:type="paragraph" w:styleId="21">
    <w:name w:val="List Bullet 2"/>
    <w:basedOn w:val="a"/>
    <w:autoRedefine/>
    <w:uiPriority w:val="99"/>
    <w:pPr>
      <w:numPr>
        <w:numId w:val="1"/>
      </w:numPr>
    </w:pPr>
    <w:rPr>
      <w:lang w:eastAsia="ru-RU"/>
    </w:rPr>
  </w:style>
  <w:style w:type="paragraph" w:styleId="31">
    <w:name w:val="Body Text Indent 3"/>
    <w:basedOn w:val="a"/>
    <w:link w:val="32"/>
    <w:uiPriority w:val="9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22">
    <w:name w:val="Body Text 2"/>
    <w:basedOn w:val="a"/>
    <w:link w:val="23"/>
    <w:uiPriority w:val="99"/>
    <w:pPr>
      <w:spacing w:line="180" w:lineRule="exact"/>
      <w:jc w:val="both"/>
    </w:pPr>
    <w:rPr>
      <w:rFonts w:ascii="Arial" w:hAnsi="Arial" w:cs="Arial"/>
      <w:b/>
      <w:bCs/>
      <w:noProof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annotation subject"/>
    <w:basedOn w:val="a7"/>
    <w:next w:val="a7"/>
    <w:link w:val="af"/>
    <w:uiPriority w:val="9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Pr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HTML1">
    <w:name w:val="Пишущая машинка HTML1"/>
    <w:basedOn w:val="a0"/>
    <w:uiPriority w:val="99"/>
    <w:rPr>
      <w:rFonts w:ascii="Arial Unicode MS" w:eastAsia="Arial Unicode MS" w:cs="Arial Unicode MS"/>
      <w:sz w:val="20"/>
      <w:szCs w:val="20"/>
    </w:rPr>
  </w:style>
  <w:style w:type="character" w:styleId="af0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4"/>
      <w:szCs w:val="24"/>
      <w:lang w:eastAsia="en-US"/>
    </w:rPr>
  </w:style>
  <w:style w:type="character" w:styleId="af3">
    <w:name w:val="page number"/>
    <w:basedOn w:val="a0"/>
    <w:uiPriority w:val="99"/>
    <w:rPr>
      <w:rFonts w:cs="Times New Roman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Pr>
      <w:rFonts w:cs="Times New Roman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Pr>
      <w:lang w:eastAsia="ru-RU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rsonal.sberbank-am.ru" TargetMode="External"/><Relationship Id="rId18" Type="http://schemas.openxmlformats.org/officeDocument/2006/relationships/hyperlink" Target="http://personal.troika-am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ersonal.troika-am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ersonal.sberbank-am.ru" TargetMode="External"/><Relationship Id="rId17" Type="http://schemas.openxmlformats.org/officeDocument/2006/relationships/hyperlink" Target="http://personal.troika-a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ersonal.sberbank-am.ru" TargetMode="External"/><Relationship Id="rId20" Type="http://schemas.openxmlformats.org/officeDocument/2006/relationships/hyperlink" Target="http://personal.sberbank-a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rsonal.troika-am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ersonal.troika-a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rsonal.troika-am.ru" TargetMode="External"/><Relationship Id="rId19" Type="http://schemas.openxmlformats.org/officeDocument/2006/relationships/hyperlink" Target="http://personal.troika-am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rsonal.troika-a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2013-02-06T20:00:00+00:00</_EndDate>
  </documentManagement>
</p:properties>
</file>

<file path=customXml/itemProps1.xml><?xml version="1.0" encoding="utf-8"?>
<ds:datastoreItem xmlns:ds="http://schemas.openxmlformats.org/officeDocument/2006/customXml" ds:itemID="{D03ABDEF-022E-4FE8-BD9D-D1864262928D}"/>
</file>

<file path=customXml/itemProps2.xml><?xml version="1.0" encoding="utf-8"?>
<ds:datastoreItem xmlns:ds="http://schemas.openxmlformats.org/officeDocument/2006/customXml" ds:itemID="{53F55719-D001-45D4-9E48-1DE37F4A0A6C}"/>
</file>

<file path=customXml/itemProps3.xml><?xml version="1.0" encoding="utf-8"?>
<ds:datastoreItem xmlns:ds="http://schemas.openxmlformats.org/officeDocument/2006/customXml" ds:itemID="{843510F3-2629-4D33-B29E-7227B242E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3667</Words>
  <Characters>28190</Characters>
  <Application>Microsoft Office Word</Application>
  <DocSecurity>0</DocSecurity>
  <Lines>234</Lines>
  <Paragraphs>63</Paragraphs>
  <ScaleCrop>false</ScaleCrop>
  <Company>3D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ОПИФ</dc:title>
  <dc:subject/>
  <dc:creator>vanoprienko</dc:creator>
  <cp:keywords/>
  <dc:description/>
  <cp:lastModifiedBy>malyhina</cp:lastModifiedBy>
  <cp:revision>2</cp:revision>
  <cp:lastPrinted>2011-01-11T10:15:00Z</cp:lastPrinted>
  <dcterms:created xsi:type="dcterms:W3CDTF">2013-02-08T10:44:00Z</dcterms:created>
  <dcterms:modified xsi:type="dcterms:W3CDTF">2013-02-08T10:44:00Z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