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Look w:val="01E0"/>
      </w:tblPr>
      <w:tblGrid>
        <w:gridCol w:w="1936"/>
        <w:gridCol w:w="8100"/>
      </w:tblGrid>
      <w:tr w:rsidR="000734F0" w:rsidRPr="00667AF3" w:rsidTr="009A41D4">
        <w:trPr>
          <w:trHeight w:val="1430"/>
        </w:trPr>
        <w:tc>
          <w:tcPr>
            <w:tcW w:w="1936" w:type="dxa"/>
          </w:tcPr>
          <w:p w:rsidR="000734F0" w:rsidRPr="00201AA2" w:rsidRDefault="000734F0" w:rsidP="00D1265C">
            <w:pPr>
              <w:pStyle w:val="ConsTitle"/>
              <w:keepNext/>
              <w:widowControl/>
              <w:suppressLineNumbers/>
              <w:suppressAutoHyphens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0734F0" w:rsidRDefault="000734F0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C86028" w:rsidRPr="00C86028" w:rsidRDefault="00C86028" w:rsidP="00C86028">
            <w:pPr>
              <w:pStyle w:val="ConsTitle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86028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«УТВЕРЖДЕНЫ»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Приказом Генерального директора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ЗАО «СОЛИД Менеджмент»</w:t>
            </w:r>
          </w:p>
          <w:p w:rsidR="00C86028" w:rsidRPr="002E353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480A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2E35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2E35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="002E35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A978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г. № </w:t>
            </w:r>
            <w:r w:rsidR="002E35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50</w:t>
            </w:r>
          </w:p>
          <w:p w:rsidR="006649BE" w:rsidRPr="00BD32F5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BD32F5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BD32F5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BD32F5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BD32F5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Pr="00667AF3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95327" w:rsidRPr="009B5B4A" w:rsidRDefault="000734F0" w:rsidP="000734F0">
      <w:pPr>
        <w:pStyle w:val="4"/>
        <w:jc w:val="center"/>
        <w:rPr>
          <w:sz w:val="28"/>
          <w:szCs w:val="28"/>
        </w:rPr>
      </w:pPr>
      <w:r w:rsidRPr="00952956">
        <w:rPr>
          <w:sz w:val="28"/>
          <w:szCs w:val="28"/>
        </w:rPr>
        <w:t xml:space="preserve">Изменения и дополнения </w:t>
      </w:r>
      <w:r w:rsidR="00CD3200">
        <w:rPr>
          <w:sz w:val="28"/>
          <w:szCs w:val="28"/>
        </w:rPr>
        <w:t xml:space="preserve">№ </w:t>
      </w:r>
      <w:r w:rsidR="00470944">
        <w:rPr>
          <w:sz w:val="28"/>
          <w:szCs w:val="28"/>
        </w:rPr>
        <w:t>2</w:t>
      </w:r>
    </w:p>
    <w:p w:rsidR="00C95327" w:rsidRPr="009B5B4A" w:rsidRDefault="00C95327" w:rsidP="00C95327">
      <w:pPr>
        <w:rPr>
          <w:sz w:val="28"/>
          <w:szCs w:val="28"/>
        </w:rPr>
      </w:pPr>
    </w:p>
    <w:p w:rsidR="000734F0" w:rsidRPr="00952956" w:rsidRDefault="000734F0" w:rsidP="000734F0">
      <w:pPr>
        <w:pStyle w:val="4"/>
        <w:jc w:val="center"/>
        <w:rPr>
          <w:rFonts w:ascii="Times New Roman CYR" w:hAnsi="Times New Roman CYR" w:cs="Times New Roman CYR"/>
          <w:sz w:val="28"/>
          <w:szCs w:val="28"/>
        </w:rPr>
      </w:pPr>
      <w:r w:rsidRPr="00952956">
        <w:rPr>
          <w:sz w:val="28"/>
          <w:szCs w:val="28"/>
        </w:rPr>
        <w:t xml:space="preserve">в Правила </w:t>
      </w:r>
      <w:r w:rsidRPr="00952956">
        <w:rPr>
          <w:rFonts w:ascii="Times New Roman CYR" w:hAnsi="Times New Roman CYR" w:cs="Times New Roman CYR"/>
          <w:sz w:val="28"/>
          <w:szCs w:val="28"/>
        </w:rPr>
        <w:t>доверительного управления</w:t>
      </w:r>
    </w:p>
    <w:p w:rsidR="00221D63" w:rsidRDefault="00221D63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>Открытым паевым инвестиционным фондом акций</w:t>
      </w:r>
      <w:r w:rsidR="000734F0" w:rsidRPr="00952956">
        <w:rPr>
          <w:sz w:val="28"/>
          <w:szCs w:val="28"/>
        </w:rPr>
        <w:t xml:space="preserve"> </w:t>
      </w:r>
      <w:r w:rsidR="00952956">
        <w:rPr>
          <w:sz w:val="28"/>
          <w:szCs w:val="28"/>
        </w:rPr>
        <w:t xml:space="preserve">                 </w:t>
      </w:r>
    </w:p>
    <w:p w:rsidR="000734F0" w:rsidRPr="00952956" w:rsidRDefault="00952956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4F0" w:rsidRPr="00952956">
        <w:rPr>
          <w:sz w:val="28"/>
          <w:szCs w:val="28"/>
        </w:rPr>
        <w:t>«</w:t>
      </w:r>
      <w:proofErr w:type="spellStart"/>
      <w:r w:rsidR="000734F0" w:rsidRPr="00952956">
        <w:rPr>
          <w:sz w:val="28"/>
          <w:szCs w:val="28"/>
        </w:rPr>
        <w:t>Солид</w:t>
      </w:r>
      <w:proofErr w:type="spellEnd"/>
      <w:r w:rsidR="000734F0" w:rsidRPr="00952956">
        <w:rPr>
          <w:sz w:val="28"/>
          <w:szCs w:val="28"/>
        </w:rPr>
        <w:t xml:space="preserve"> </w:t>
      </w:r>
      <w:r w:rsidR="00221D63">
        <w:rPr>
          <w:sz w:val="28"/>
          <w:szCs w:val="28"/>
        </w:rPr>
        <w:t xml:space="preserve">- </w:t>
      </w:r>
      <w:r w:rsidR="003A446B">
        <w:rPr>
          <w:sz w:val="28"/>
          <w:szCs w:val="28"/>
        </w:rPr>
        <w:t>Глобус</w:t>
      </w:r>
      <w:r w:rsidR="000734F0" w:rsidRPr="00952956">
        <w:rPr>
          <w:sz w:val="28"/>
          <w:szCs w:val="28"/>
        </w:rPr>
        <w:t>»</w:t>
      </w:r>
    </w:p>
    <w:p w:rsidR="00952956" w:rsidRDefault="00952956" w:rsidP="000734F0">
      <w:pPr>
        <w:tabs>
          <w:tab w:val="left" w:pos="4395"/>
        </w:tabs>
        <w:jc w:val="center"/>
        <w:rPr>
          <w:rFonts w:ascii="Times New Roman CYR" w:hAnsi="Times New Roman CYR" w:cs="Times New Roman CYR"/>
          <w:b/>
          <w:bCs/>
        </w:rPr>
      </w:pPr>
    </w:p>
    <w:p w:rsidR="000734F0" w:rsidRDefault="000734F0" w:rsidP="000734F0">
      <w:pPr>
        <w:pStyle w:val="1"/>
        <w:jc w:val="center"/>
        <w:rPr>
          <w:rFonts w:ascii="Times New Roman CYR" w:hAnsi="Times New Roman CYR" w:cs="Times New Roman CYR"/>
          <w:b w:val="0"/>
          <w:bCs w:val="0"/>
        </w:rPr>
      </w:pPr>
      <w:r w:rsidRPr="0056223B">
        <w:rPr>
          <w:rFonts w:ascii="Times New Roman CYR" w:hAnsi="Times New Roman CYR" w:cs="Times New Roman CYR"/>
          <w:b w:val="0"/>
          <w:bCs w:val="0"/>
        </w:rPr>
        <w:t xml:space="preserve"> (зарегистрированы 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>Ф</w:t>
      </w:r>
      <w:r w:rsidR="003A446B">
        <w:rPr>
          <w:rFonts w:ascii="Times New Roman CYR" w:hAnsi="Times New Roman CYR" w:cs="Times New Roman CYR"/>
          <w:b w:val="0"/>
          <w:bCs w:val="0"/>
        </w:rPr>
        <w:t>СФР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России </w:t>
      </w:r>
      <w:r w:rsidR="003A446B">
        <w:rPr>
          <w:rFonts w:ascii="Times New Roman CYR" w:hAnsi="Times New Roman CYR" w:cs="Times New Roman CYR"/>
          <w:b w:val="0"/>
          <w:bCs w:val="0"/>
        </w:rPr>
        <w:t xml:space="preserve">09 сентября </w:t>
      </w:r>
      <w:r w:rsidRPr="0056223B">
        <w:rPr>
          <w:rFonts w:ascii="Times New Roman CYR" w:hAnsi="Times New Roman CYR" w:cs="Times New Roman CYR"/>
          <w:b w:val="0"/>
          <w:bCs w:val="0"/>
        </w:rPr>
        <w:t>20</w:t>
      </w:r>
      <w:r w:rsidR="003A446B">
        <w:rPr>
          <w:rFonts w:ascii="Times New Roman CYR" w:hAnsi="Times New Roman CYR" w:cs="Times New Roman CYR"/>
          <w:b w:val="0"/>
          <w:bCs w:val="0"/>
        </w:rPr>
        <w:t>1</w:t>
      </w:r>
      <w:r w:rsidR="00221D63">
        <w:rPr>
          <w:rFonts w:ascii="Times New Roman CYR" w:hAnsi="Times New Roman CYR" w:cs="Times New Roman CYR"/>
          <w:b w:val="0"/>
          <w:bCs w:val="0"/>
        </w:rPr>
        <w:t>0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 г.</w:t>
      </w:r>
      <w:r w:rsidR="00C95327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в реестре за № </w:t>
      </w:r>
      <w:r w:rsidR="003A446B">
        <w:rPr>
          <w:rFonts w:ascii="Times New Roman CYR" w:hAnsi="Times New Roman CYR" w:cs="Times New Roman CYR"/>
          <w:b w:val="0"/>
          <w:bCs w:val="0"/>
        </w:rPr>
        <w:t>1903</w:t>
      </w:r>
      <w:r>
        <w:rPr>
          <w:rFonts w:ascii="Times New Roman CYR" w:hAnsi="Times New Roman CYR" w:cs="Times New Roman CYR"/>
          <w:b w:val="0"/>
          <w:bCs w:val="0"/>
        </w:rPr>
        <w:t>-</w:t>
      </w:r>
      <w:r w:rsidR="003A446B">
        <w:rPr>
          <w:rFonts w:ascii="Times New Roman CYR" w:hAnsi="Times New Roman CYR" w:cs="Times New Roman CYR"/>
          <w:b w:val="0"/>
          <w:bCs w:val="0"/>
        </w:rPr>
        <w:t>94169099</w:t>
      </w:r>
      <w:r w:rsidRPr="0056223B">
        <w:rPr>
          <w:rFonts w:ascii="Times New Roman CYR" w:hAnsi="Times New Roman CYR" w:cs="Times New Roman CYR"/>
          <w:b w:val="0"/>
          <w:bCs w:val="0"/>
        </w:rPr>
        <w:t>)</w:t>
      </w:r>
    </w:p>
    <w:p w:rsidR="000734F0" w:rsidRPr="0056223B" w:rsidRDefault="000734F0" w:rsidP="000734F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273B8B" w:rsidRPr="00273B8B" w:rsidTr="00952956">
        <w:trPr>
          <w:trHeight w:val="352"/>
          <w:tblHeader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старая редакция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новая редакция</w:t>
            </w:r>
          </w:p>
        </w:tc>
      </w:tr>
      <w:tr w:rsidR="00273B8B" w:rsidRPr="0056223B" w:rsidTr="00571CA8">
        <w:trPr>
          <w:trHeight w:val="2857"/>
        </w:trPr>
        <w:tc>
          <w:tcPr>
            <w:tcW w:w="5104" w:type="dxa"/>
          </w:tcPr>
          <w:p w:rsidR="00C221C5" w:rsidRPr="00524A1F" w:rsidRDefault="00C221C5" w:rsidP="009347C8">
            <w:pPr>
              <w:autoSpaceDE w:val="0"/>
              <w:autoSpaceDN w:val="0"/>
              <w:adjustRightInd w:val="0"/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</w:t>
            </w:r>
            <w:r>
              <w:t xml:space="preserve">Выдача инвестиционных паев после даты завершения (окончания) формирования </w:t>
            </w:r>
            <w:r w:rsidR="009347C8">
              <w:t>Ф</w:t>
            </w:r>
            <w:r>
              <w:t>онда,</w:t>
            </w:r>
            <w:r w:rsidRPr="006C601C">
              <w:t xml:space="preserve"> </w:t>
            </w:r>
            <w:r>
              <w:t>осуществляется при условии передачи в их оплату денежных сре</w:t>
            </w:r>
            <w:proofErr w:type="gramStart"/>
            <w:r>
              <w:t>дств в с</w:t>
            </w:r>
            <w:proofErr w:type="gramEnd"/>
            <w:r>
              <w:t>умме не менее</w:t>
            </w:r>
            <w:r w:rsidRPr="00524A1F">
              <w:t>: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273B8B" w:rsidRPr="00273B8B" w:rsidRDefault="00273B8B" w:rsidP="00E22C5C">
            <w:pPr>
              <w:tabs>
                <w:tab w:val="left" w:pos="1134"/>
              </w:tabs>
              <w:jc w:val="both"/>
            </w:pPr>
          </w:p>
        </w:tc>
        <w:tc>
          <w:tcPr>
            <w:tcW w:w="5103" w:type="dxa"/>
            <w:vAlign w:val="center"/>
          </w:tcPr>
          <w:p w:rsidR="00714F75" w:rsidRPr="00524A1F" w:rsidRDefault="00714F75" w:rsidP="00085CB0">
            <w:pPr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Выдача инвестиционных паев после даты завершения (окончания) формирования фонда</w:t>
            </w:r>
            <w:r>
              <w:t xml:space="preserve"> </w:t>
            </w:r>
            <w:r w:rsidRPr="00687D90">
              <w:rPr>
                <w:b/>
              </w:rPr>
              <w:t xml:space="preserve">по заявкам на приобретение инвестиционных паев, поданным управляющей компании </w:t>
            </w:r>
            <w:r w:rsidRPr="00524A1F">
              <w:t>осуществляется при условии передачи в их оплату денежных сре</w:t>
            </w:r>
            <w:proofErr w:type="gramStart"/>
            <w:r w:rsidRPr="00524A1F">
              <w:t>дств в с</w:t>
            </w:r>
            <w:proofErr w:type="gramEnd"/>
            <w:r w:rsidRPr="00524A1F">
              <w:t>умме не менее: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</w:t>
            </w:r>
            <w:r w:rsidR="009347C8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агента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</w:t>
            </w:r>
            <w:r w:rsidR="00344B3D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по заявкам на приобретение инвестиционных паев, 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поданным агенту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B72AF4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14F75" w:rsidRPr="00687D90">
              <w:rPr>
                <w:rFonts w:ascii="Times New Roman" w:hAnsi="Times New Roman"/>
                <w:b/>
                <w:sz w:val="24"/>
                <w:szCs w:val="24"/>
              </w:rPr>
              <w:t>150 000 (Сто пятьдесят тысяч) рублей – для лиц, не являющихся владельцами инвестиционных паев фонда;</w:t>
            </w:r>
          </w:p>
          <w:p w:rsidR="00273B8B" w:rsidRPr="00273B8B" w:rsidRDefault="00687D90" w:rsidP="00687D90">
            <w:pPr>
              <w:tabs>
                <w:tab w:val="left" w:pos="1134"/>
              </w:tabs>
            </w:pPr>
            <w:r>
              <w:rPr>
                <w:b/>
              </w:rPr>
              <w:t xml:space="preserve">           </w:t>
            </w:r>
            <w:r w:rsidR="00714F75" w:rsidRPr="00687D90">
              <w:rPr>
                <w:b/>
              </w:rPr>
              <w:t>-   150 000 (Сто пятьдесят тысяч) рублей – для владельцев инвестиционных паев фонда.</w:t>
            </w:r>
          </w:p>
        </w:tc>
      </w:tr>
      <w:tr w:rsidR="00A73DC4" w:rsidRPr="0056223B" w:rsidTr="00E534A1">
        <w:trPr>
          <w:trHeight w:val="10370"/>
        </w:trPr>
        <w:tc>
          <w:tcPr>
            <w:tcW w:w="5104" w:type="dxa"/>
          </w:tcPr>
          <w:p w:rsidR="00E534A1" w:rsidRDefault="006A0A8E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lastRenderedPageBreak/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480AE7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</w:t>
            </w:r>
            <w:r w:rsidRPr="00480AE7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</w:t>
            </w:r>
            <w:r w:rsidRPr="00480AE7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6A0A8E" w:rsidRPr="006A0A8E" w:rsidRDefault="00E534A1" w:rsidP="00E534A1">
            <w:pPr>
              <w:jc w:val="both"/>
            </w:pPr>
            <w:r w:rsidRPr="00BD09A8">
              <w:t xml:space="preserve">- 1,2 (одна целая две десятых)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</w:tc>
        <w:tc>
          <w:tcPr>
            <w:tcW w:w="5103" w:type="dxa"/>
          </w:tcPr>
          <w:p w:rsidR="00E534A1" w:rsidRDefault="00714F75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>оль целых семьдесят пять сотых) процента</w:t>
            </w:r>
            <w:r w:rsidR="00B36D57">
              <w:t xml:space="preserve">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</w:t>
            </w:r>
            <w:r>
              <w:lastRenderedPageBreak/>
              <w:t xml:space="preserve">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28397D" w:rsidRPr="006A0A8E" w:rsidRDefault="00E534A1" w:rsidP="00B36D57">
            <w:pPr>
              <w:jc w:val="both"/>
            </w:pPr>
            <w:r w:rsidRPr="00BD09A8">
              <w:t>- 1,2 (одна целая две десятых) процента от расчетной стоимости инвестиционного пая.</w:t>
            </w:r>
            <w:r w:rsidRPr="00524A1F" w:rsidDel="00E534A1">
              <w:rPr>
                <w:rStyle w:val="ae"/>
              </w:rPr>
              <w:t xml:space="preserve"> </w:t>
            </w:r>
          </w:p>
        </w:tc>
      </w:tr>
      <w:tr w:rsidR="00C839D8" w:rsidRPr="0056223B" w:rsidTr="00C839D8">
        <w:trPr>
          <w:trHeight w:val="904"/>
        </w:trPr>
        <w:tc>
          <w:tcPr>
            <w:tcW w:w="5104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 xml:space="preserve">внесения в реестр владельцев инвестиционных паев приходной записи об их </w:t>
            </w:r>
            <w:r w:rsidRPr="006700AA">
              <w:lastRenderedPageBreak/>
              <w:t>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- </w:t>
            </w:r>
            <w:r w:rsidRPr="006700AA">
              <w:t>3 (</w:t>
            </w:r>
            <w:r>
              <w:t>Т</w:t>
            </w:r>
            <w:r w:rsidRPr="006700AA">
              <w:t xml:space="preserve">ри) процента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        - </w:t>
            </w:r>
            <w:r w:rsidRPr="006700AA">
              <w:t>1 (</w:t>
            </w:r>
            <w:r>
              <w:t>О</w:t>
            </w:r>
            <w:r w:rsidRPr="006700AA">
              <w:t xml:space="preserve">дин) процент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</w:t>
            </w:r>
            <w:r w:rsidRPr="00BD09A8">
              <w:t xml:space="preserve">- 1 (один) процент </w:t>
            </w:r>
            <w:r w:rsidRPr="00480AE7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  <w:p w:rsidR="00C839D8" w:rsidRDefault="00C839D8" w:rsidP="00E534A1">
            <w:pPr>
              <w:pStyle w:val="ConsNonformat"/>
              <w:widowControl/>
              <w:tabs>
                <w:tab w:val="num" w:pos="709"/>
              </w:tabs>
              <w:ind w:left="540" w:right="34"/>
              <w:jc w:val="both"/>
            </w:pPr>
          </w:p>
        </w:tc>
        <w:tc>
          <w:tcPr>
            <w:tcW w:w="5103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="00714F75"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>внесения в реестр владельцев инвестиционных паев приходной записи об их 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lastRenderedPageBreak/>
              <w:t xml:space="preserve">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- </w:t>
            </w:r>
            <w:r w:rsidRPr="006700AA">
              <w:t>3 (</w:t>
            </w:r>
            <w:r>
              <w:t>Т</w:t>
            </w:r>
            <w:r w:rsidRPr="006700AA">
              <w:t>ри) процента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6700AA">
              <w:t>1 (</w:t>
            </w:r>
            <w:r>
              <w:t>О</w:t>
            </w:r>
            <w:r w:rsidRPr="006700AA">
              <w:t>дин) процент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ind w:firstLine="709"/>
              <w:jc w:val="both"/>
            </w:pPr>
            <w:r w:rsidRPr="00BD09A8">
              <w:t>- 1 (один) процент от расчетной стоимости инвестиционного пая.</w:t>
            </w:r>
          </w:p>
          <w:p w:rsidR="00714F75" w:rsidRDefault="00E534A1" w:rsidP="00E534A1">
            <w:pPr>
              <w:jc w:val="both"/>
            </w:pPr>
            <w:r w:rsidRPr="006700AA">
              <w:t xml:space="preserve"> </w:t>
            </w:r>
          </w:p>
          <w:p w:rsidR="00C839D8" w:rsidRPr="006A0A8E" w:rsidRDefault="00E534A1" w:rsidP="00E534A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52956" w:rsidRDefault="00952956" w:rsidP="003719F4">
      <w:pPr>
        <w:pStyle w:val="3"/>
        <w:ind w:firstLine="0"/>
      </w:pPr>
    </w:p>
    <w:p w:rsidR="00952956" w:rsidRDefault="00952956" w:rsidP="003719F4">
      <w:pPr>
        <w:pStyle w:val="3"/>
        <w:ind w:firstLine="0"/>
      </w:pPr>
    </w:p>
    <w:p w:rsidR="000734F0" w:rsidRPr="0056223B" w:rsidRDefault="000734F0" w:rsidP="00952956">
      <w:pPr>
        <w:pStyle w:val="3"/>
        <w:ind w:left="426" w:firstLine="0"/>
      </w:pPr>
      <w:r w:rsidRPr="0056223B">
        <w:t>Генеральный директор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  <w:rPr>
          <w:b/>
          <w:bCs/>
        </w:rPr>
      </w:pPr>
      <w:r w:rsidRPr="0056223B">
        <w:rPr>
          <w:b/>
          <w:bCs/>
        </w:rPr>
        <w:t>ЗАО «СОЛИД Менеджмент»</w:t>
      </w:r>
      <w:r w:rsidRPr="0056223B">
        <w:rPr>
          <w:b/>
          <w:bCs/>
        </w:rPr>
        <w:tab/>
      </w:r>
      <w:r w:rsidRPr="0056223B">
        <w:rPr>
          <w:b/>
          <w:bCs/>
        </w:rPr>
        <w:tab/>
        <w:t>_______________</w:t>
      </w:r>
      <w:r w:rsidR="009A41D4">
        <w:rPr>
          <w:b/>
          <w:bCs/>
        </w:rPr>
        <w:tab/>
      </w:r>
      <w:r w:rsidR="009A41D4">
        <w:rPr>
          <w:b/>
          <w:bCs/>
        </w:rPr>
        <w:tab/>
        <w:t xml:space="preserve">Ю. </w:t>
      </w:r>
      <w:r w:rsidRPr="0056223B">
        <w:rPr>
          <w:b/>
          <w:bCs/>
        </w:rPr>
        <w:t>М. Новиков</w:t>
      </w:r>
    </w:p>
    <w:p w:rsidR="000734F0" w:rsidRPr="00A43649" w:rsidRDefault="003719F4" w:rsidP="00952956">
      <w:pPr>
        <w:tabs>
          <w:tab w:val="num" w:pos="720"/>
        </w:tabs>
        <w:ind w:left="426"/>
        <w:jc w:val="both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0734F0" w:rsidRPr="00A43649">
        <w:rPr>
          <w:b/>
          <w:bCs/>
          <w:sz w:val="18"/>
          <w:szCs w:val="18"/>
        </w:rPr>
        <w:t xml:space="preserve"> </w:t>
      </w:r>
      <w:r w:rsidR="00A174B4">
        <w:rPr>
          <w:b/>
          <w:bCs/>
          <w:sz w:val="18"/>
          <w:szCs w:val="18"/>
        </w:rPr>
        <w:t xml:space="preserve">                        </w:t>
      </w:r>
      <w:r w:rsidR="00952956">
        <w:rPr>
          <w:b/>
          <w:bCs/>
          <w:sz w:val="18"/>
          <w:szCs w:val="18"/>
        </w:rPr>
        <w:t xml:space="preserve"> </w:t>
      </w:r>
      <w:r w:rsidR="000734F0" w:rsidRPr="00A43649">
        <w:rPr>
          <w:sz w:val="18"/>
          <w:szCs w:val="18"/>
        </w:rPr>
        <w:t>(подпись)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</w:pPr>
      <w:r w:rsidRPr="0056223B">
        <w:tab/>
      </w:r>
      <w:r w:rsidRPr="0056223B">
        <w:tab/>
      </w:r>
      <w:r w:rsidRPr="0056223B">
        <w:tab/>
      </w:r>
      <w:r w:rsidR="003719F4">
        <w:t xml:space="preserve">                               </w:t>
      </w:r>
      <w:r w:rsidR="00952956">
        <w:t xml:space="preserve">     </w:t>
      </w:r>
      <w:r w:rsidRPr="0056223B">
        <w:t>м.п.</w:t>
      </w:r>
    </w:p>
    <w:sectPr w:rsidR="000734F0" w:rsidRPr="0056223B" w:rsidSect="00A32989">
      <w:footerReference w:type="default" r:id="rId11"/>
      <w:headerReference w:type="first" r:id="rId12"/>
      <w:footerReference w:type="first" r:id="rId13"/>
      <w:pgSz w:w="11906" w:h="16838"/>
      <w:pgMar w:top="1135" w:right="746" w:bottom="567" w:left="1260" w:header="720" w:footer="87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07" w:rsidRDefault="00B72507">
      <w:r>
        <w:separator/>
      </w:r>
    </w:p>
  </w:endnote>
  <w:endnote w:type="continuationSeparator" w:id="0">
    <w:p w:rsidR="00B72507" w:rsidRDefault="00B7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805552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48C">
      <w:rPr>
        <w:rStyle w:val="a5"/>
        <w:noProof/>
      </w:rPr>
      <w:t>1</w:t>
    </w:r>
    <w:r>
      <w:rPr>
        <w:rStyle w:val="a5"/>
      </w:rPr>
      <w:fldChar w:fldCharType="end"/>
    </w:r>
  </w:p>
  <w:p w:rsidR="00EA3202" w:rsidRDefault="00EA32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89" w:rsidRDefault="00805552">
    <w:pPr>
      <w:pStyle w:val="a6"/>
      <w:jc w:val="right"/>
    </w:pPr>
    <w:fldSimple w:instr="PAGE   \* MERGEFORMAT">
      <w:r w:rsidR="00A32989">
        <w:rPr>
          <w:noProof/>
        </w:rPr>
        <w:t>1</w:t>
      </w:r>
    </w:fldSimple>
  </w:p>
  <w:p w:rsidR="00A32989" w:rsidRDefault="00A32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07" w:rsidRDefault="00B72507">
      <w:r>
        <w:separator/>
      </w:r>
    </w:p>
  </w:footnote>
  <w:footnote w:type="continuationSeparator" w:id="0">
    <w:p w:rsidR="00B72507" w:rsidRDefault="00B7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EA32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44"/>
    <w:rsid w:val="000065B2"/>
    <w:rsid w:val="00007BA8"/>
    <w:rsid w:val="0002141D"/>
    <w:rsid w:val="00055B1F"/>
    <w:rsid w:val="00065248"/>
    <w:rsid w:val="000734F0"/>
    <w:rsid w:val="00085CB0"/>
    <w:rsid w:val="00087EEC"/>
    <w:rsid w:val="000A20B9"/>
    <w:rsid w:val="000A640D"/>
    <w:rsid w:val="000B4BB4"/>
    <w:rsid w:val="000D52B8"/>
    <w:rsid w:val="000D5EAA"/>
    <w:rsid w:val="000D6E79"/>
    <w:rsid w:val="001016E7"/>
    <w:rsid w:val="001364AC"/>
    <w:rsid w:val="00145658"/>
    <w:rsid w:val="001546FD"/>
    <w:rsid w:val="001A01FC"/>
    <w:rsid w:val="001A403E"/>
    <w:rsid w:val="001B3795"/>
    <w:rsid w:val="001D4465"/>
    <w:rsid w:val="001D5B5A"/>
    <w:rsid w:val="001D7978"/>
    <w:rsid w:val="001E3739"/>
    <w:rsid w:val="00201AA2"/>
    <w:rsid w:val="00221D63"/>
    <w:rsid w:val="0022303F"/>
    <w:rsid w:val="002457AB"/>
    <w:rsid w:val="00255745"/>
    <w:rsid w:val="00266AB6"/>
    <w:rsid w:val="00273B8B"/>
    <w:rsid w:val="0028397D"/>
    <w:rsid w:val="00287393"/>
    <w:rsid w:val="002B418B"/>
    <w:rsid w:val="002C38CA"/>
    <w:rsid w:val="002E3538"/>
    <w:rsid w:val="003051A1"/>
    <w:rsid w:val="00310614"/>
    <w:rsid w:val="00312965"/>
    <w:rsid w:val="00322DEF"/>
    <w:rsid w:val="003247FF"/>
    <w:rsid w:val="00333C9E"/>
    <w:rsid w:val="00344B3D"/>
    <w:rsid w:val="003719F4"/>
    <w:rsid w:val="003A3FE8"/>
    <w:rsid w:val="003A446B"/>
    <w:rsid w:val="003A62D6"/>
    <w:rsid w:val="00446BE6"/>
    <w:rsid w:val="00470944"/>
    <w:rsid w:val="00480AE7"/>
    <w:rsid w:val="004853A0"/>
    <w:rsid w:val="00494419"/>
    <w:rsid w:val="0049453D"/>
    <w:rsid w:val="004B1FC9"/>
    <w:rsid w:val="004B2294"/>
    <w:rsid w:val="004B6B5E"/>
    <w:rsid w:val="004C165C"/>
    <w:rsid w:val="004D2D29"/>
    <w:rsid w:val="004F4E48"/>
    <w:rsid w:val="004F5847"/>
    <w:rsid w:val="00524A1F"/>
    <w:rsid w:val="00533118"/>
    <w:rsid w:val="005365CA"/>
    <w:rsid w:val="005414FA"/>
    <w:rsid w:val="005469D2"/>
    <w:rsid w:val="0056223B"/>
    <w:rsid w:val="00571CA8"/>
    <w:rsid w:val="005C16DD"/>
    <w:rsid w:val="005D09F0"/>
    <w:rsid w:val="005D186A"/>
    <w:rsid w:val="005E7247"/>
    <w:rsid w:val="00616C51"/>
    <w:rsid w:val="00617500"/>
    <w:rsid w:val="0066310C"/>
    <w:rsid w:val="00663FF2"/>
    <w:rsid w:val="006649BE"/>
    <w:rsid w:val="00667AF3"/>
    <w:rsid w:val="006700AA"/>
    <w:rsid w:val="0067648D"/>
    <w:rsid w:val="00681444"/>
    <w:rsid w:val="00682BB1"/>
    <w:rsid w:val="00687D90"/>
    <w:rsid w:val="006A0A8E"/>
    <w:rsid w:val="006A448C"/>
    <w:rsid w:val="006B2FD8"/>
    <w:rsid w:val="006C601C"/>
    <w:rsid w:val="006C6FD9"/>
    <w:rsid w:val="006D2C90"/>
    <w:rsid w:val="007040F0"/>
    <w:rsid w:val="00714F75"/>
    <w:rsid w:val="0077059D"/>
    <w:rsid w:val="00782A3D"/>
    <w:rsid w:val="007C504D"/>
    <w:rsid w:val="007F4009"/>
    <w:rsid w:val="00805552"/>
    <w:rsid w:val="008516EA"/>
    <w:rsid w:val="00852776"/>
    <w:rsid w:val="008535EB"/>
    <w:rsid w:val="008C11E1"/>
    <w:rsid w:val="008C1DE7"/>
    <w:rsid w:val="008C35FB"/>
    <w:rsid w:val="008F2B96"/>
    <w:rsid w:val="008F7EFA"/>
    <w:rsid w:val="00911674"/>
    <w:rsid w:val="009347C8"/>
    <w:rsid w:val="00952956"/>
    <w:rsid w:val="009842E8"/>
    <w:rsid w:val="00984878"/>
    <w:rsid w:val="00986E92"/>
    <w:rsid w:val="009A082F"/>
    <w:rsid w:val="009A41D4"/>
    <w:rsid w:val="009B31C7"/>
    <w:rsid w:val="009B4076"/>
    <w:rsid w:val="009B5B4A"/>
    <w:rsid w:val="009B5EC1"/>
    <w:rsid w:val="009D127A"/>
    <w:rsid w:val="009D299C"/>
    <w:rsid w:val="009D3BB9"/>
    <w:rsid w:val="009E4C86"/>
    <w:rsid w:val="009E54CE"/>
    <w:rsid w:val="009F6AFA"/>
    <w:rsid w:val="00A00252"/>
    <w:rsid w:val="00A0433D"/>
    <w:rsid w:val="00A174B4"/>
    <w:rsid w:val="00A32989"/>
    <w:rsid w:val="00A34E45"/>
    <w:rsid w:val="00A40396"/>
    <w:rsid w:val="00A43649"/>
    <w:rsid w:val="00A50502"/>
    <w:rsid w:val="00A732EC"/>
    <w:rsid w:val="00A73DC4"/>
    <w:rsid w:val="00A97868"/>
    <w:rsid w:val="00AD0DEB"/>
    <w:rsid w:val="00B11E6F"/>
    <w:rsid w:val="00B14758"/>
    <w:rsid w:val="00B1731E"/>
    <w:rsid w:val="00B17A49"/>
    <w:rsid w:val="00B226BD"/>
    <w:rsid w:val="00B236AD"/>
    <w:rsid w:val="00B3016A"/>
    <w:rsid w:val="00B31F85"/>
    <w:rsid w:val="00B36D57"/>
    <w:rsid w:val="00B57E49"/>
    <w:rsid w:val="00B70899"/>
    <w:rsid w:val="00B72507"/>
    <w:rsid w:val="00B72AF4"/>
    <w:rsid w:val="00B8108B"/>
    <w:rsid w:val="00B8148F"/>
    <w:rsid w:val="00B90449"/>
    <w:rsid w:val="00BA6FA3"/>
    <w:rsid w:val="00BB030E"/>
    <w:rsid w:val="00BB1700"/>
    <w:rsid w:val="00BD09A8"/>
    <w:rsid w:val="00BD32F5"/>
    <w:rsid w:val="00BF0DE5"/>
    <w:rsid w:val="00C07624"/>
    <w:rsid w:val="00C112C8"/>
    <w:rsid w:val="00C221C5"/>
    <w:rsid w:val="00C328C9"/>
    <w:rsid w:val="00C36432"/>
    <w:rsid w:val="00C44D2E"/>
    <w:rsid w:val="00C632F4"/>
    <w:rsid w:val="00C839D8"/>
    <w:rsid w:val="00C86028"/>
    <w:rsid w:val="00C95327"/>
    <w:rsid w:val="00CA08EA"/>
    <w:rsid w:val="00CA53DB"/>
    <w:rsid w:val="00CB25E0"/>
    <w:rsid w:val="00CC16FF"/>
    <w:rsid w:val="00CC2F40"/>
    <w:rsid w:val="00CC40E7"/>
    <w:rsid w:val="00CC4778"/>
    <w:rsid w:val="00CD2772"/>
    <w:rsid w:val="00CD3200"/>
    <w:rsid w:val="00CD7EF8"/>
    <w:rsid w:val="00CE1582"/>
    <w:rsid w:val="00D11363"/>
    <w:rsid w:val="00D1265C"/>
    <w:rsid w:val="00D3005E"/>
    <w:rsid w:val="00D43E61"/>
    <w:rsid w:val="00D55E59"/>
    <w:rsid w:val="00D5752D"/>
    <w:rsid w:val="00D6572F"/>
    <w:rsid w:val="00DC01E0"/>
    <w:rsid w:val="00DC0CB4"/>
    <w:rsid w:val="00DC26B4"/>
    <w:rsid w:val="00E0482D"/>
    <w:rsid w:val="00E120EA"/>
    <w:rsid w:val="00E15AB6"/>
    <w:rsid w:val="00E22C5C"/>
    <w:rsid w:val="00E350F6"/>
    <w:rsid w:val="00E425F4"/>
    <w:rsid w:val="00E534A1"/>
    <w:rsid w:val="00E5634C"/>
    <w:rsid w:val="00E701F4"/>
    <w:rsid w:val="00E821A4"/>
    <w:rsid w:val="00E972EA"/>
    <w:rsid w:val="00EA1EFD"/>
    <w:rsid w:val="00EA3202"/>
    <w:rsid w:val="00EA73DE"/>
    <w:rsid w:val="00EB7BDE"/>
    <w:rsid w:val="00EC4E37"/>
    <w:rsid w:val="00ED086F"/>
    <w:rsid w:val="00EF3FBF"/>
    <w:rsid w:val="00F017B8"/>
    <w:rsid w:val="00F37DC5"/>
    <w:rsid w:val="00F41B2C"/>
    <w:rsid w:val="00F4249A"/>
    <w:rsid w:val="00F61601"/>
    <w:rsid w:val="00F91885"/>
    <w:rsid w:val="00FA195C"/>
    <w:rsid w:val="00FD47CF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4F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734F0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34F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34F0"/>
    <w:pPr>
      <w:keepNext/>
      <w:tabs>
        <w:tab w:val="left" w:pos="4395"/>
      </w:tabs>
      <w:jc w:val="center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3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34F0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734F0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34F0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34F0"/>
    <w:rPr>
      <w:rFonts w:cs="Times New Roman"/>
    </w:rPr>
  </w:style>
  <w:style w:type="paragraph" w:styleId="a6">
    <w:name w:val="footer"/>
    <w:basedOn w:val="a"/>
    <w:link w:val="a7"/>
    <w:uiPriority w:val="99"/>
    <w:rsid w:val="00073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397D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63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66310C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6310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e">
    <w:name w:val="Основной шрифт"/>
    <w:rsid w:val="006A0A8E"/>
  </w:style>
  <w:style w:type="paragraph" w:customStyle="1" w:styleId="BodyNum">
    <w:name w:val="Body Num"/>
    <w:basedOn w:val="a"/>
    <w:rsid w:val="006A0A8E"/>
    <w:pPr>
      <w:widowControl w:val="0"/>
      <w:spacing w:after="120"/>
      <w:jc w:val="both"/>
    </w:pPr>
    <w:rPr>
      <w:szCs w:val="20"/>
      <w:lang w:val="en-AU"/>
    </w:rPr>
  </w:style>
  <w:style w:type="paragraph" w:styleId="af">
    <w:name w:val="Body Text"/>
    <w:basedOn w:val="a"/>
    <w:link w:val="af0"/>
    <w:uiPriority w:val="99"/>
    <w:rsid w:val="006A0A8E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6A0A8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0A8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A0A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714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E53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18.08.2015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5703-D304-49DD-A028-C445F21984A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8D045D9-3E47-48F1-B620-6480D56E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65814-4186-4A2A-B1E0-A4C071D4D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0B4228-9B93-4E3D-A2AC-37CA037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9841</Characters>
  <Application>Microsoft Office Word</Application>
  <DocSecurity>0</DocSecurity>
  <Lines>82</Lines>
  <Paragraphs>23</Paragraphs>
  <ScaleCrop>false</ScaleCrop>
  <Company>FRSD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Бурдин</dc:creator>
  <cp:lastModifiedBy>kulkova</cp:lastModifiedBy>
  <cp:revision>2</cp:revision>
  <cp:lastPrinted>2015-05-12T08:16:00Z</cp:lastPrinted>
  <dcterms:created xsi:type="dcterms:W3CDTF">2015-08-21T15:05:00Z</dcterms:created>
  <dcterms:modified xsi:type="dcterms:W3CDTF">2015-08-21T15:05:00Z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