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27" w:rsidRDefault="008D5682" w:rsidP="00192997">
      <w:pPr>
        <w:ind w:left="5387"/>
        <w:jc w:val="right"/>
      </w:pPr>
      <w:r>
        <w:t>УТВЕРЖДЕНЫ</w:t>
      </w:r>
    </w:p>
    <w:p w:rsidR="00577AAE" w:rsidRDefault="008D0284" w:rsidP="00192997">
      <w:pPr>
        <w:ind w:left="5387"/>
        <w:jc w:val="right"/>
      </w:pPr>
      <w:r>
        <w:t>Решением</w:t>
      </w:r>
      <w:r w:rsidR="00577AAE">
        <w:t xml:space="preserve"> общего собрания </w:t>
      </w:r>
    </w:p>
    <w:p w:rsidR="00577AAE" w:rsidRDefault="00577AAE" w:rsidP="00192997">
      <w:pPr>
        <w:ind w:left="5387"/>
        <w:jc w:val="right"/>
      </w:pPr>
      <w:r>
        <w:t xml:space="preserve">Владельцев инвестиционных паев </w:t>
      </w:r>
    </w:p>
    <w:p w:rsidR="008D0284" w:rsidRDefault="008D0284" w:rsidP="00192997">
      <w:pPr>
        <w:ind w:left="5387"/>
        <w:jc w:val="right"/>
      </w:pPr>
      <w:r>
        <w:t xml:space="preserve">Закрытого паевого инвестиционного фонда недвижимости «Серебро- </w:t>
      </w:r>
    </w:p>
    <w:p w:rsidR="008D0284" w:rsidRDefault="008D0284" w:rsidP="00192997">
      <w:pPr>
        <w:ind w:left="5387"/>
        <w:jc w:val="right"/>
      </w:pPr>
      <w:r>
        <w:t>инвестиции в недвижимость»</w:t>
      </w:r>
    </w:p>
    <w:p w:rsidR="00577AAE" w:rsidRPr="00933C21" w:rsidRDefault="008D0284" w:rsidP="00192997">
      <w:pPr>
        <w:ind w:left="5387"/>
        <w:jc w:val="right"/>
      </w:pPr>
      <w:r>
        <w:t>Протокол о</w:t>
      </w:r>
      <w:r w:rsidR="00EC4090">
        <w:t>т 21 июл</w:t>
      </w:r>
      <w:r w:rsidR="00577AAE">
        <w:t>я 2021г.</w:t>
      </w:r>
    </w:p>
    <w:p w:rsidR="008E1D96" w:rsidRPr="00557EEB" w:rsidRDefault="008D0284" w:rsidP="00192997">
      <w:pPr>
        <w:jc w:val="right"/>
      </w:pPr>
      <w:r>
        <w:t>Решением</w:t>
      </w:r>
      <w:r w:rsidR="00367D27" w:rsidRPr="00557EEB">
        <w:t xml:space="preserve"> Генерального директора </w:t>
      </w:r>
    </w:p>
    <w:p w:rsidR="00367D27" w:rsidRPr="00557EEB" w:rsidRDefault="008E1D96" w:rsidP="00192997">
      <w:pPr>
        <w:jc w:val="right"/>
      </w:pPr>
      <w:r w:rsidRPr="00557EEB">
        <w:t xml:space="preserve">                                                                                       </w:t>
      </w:r>
      <w:r w:rsidR="00367D27" w:rsidRPr="00557EEB">
        <w:t>ООО «УК «Инвест Менеджмент Центр»</w:t>
      </w:r>
    </w:p>
    <w:p w:rsidR="00192997" w:rsidRPr="00557EEB" w:rsidRDefault="00445947" w:rsidP="00D02837">
      <w:pPr>
        <w:ind w:left="5387"/>
        <w:jc w:val="right"/>
      </w:pPr>
      <w:r w:rsidRPr="00557EEB">
        <w:t>П</w:t>
      </w:r>
      <w:r w:rsidR="00367D27" w:rsidRPr="00557EEB">
        <w:t>риказ №</w:t>
      </w:r>
      <w:r w:rsidR="00A94512" w:rsidRPr="00557EEB">
        <w:t xml:space="preserve"> </w:t>
      </w:r>
      <w:r w:rsidR="00EC4090">
        <w:t>36</w:t>
      </w:r>
      <w:r w:rsidR="005B6750" w:rsidRPr="00557EEB">
        <w:t>/В</w:t>
      </w:r>
      <w:r w:rsidR="00367D27" w:rsidRPr="00557EEB">
        <w:t xml:space="preserve"> от «</w:t>
      </w:r>
      <w:r w:rsidR="00EC4090">
        <w:t>2</w:t>
      </w:r>
      <w:r w:rsidR="00D65B0B">
        <w:t>2</w:t>
      </w:r>
      <w:r w:rsidR="004B10F2" w:rsidRPr="00557EEB">
        <w:t xml:space="preserve">» </w:t>
      </w:r>
      <w:r w:rsidR="00EC4090">
        <w:t>июл</w:t>
      </w:r>
      <w:r w:rsidR="00577AAE">
        <w:t>я</w:t>
      </w:r>
      <w:r w:rsidR="00367D27" w:rsidRPr="00557EEB">
        <w:t xml:space="preserve"> </w:t>
      </w:r>
      <w:r w:rsidR="00577AAE">
        <w:t>2021</w:t>
      </w:r>
      <w:r w:rsidR="00367D27" w:rsidRPr="00557EEB">
        <w:t xml:space="preserve"> г</w:t>
      </w:r>
      <w:r w:rsidRPr="00557EEB">
        <w:t xml:space="preserve">. </w:t>
      </w:r>
      <w:r w:rsidR="00192997" w:rsidRPr="00557EEB">
        <w:rPr>
          <w:sz w:val="22"/>
          <w:szCs w:val="20"/>
        </w:rPr>
        <w:t xml:space="preserve">             </w:t>
      </w:r>
    </w:p>
    <w:p w:rsidR="00192997" w:rsidRPr="00557EEB" w:rsidRDefault="00192997" w:rsidP="00192997">
      <w:pPr>
        <w:spacing w:after="120"/>
        <w:ind w:left="4956"/>
        <w:jc w:val="right"/>
        <w:rPr>
          <w:sz w:val="22"/>
          <w:szCs w:val="20"/>
        </w:rPr>
      </w:pPr>
      <w:r w:rsidRPr="00557EEB">
        <w:rPr>
          <w:sz w:val="22"/>
          <w:szCs w:val="20"/>
        </w:rPr>
        <w:t xml:space="preserve"> _______________/</w:t>
      </w:r>
      <w:r w:rsidRPr="00557EEB">
        <w:rPr>
          <w:sz w:val="28"/>
        </w:rPr>
        <w:t xml:space="preserve"> </w:t>
      </w:r>
      <w:r w:rsidRPr="00431632">
        <w:rPr>
          <w:sz w:val="22"/>
          <w:szCs w:val="22"/>
        </w:rPr>
        <w:t>Р</w:t>
      </w:r>
      <w:r w:rsidR="00431632">
        <w:rPr>
          <w:sz w:val="22"/>
          <w:szCs w:val="22"/>
        </w:rPr>
        <w:t>.</w:t>
      </w:r>
      <w:r w:rsidR="00431632" w:rsidRPr="00431632">
        <w:rPr>
          <w:sz w:val="22"/>
          <w:szCs w:val="22"/>
        </w:rPr>
        <w:t>С</w:t>
      </w:r>
      <w:r w:rsidR="00431632">
        <w:rPr>
          <w:sz w:val="22"/>
          <w:szCs w:val="20"/>
        </w:rPr>
        <w:t>.</w:t>
      </w:r>
      <w:r w:rsidRPr="00557EEB">
        <w:rPr>
          <w:sz w:val="22"/>
          <w:szCs w:val="20"/>
        </w:rPr>
        <w:t xml:space="preserve"> </w:t>
      </w:r>
      <w:proofErr w:type="spellStart"/>
      <w:r w:rsidRPr="00557EEB">
        <w:rPr>
          <w:sz w:val="22"/>
          <w:szCs w:val="20"/>
        </w:rPr>
        <w:t>Сторчак</w:t>
      </w:r>
      <w:proofErr w:type="spellEnd"/>
      <w:r w:rsidRPr="00557EEB">
        <w:rPr>
          <w:sz w:val="22"/>
          <w:szCs w:val="20"/>
        </w:rPr>
        <w:t>/</w:t>
      </w:r>
    </w:p>
    <w:p w:rsidR="00192997" w:rsidRDefault="00192997" w:rsidP="003F1BE8"/>
    <w:p w:rsidR="00862E87" w:rsidRDefault="00862E87" w:rsidP="00192997">
      <w:pPr>
        <w:jc w:val="center"/>
      </w:pPr>
    </w:p>
    <w:p w:rsidR="00431632" w:rsidRDefault="00431632" w:rsidP="00192997">
      <w:pPr>
        <w:jc w:val="center"/>
      </w:pPr>
    </w:p>
    <w:p w:rsidR="00192997" w:rsidRDefault="00F23C30" w:rsidP="00192997">
      <w:pPr>
        <w:jc w:val="center"/>
        <w:rPr>
          <w:b/>
          <w:bCs/>
          <w:sz w:val="26"/>
          <w:szCs w:val="26"/>
        </w:rPr>
      </w:pPr>
      <w:r w:rsidRPr="00771DC5">
        <w:rPr>
          <w:b/>
          <w:bCs/>
          <w:sz w:val="26"/>
          <w:szCs w:val="26"/>
        </w:rPr>
        <w:t>Изменения</w:t>
      </w:r>
      <w:r w:rsidR="004F74D3" w:rsidRPr="00771DC5">
        <w:rPr>
          <w:b/>
          <w:bCs/>
          <w:sz w:val="26"/>
          <w:szCs w:val="26"/>
        </w:rPr>
        <w:t xml:space="preserve"> и дополнения</w:t>
      </w:r>
      <w:r w:rsidRPr="00771DC5">
        <w:rPr>
          <w:b/>
          <w:bCs/>
          <w:sz w:val="26"/>
          <w:szCs w:val="26"/>
        </w:rPr>
        <w:t xml:space="preserve"> </w:t>
      </w:r>
      <w:r w:rsidR="00771DC5" w:rsidRPr="00771DC5">
        <w:rPr>
          <w:b/>
          <w:bCs/>
          <w:sz w:val="26"/>
          <w:szCs w:val="26"/>
        </w:rPr>
        <w:t>№</w:t>
      </w:r>
      <w:r w:rsidR="00577AAE">
        <w:rPr>
          <w:b/>
          <w:bCs/>
          <w:sz w:val="26"/>
          <w:szCs w:val="26"/>
        </w:rPr>
        <w:t xml:space="preserve"> 8</w:t>
      </w:r>
      <w:bookmarkStart w:id="0" w:name="_GoBack"/>
      <w:bookmarkEnd w:id="0"/>
    </w:p>
    <w:p w:rsidR="00FD5855" w:rsidRPr="008B1825" w:rsidRDefault="00F23C30" w:rsidP="00192997">
      <w:pPr>
        <w:jc w:val="center"/>
        <w:rPr>
          <w:b/>
          <w:bCs/>
          <w:color w:val="000000"/>
          <w:sz w:val="26"/>
          <w:szCs w:val="26"/>
        </w:rPr>
      </w:pPr>
      <w:r w:rsidRPr="00771DC5">
        <w:rPr>
          <w:b/>
          <w:bCs/>
          <w:sz w:val="26"/>
          <w:szCs w:val="26"/>
        </w:rPr>
        <w:t xml:space="preserve">в </w:t>
      </w:r>
      <w:r w:rsidRPr="008B1825">
        <w:rPr>
          <w:b/>
          <w:bCs/>
          <w:color w:val="000000"/>
          <w:sz w:val="26"/>
          <w:szCs w:val="26"/>
        </w:rPr>
        <w:t>Правила доверительного управления</w:t>
      </w:r>
      <w:r w:rsidR="00FD5855" w:rsidRPr="008B1825">
        <w:rPr>
          <w:b/>
          <w:bCs/>
          <w:color w:val="000000"/>
          <w:sz w:val="26"/>
          <w:szCs w:val="26"/>
        </w:rPr>
        <w:t xml:space="preserve"> </w:t>
      </w:r>
      <w:r w:rsidR="00117CFA" w:rsidRPr="00771DC5">
        <w:rPr>
          <w:b/>
          <w:bCs/>
          <w:color w:val="000000"/>
          <w:sz w:val="26"/>
          <w:szCs w:val="26"/>
        </w:rPr>
        <w:t>З</w:t>
      </w:r>
      <w:r w:rsidR="00FD5855" w:rsidRPr="00771DC5">
        <w:rPr>
          <w:b/>
          <w:bCs/>
          <w:color w:val="000000"/>
          <w:sz w:val="26"/>
          <w:szCs w:val="26"/>
        </w:rPr>
        <w:t xml:space="preserve">акрытым паевым инвестиционным фондом </w:t>
      </w:r>
      <w:r w:rsidR="008B1825" w:rsidRPr="008B1825">
        <w:rPr>
          <w:b/>
          <w:bCs/>
          <w:color w:val="000000"/>
          <w:sz w:val="26"/>
          <w:szCs w:val="26"/>
        </w:rPr>
        <w:t>недвижимости</w:t>
      </w:r>
      <w:r w:rsidR="00117CFA" w:rsidRPr="00771DC5">
        <w:rPr>
          <w:b/>
          <w:bCs/>
          <w:color w:val="000000"/>
          <w:sz w:val="26"/>
          <w:szCs w:val="26"/>
        </w:rPr>
        <w:t xml:space="preserve"> </w:t>
      </w:r>
      <w:r w:rsidR="00FD5855" w:rsidRPr="00771DC5">
        <w:rPr>
          <w:b/>
          <w:bCs/>
          <w:color w:val="000000"/>
          <w:sz w:val="26"/>
          <w:szCs w:val="26"/>
        </w:rPr>
        <w:t>«</w:t>
      </w:r>
      <w:r w:rsidR="008B1825" w:rsidRPr="008B1825">
        <w:rPr>
          <w:b/>
          <w:bCs/>
          <w:color w:val="000000"/>
          <w:sz w:val="26"/>
          <w:szCs w:val="26"/>
        </w:rPr>
        <w:t>Серебро – инвестиции в недвижимость</w:t>
      </w:r>
      <w:r w:rsidR="00FD5855" w:rsidRPr="00771DC5">
        <w:rPr>
          <w:b/>
          <w:bCs/>
          <w:color w:val="000000"/>
          <w:sz w:val="26"/>
          <w:szCs w:val="26"/>
        </w:rPr>
        <w:t>»</w:t>
      </w:r>
    </w:p>
    <w:p w:rsidR="00F23C30" w:rsidRDefault="00F23C30" w:rsidP="00FD5855">
      <w:pPr>
        <w:keepNext/>
        <w:widowControl w:val="0"/>
        <w:suppressLineNumbers/>
        <w:suppressAutoHyphens/>
        <w:autoSpaceDE w:val="0"/>
        <w:autoSpaceDN w:val="0"/>
        <w:adjustRightInd w:val="0"/>
        <w:jc w:val="center"/>
      </w:pPr>
      <w:r>
        <w:t>(Правила доверительного управления фондом зарегистрированы Центральным Банком Россий</w:t>
      </w:r>
      <w:r w:rsidR="00F57D58">
        <w:t>ской Федерации (Банк России) за</w:t>
      </w:r>
      <w:r>
        <w:t xml:space="preserve"> № </w:t>
      </w:r>
      <w:r w:rsidR="008B1825">
        <w:t>3184</w:t>
      </w:r>
      <w:r w:rsidR="00FD5855">
        <w:t xml:space="preserve"> </w:t>
      </w:r>
      <w:r>
        <w:t xml:space="preserve">от </w:t>
      </w:r>
      <w:r w:rsidR="000A3D87">
        <w:t>«</w:t>
      </w:r>
      <w:r w:rsidR="00117CFA">
        <w:t>2</w:t>
      </w:r>
      <w:r w:rsidR="008B1825">
        <w:t>6</w:t>
      </w:r>
      <w:r>
        <w:t>»</w:t>
      </w:r>
      <w:r w:rsidRPr="00E24460">
        <w:t xml:space="preserve"> </w:t>
      </w:r>
      <w:r w:rsidR="008B1825">
        <w:t>июля</w:t>
      </w:r>
      <w:r w:rsidRPr="00E24460">
        <w:t xml:space="preserve"> </w:t>
      </w:r>
      <w:r>
        <w:t>201</w:t>
      </w:r>
      <w:r w:rsidR="008B1825">
        <w:t>6</w:t>
      </w:r>
      <w:r w:rsidRPr="00E24460">
        <w:t xml:space="preserve"> года</w:t>
      </w:r>
      <w:r>
        <w:t>)</w:t>
      </w:r>
    </w:p>
    <w:p w:rsidR="00431632" w:rsidRDefault="00431632" w:rsidP="00074E75"/>
    <w:p w:rsidR="00431632" w:rsidRDefault="00074E75" w:rsidP="003F1BE8">
      <w:pPr>
        <w:ind w:firstLine="708"/>
        <w:jc w:val="both"/>
      </w:pPr>
      <w:r>
        <w:t xml:space="preserve">Внести в правила доверительного управления </w:t>
      </w:r>
      <w:r w:rsidR="00117CFA">
        <w:t>З</w:t>
      </w:r>
      <w:r w:rsidR="00FD5855" w:rsidRPr="00FD5855">
        <w:t xml:space="preserve">акрытым паевым инвестиционным фондом </w:t>
      </w:r>
      <w:r w:rsidR="008B1825">
        <w:t xml:space="preserve">недвижимости </w:t>
      </w:r>
      <w:r w:rsidR="008B1825" w:rsidRPr="00695902">
        <w:t>«</w:t>
      </w:r>
      <w:r w:rsidR="008B1825" w:rsidRPr="008B1825">
        <w:rPr>
          <w:bCs/>
        </w:rPr>
        <w:t>Серебро – инвестиции в недвижимость</w:t>
      </w:r>
      <w:r w:rsidR="008B1825" w:rsidRPr="00FD5855">
        <w:t>»</w:t>
      </w:r>
      <w:r w:rsidR="00F23C30">
        <w:t xml:space="preserve"> </w:t>
      </w:r>
      <w:r>
        <w:t>(далее – Правила Фонда) следующие изменения и дополнения:</w:t>
      </w:r>
    </w:p>
    <w:p w:rsidR="00925AC8" w:rsidRDefault="00E84F0E" w:rsidP="00192997">
      <w:pPr>
        <w:numPr>
          <w:ilvl w:val="0"/>
          <w:numId w:val="13"/>
        </w:numPr>
        <w:jc w:val="both"/>
        <w:rPr>
          <w:b/>
        </w:rPr>
      </w:pPr>
      <w:r w:rsidRPr="008F69AC">
        <w:rPr>
          <w:b/>
        </w:rPr>
        <w:t xml:space="preserve">Изложить </w:t>
      </w:r>
      <w:r w:rsidR="00651B26">
        <w:rPr>
          <w:b/>
        </w:rPr>
        <w:t>следующие пункты</w:t>
      </w:r>
      <w:r w:rsidRPr="008F69AC">
        <w:rPr>
          <w:b/>
        </w:rPr>
        <w:t xml:space="preserve"> Правил Фонда в новой редакции:</w:t>
      </w:r>
    </w:p>
    <w:p w:rsidR="00431632" w:rsidRDefault="00431632" w:rsidP="003F1BE8">
      <w:pPr>
        <w:jc w:val="both"/>
      </w:pPr>
    </w:p>
    <w:tbl>
      <w:tblPr>
        <w:tblStyle w:val="a3"/>
        <w:tblW w:w="0" w:type="auto"/>
        <w:tblInd w:w="567" w:type="dxa"/>
        <w:tblLook w:val="00A0" w:firstRow="1" w:lastRow="0" w:firstColumn="1" w:lastColumn="0" w:noHBand="0" w:noVBand="0"/>
      </w:tblPr>
      <w:tblGrid>
        <w:gridCol w:w="4672"/>
        <w:gridCol w:w="4672"/>
      </w:tblGrid>
      <w:tr w:rsidR="00C8372E" w:rsidRPr="00FA187B" w:rsidTr="00D02837">
        <w:tc>
          <w:tcPr>
            <w:tcW w:w="4672" w:type="dxa"/>
          </w:tcPr>
          <w:p w:rsidR="00C8372E" w:rsidRPr="00FA187B" w:rsidRDefault="00C8372E" w:rsidP="00C8372E">
            <w:pPr>
              <w:tabs>
                <w:tab w:val="left" w:pos="9072"/>
              </w:tabs>
              <w:jc w:val="center"/>
              <w:rPr>
                <w:b/>
                <w:sz w:val="22"/>
                <w:szCs w:val="22"/>
              </w:rPr>
            </w:pPr>
            <w:r w:rsidRPr="00FA187B">
              <w:rPr>
                <w:b/>
                <w:sz w:val="22"/>
                <w:szCs w:val="22"/>
              </w:rPr>
              <w:t>Старая редакция</w:t>
            </w:r>
          </w:p>
        </w:tc>
        <w:tc>
          <w:tcPr>
            <w:tcW w:w="4672" w:type="dxa"/>
          </w:tcPr>
          <w:p w:rsidR="00C8372E" w:rsidRPr="00FA187B" w:rsidRDefault="00C8372E" w:rsidP="00C8372E">
            <w:pPr>
              <w:tabs>
                <w:tab w:val="left" w:pos="9072"/>
              </w:tabs>
              <w:jc w:val="center"/>
              <w:rPr>
                <w:b/>
                <w:sz w:val="22"/>
                <w:szCs w:val="22"/>
              </w:rPr>
            </w:pPr>
            <w:r w:rsidRPr="00FA187B">
              <w:rPr>
                <w:b/>
                <w:sz w:val="22"/>
                <w:szCs w:val="22"/>
              </w:rPr>
              <w:t>Новая редакция</w:t>
            </w:r>
          </w:p>
        </w:tc>
      </w:tr>
      <w:tr w:rsidR="00710C5F" w:rsidRPr="00461593" w:rsidTr="00577AAE">
        <w:tblPrEx>
          <w:tblLook w:val="01E0" w:firstRow="1" w:lastRow="1" w:firstColumn="1" w:lastColumn="1" w:noHBand="0" w:noVBand="0"/>
        </w:tblPrEx>
        <w:trPr>
          <w:trHeight w:val="1481"/>
        </w:trPr>
        <w:tc>
          <w:tcPr>
            <w:tcW w:w="4672" w:type="dxa"/>
          </w:tcPr>
          <w:p w:rsidR="00BD4225" w:rsidRPr="00557EEB" w:rsidRDefault="00577AAE" w:rsidP="00577AAE">
            <w:pPr>
              <w:ind w:firstLine="567"/>
              <w:jc w:val="both"/>
              <w:rPr>
                <w:sz w:val="22"/>
                <w:szCs w:val="22"/>
              </w:rPr>
            </w:pPr>
            <w:r w:rsidRPr="008E732E">
              <w:rPr>
                <w:sz w:val="22"/>
                <w:szCs w:val="22"/>
              </w:rPr>
              <w:t xml:space="preserve">13. Полное фирменное наименование аудиторской организации Фонда – </w:t>
            </w:r>
            <w:r>
              <w:rPr>
                <w:sz w:val="22"/>
                <w:szCs w:val="22"/>
              </w:rPr>
              <w:t>Закрытое а</w:t>
            </w:r>
            <w:r w:rsidRPr="008E732E">
              <w:rPr>
                <w:sz w:val="22"/>
                <w:szCs w:val="22"/>
              </w:rPr>
              <w:t>кционерное общество Консультационная группа «Баланс» (далее – Аудиторская организация).</w:t>
            </w:r>
          </w:p>
          <w:p w:rsidR="00710C5F" w:rsidRPr="00557EEB" w:rsidRDefault="00710C5F" w:rsidP="00192997">
            <w:pPr>
              <w:ind w:firstLine="567"/>
              <w:jc w:val="both"/>
              <w:rPr>
                <w:sz w:val="22"/>
                <w:szCs w:val="22"/>
              </w:rPr>
            </w:pPr>
          </w:p>
        </w:tc>
        <w:tc>
          <w:tcPr>
            <w:tcW w:w="4672" w:type="dxa"/>
          </w:tcPr>
          <w:p w:rsidR="00577AAE" w:rsidRPr="00403CA9" w:rsidRDefault="00577AAE" w:rsidP="00577AAE">
            <w:pPr>
              <w:ind w:firstLine="567"/>
              <w:jc w:val="both"/>
              <w:rPr>
                <w:sz w:val="22"/>
                <w:szCs w:val="22"/>
              </w:rPr>
            </w:pPr>
            <w:r w:rsidRPr="008E732E">
              <w:rPr>
                <w:sz w:val="22"/>
                <w:szCs w:val="22"/>
              </w:rPr>
              <w:t xml:space="preserve">13. Полное фирменное наименование аудиторской организации Фонда – </w:t>
            </w:r>
            <w:r>
              <w:rPr>
                <w:sz w:val="22"/>
                <w:szCs w:val="22"/>
              </w:rPr>
              <w:t>А</w:t>
            </w:r>
            <w:r w:rsidRPr="008E732E">
              <w:rPr>
                <w:sz w:val="22"/>
                <w:szCs w:val="22"/>
              </w:rPr>
              <w:t>кционерное общество Консультационная группа «Баланс» (далее – Аудиторская организация).</w:t>
            </w:r>
          </w:p>
          <w:p w:rsidR="00710C5F" w:rsidRPr="00557EEB" w:rsidRDefault="00710C5F" w:rsidP="004A6789">
            <w:pPr>
              <w:ind w:firstLine="567"/>
              <w:jc w:val="both"/>
              <w:rPr>
                <w:sz w:val="22"/>
                <w:szCs w:val="22"/>
              </w:rPr>
            </w:pPr>
          </w:p>
        </w:tc>
      </w:tr>
      <w:tr w:rsidR="00577AAE" w:rsidRPr="00461593" w:rsidTr="00577AAE">
        <w:tblPrEx>
          <w:tblLook w:val="01E0" w:firstRow="1" w:lastRow="1" w:firstColumn="1" w:lastColumn="1" w:noHBand="0" w:noVBand="0"/>
        </w:tblPrEx>
        <w:trPr>
          <w:trHeight w:val="1155"/>
        </w:trPr>
        <w:tc>
          <w:tcPr>
            <w:tcW w:w="4672" w:type="dxa"/>
          </w:tcPr>
          <w:p w:rsidR="00577AAE" w:rsidRPr="00F8200E" w:rsidRDefault="00577AAE" w:rsidP="00431632">
            <w:pPr>
              <w:ind w:firstLine="567"/>
              <w:jc w:val="both"/>
              <w:rPr>
                <w:sz w:val="22"/>
                <w:szCs w:val="22"/>
              </w:rPr>
            </w:pPr>
            <w:r w:rsidRPr="00403CA9">
              <w:rPr>
                <w:sz w:val="22"/>
                <w:szCs w:val="22"/>
              </w:rPr>
              <w:t>1</w:t>
            </w:r>
            <w:r>
              <w:rPr>
                <w:sz w:val="22"/>
                <w:szCs w:val="22"/>
              </w:rPr>
              <w:t>4</w:t>
            </w:r>
            <w:r w:rsidRPr="00403CA9">
              <w:rPr>
                <w:sz w:val="22"/>
                <w:szCs w:val="22"/>
              </w:rPr>
              <w:t>. Место нахождения Аудитор</w:t>
            </w:r>
            <w:r>
              <w:rPr>
                <w:sz w:val="22"/>
                <w:szCs w:val="22"/>
              </w:rPr>
              <w:t>ской организации</w:t>
            </w:r>
            <w:r w:rsidRPr="00403CA9">
              <w:rPr>
                <w:sz w:val="22"/>
                <w:szCs w:val="22"/>
              </w:rPr>
              <w:t xml:space="preserve"> – </w:t>
            </w:r>
            <w:r w:rsidR="002E4F15">
              <w:t>630004</w:t>
            </w:r>
            <w:r>
              <w:t>, г. Новосибирск, ул.</w:t>
            </w:r>
            <w:r w:rsidR="002E4F15">
              <w:t xml:space="preserve"> Ленина, д.21/1, корп.2</w:t>
            </w:r>
          </w:p>
        </w:tc>
        <w:tc>
          <w:tcPr>
            <w:tcW w:w="4672" w:type="dxa"/>
          </w:tcPr>
          <w:p w:rsidR="00577AAE" w:rsidRPr="00F8200E" w:rsidRDefault="00577AAE" w:rsidP="00431632">
            <w:pPr>
              <w:ind w:firstLine="567"/>
              <w:jc w:val="both"/>
              <w:rPr>
                <w:sz w:val="22"/>
                <w:szCs w:val="22"/>
              </w:rPr>
            </w:pPr>
            <w:r w:rsidRPr="00403CA9">
              <w:rPr>
                <w:sz w:val="22"/>
                <w:szCs w:val="22"/>
              </w:rPr>
              <w:t>1</w:t>
            </w:r>
            <w:r>
              <w:rPr>
                <w:sz w:val="22"/>
                <w:szCs w:val="22"/>
              </w:rPr>
              <w:t>4</w:t>
            </w:r>
            <w:r w:rsidRPr="00403CA9">
              <w:rPr>
                <w:sz w:val="22"/>
                <w:szCs w:val="22"/>
              </w:rPr>
              <w:t>. Место нахождения Аудитор</w:t>
            </w:r>
            <w:r>
              <w:rPr>
                <w:sz w:val="22"/>
                <w:szCs w:val="22"/>
              </w:rPr>
              <w:t>ской организации</w:t>
            </w:r>
            <w:r w:rsidRPr="00403CA9">
              <w:rPr>
                <w:sz w:val="22"/>
                <w:szCs w:val="22"/>
              </w:rPr>
              <w:t xml:space="preserve"> – </w:t>
            </w:r>
            <w:r w:rsidRPr="00E316D7">
              <w:rPr>
                <w:color w:val="000000" w:themeColor="text1"/>
              </w:rPr>
              <w:t>Российская Федерация</w:t>
            </w:r>
            <w:r w:rsidRPr="00E316D7">
              <w:rPr>
                <w:rFonts w:ascii="Bookman Old Style" w:hAnsi="Bookman Old Style"/>
                <w:sz w:val="18"/>
                <w:szCs w:val="18"/>
              </w:rPr>
              <w:t>,</w:t>
            </w:r>
            <w:r>
              <w:t>630132, г. Новосибирск, ул. Железнодорожная, дом 12/1, подъезд 1, этаж 4</w:t>
            </w:r>
            <w:r w:rsidRPr="00E316D7">
              <w:t>.</w:t>
            </w:r>
          </w:p>
        </w:tc>
      </w:tr>
      <w:tr w:rsidR="00577AAE" w:rsidRPr="00461593" w:rsidTr="00577AAE">
        <w:tblPrEx>
          <w:tblLook w:val="01E0" w:firstRow="1" w:lastRow="1" w:firstColumn="1" w:lastColumn="1" w:noHBand="0" w:noVBand="0"/>
        </w:tblPrEx>
        <w:trPr>
          <w:trHeight w:val="1095"/>
        </w:trPr>
        <w:tc>
          <w:tcPr>
            <w:tcW w:w="4672" w:type="dxa"/>
          </w:tcPr>
          <w:p w:rsidR="00CD6F5E" w:rsidRPr="00015BD4" w:rsidRDefault="00CD6F5E" w:rsidP="00CD6F5E">
            <w:pPr>
              <w:ind w:firstLine="540"/>
              <w:jc w:val="both"/>
              <w:rPr>
                <w:sz w:val="22"/>
                <w:szCs w:val="22"/>
              </w:rPr>
            </w:pPr>
            <w:r>
              <w:rPr>
                <w:sz w:val="22"/>
                <w:szCs w:val="22"/>
              </w:rPr>
              <w:t>23</w:t>
            </w:r>
            <w:r w:rsidRPr="00403CA9">
              <w:rPr>
                <w:sz w:val="22"/>
                <w:szCs w:val="22"/>
              </w:rPr>
              <w:t xml:space="preserve">. </w:t>
            </w:r>
            <w:r w:rsidRPr="00015BD4">
              <w:rPr>
                <w:sz w:val="22"/>
                <w:szCs w:val="22"/>
              </w:rPr>
              <w:t>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CD6F5E" w:rsidRPr="00403CA9" w:rsidRDefault="00CD6F5E" w:rsidP="00CD6F5E">
            <w:pPr>
              <w:ind w:firstLine="540"/>
              <w:jc w:val="both"/>
              <w:rPr>
                <w:sz w:val="22"/>
                <w:szCs w:val="22"/>
              </w:rPr>
            </w:pPr>
            <w:r w:rsidRPr="00015BD4">
              <w:rPr>
                <w:sz w:val="22"/>
                <w:szCs w:val="22"/>
              </w:rPr>
              <w:t>Управляющая компания вправе заключать договоры (контракты), являющиеся производными финансовыми инструментами (далее – производные финансовые инструменты), предусмотренными Указанием Банка России от 16.02.2015 № 3565-У "О видах производных финансовых инструментов" при условии, что изменение стоимости производных финансовых инструментов зависит от величины процентных ставок, уровня инфляции, курсов валют.</w:t>
            </w:r>
            <w:r>
              <w:rPr>
                <w:sz w:val="22"/>
                <w:szCs w:val="22"/>
              </w:rPr>
              <w:t xml:space="preserve"> </w:t>
            </w:r>
          </w:p>
          <w:p w:rsidR="00577AAE" w:rsidRPr="00F8200E" w:rsidRDefault="00577AAE" w:rsidP="00431632">
            <w:pPr>
              <w:ind w:firstLine="567"/>
              <w:jc w:val="both"/>
              <w:rPr>
                <w:sz w:val="22"/>
                <w:szCs w:val="22"/>
              </w:rPr>
            </w:pPr>
          </w:p>
        </w:tc>
        <w:tc>
          <w:tcPr>
            <w:tcW w:w="4672" w:type="dxa"/>
          </w:tcPr>
          <w:p w:rsidR="00CD6F5E" w:rsidRPr="00015BD4" w:rsidRDefault="00CD6F5E" w:rsidP="00CD6F5E">
            <w:pPr>
              <w:ind w:firstLine="540"/>
              <w:jc w:val="both"/>
              <w:rPr>
                <w:sz w:val="22"/>
                <w:szCs w:val="22"/>
              </w:rPr>
            </w:pPr>
            <w:r>
              <w:rPr>
                <w:sz w:val="22"/>
                <w:szCs w:val="22"/>
              </w:rPr>
              <w:t>23</w:t>
            </w:r>
            <w:r w:rsidRPr="00403CA9">
              <w:rPr>
                <w:sz w:val="22"/>
                <w:szCs w:val="22"/>
              </w:rPr>
              <w:t xml:space="preserve">. </w:t>
            </w:r>
            <w:r w:rsidRPr="00015BD4">
              <w:rPr>
                <w:sz w:val="22"/>
                <w:szCs w:val="22"/>
              </w:rPr>
              <w:t>Инвестиционной политикой Управляющей компании является приобретение объектов недвижимого имущества с целью их последующей продажи</w:t>
            </w:r>
            <w:r>
              <w:rPr>
                <w:sz w:val="22"/>
                <w:szCs w:val="22"/>
              </w:rPr>
              <w:t xml:space="preserve">, </w:t>
            </w:r>
            <w:r>
              <w:t xml:space="preserve">изменения их профиля и последующей продажи и (или) </w:t>
            </w:r>
            <w:r w:rsidRPr="00015BD4">
              <w:rPr>
                <w:sz w:val="22"/>
                <w:szCs w:val="22"/>
              </w:rPr>
              <w:t>с целью сдачи их в аренду</w:t>
            </w:r>
            <w:r w:rsidRPr="009F4308">
              <w:rPr>
                <w:sz w:val="22"/>
                <w:szCs w:val="22"/>
              </w:rPr>
              <w:t xml:space="preserve">; </w:t>
            </w:r>
            <w:r>
              <w:rPr>
                <w:sz w:val="22"/>
                <w:szCs w:val="22"/>
              </w:rPr>
              <w:t>вложения</w:t>
            </w:r>
            <w:r w:rsidRPr="003F23CF">
              <w:rPr>
                <w:sz w:val="22"/>
                <w:szCs w:val="22"/>
              </w:rPr>
              <w:t xml:space="preserve"> в инструменты денежного рынка</w:t>
            </w:r>
            <w:r>
              <w:rPr>
                <w:sz w:val="22"/>
                <w:szCs w:val="22"/>
              </w:rPr>
              <w:t>.</w:t>
            </w:r>
          </w:p>
          <w:p w:rsidR="00CD6F5E" w:rsidRPr="00403CA9" w:rsidRDefault="00CD6F5E" w:rsidP="00CD6F5E">
            <w:pPr>
              <w:ind w:firstLine="540"/>
              <w:jc w:val="both"/>
              <w:rPr>
                <w:sz w:val="22"/>
                <w:szCs w:val="22"/>
              </w:rPr>
            </w:pPr>
            <w:r w:rsidRPr="00015BD4">
              <w:rPr>
                <w:sz w:val="22"/>
                <w:szCs w:val="22"/>
              </w:rPr>
              <w:t>Управляющая компания вправе заключать договоры (контракты), являющиеся производными финансовыми инструментами (далее – производные финансовые инструменты), предусмотренными Указанием Банка России от 16.02.2015 № 3565-У "О видах производных финансовых инструментов" при условии, что изменение стоимости производных финансовых инструментов зависит от величины процентных ставок, уровня инфляции, курсов валют.</w:t>
            </w:r>
            <w:r>
              <w:rPr>
                <w:sz w:val="22"/>
                <w:szCs w:val="22"/>
              </w:rPr>
              <w:t xml:space="preserve"> </w:t>
            </w:r>
          </w:p>
          <w:p w:rsidR="00577AAE" w:rsidRPr="00F8200E" w:rsidRDefault="00577AAE" w:rsidP="00431632">
            <w:pPr>
              <w:ind w:firstLine="567"/>
              <w:jc w:val="both"/>
              <w:rPr>
                <w:sz w:val="22"/>
                <w:szCs w:val="22"/>
              </w:rPr>
            </w:pPr>
          </w:p>
        </w:tc>
      </w:tr>
      <w:tr w:rsidR="00577AAE" w:rsidRPr="00461593" w:rsidTr="00577AAE">
        <w:tblPrEx>
          <w:tblLook w:val="01E0" w:firstRow="1" w:lastRow="1" w:firstColumn="1" w:lastColumn="1" w:noHBand="0" w:noVBand="0"/>
        </w:tblPrEx>
        <w:trPr>
          <w:trHeight w:val="1035"/>
        </w:trPr>
        <w:tc>
          <w:tcPr>
            <w:tcW w:w="4672" w:type="dxa"/>
          </w:tcPr>
          <w:p w:rsidR="00652F7D" w:rsidRPr="00403CA9" w:rsidRDefault="00652F7D" w:rsidP="00652F7D">
            <w:pPr>
              <w:ind w:firstLine="540"/>
              <w:jc w:val="both"/>
              <w:rPr>
                <w:sz w:val="22"/>
                <w:szCs w:val="22"/>
              </w:rPr>
            </w:pPr>
            <w:r w:rsidRPr="00403CA9">
              <w:rPr>
                <w:sz w:val="22"/>
                <w:szCs w:val="22"/>
              </w:rPr>
              <w:lastRenderedPageBreak/>
              <w:t>27. Описание рисков, связанных с инвестированием.</w:t>
            </w:r>
          </w:p>
          <w:p w:rsidR="00652F7D" w:rsidRPr="00403CA9" w:rsidRDefault="00652F7D" w:rsidP="00652F7D">
            <w:pPr>
              <w:ind w:firstLine="540"/>
              <w:jc w:val="both"/>
              <w:rPr>
                <w:sz w:val="22"/>
                <w:szCs w:val="22"/>
              </w:rPr>
            </w:pPr>
            <w:r w:rsidRPr="00403CA9">
              <w:rPr>
                <w:sz w:val="22"/>
                <w:szCs w:val="22"/>
              </w:rPr>
              <w:t xml:space="preserve">Инвестирование </w:t>
            </w:r>
            <w:r w:rsidRPr="00FD1DFA">
              <w:rPr>
                <w:sz w:val="22"/>
                <w:szCs w:val="22"/>
              </w:rPr>
              <w:t>в объекты, предусмотренные инвестиционной декларацией Фонда,</w:t>
            </w:r>
            <w:r w:rsidRPr="00403CA9">
              <w:rPr>
                <w:sz w:val="22"/>
                <w:szCs w:val="22"/>
              </w:rPr>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652F7D" w:rsidRPr="00403CA9" w:rsidRDefault="00652F7D" w:rsidP="00652F7D">
            <w:pPr>
              <w:ind w:firstLine="540"/>
              <w:jc w:val="both"/>
              <w:rPr>
                <w:sz w:val="22"/>
                <w:szCs w:val="22"/>
              </w:rPr>
            </w:pPr>
            <w:r w:rsidRPr="00403CA9">
              <w:rPr>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652F7D" w:rsidRPr="00403CA9" w:rsidRDefault="00652F7D" w:rsidP="00652F7D">
            <w:pPr>
              <w:ind w:firstLine="540"/>
              <w:jc w:val="both"/>
              <w:rPr>
                <w:sz w:val="22"/>
                <w:szCs w:val="22"/>
              </w:rPr>
            </w:pPr>
            <w:r w:rsidRPr="00403CA9">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652F7D" w:rsidRPr="00403CA9" w:rsidRDefault="00652F7D" w:rsidP="00652F7D">
            <w:pPr>
              <w:ind w:firstLine="540"/>
              <w:jc w:val="both"/>
              <w:rPr>
                <w:sz w:val="22"/>
                <w:szCs w:val="22"/>
              </w:rPr>
            </w:pPr>
            <w:r w:rsidRPr="00403CA9">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w:t>
            </w:r>
            <w:r>
              <w:rPr>
                <w:sz w:val="22"/>
                <w:szCs w:val="22"/>
              </w:rPr>
              <w:t>,</w:t>
            </w:r>
            <w:r w:rsidRPr="00403CA9">
              <w:rPr>
                <w:sz w:val="22"/>
                <w:szCs w:val="22"/>
              </w:rPr>
              <w:t xml:space="preserve">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652F7D" w:rsidRPr="00403CA9" w:rsidRDefault="00652F7D" w:rsidP="00652F7D">
            <w:pPr>
              <w:ind w:firstLine="540"/>
              <w:jc w:val="both"/>
              <w:rPr>
                <w:sz w:val="22"/>
                <w:szCs w:val="22"/>
              </w:rPr>
            </w:pPr>
            <w:r w:rsidRPr="00403CA9">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652F7D" w:rsidRPr="001D69B7" w:rsidRDefault="00652F7D" w:rsidP="00652F7D">
            <w:pPr>
              <w:ind w:firstLine="540"/>
              <w:jc w:val="both"/>
              <w:rPr>
                <w:sz w:val="22"/>
                <w:szCs w:val="22"/>
              </w:rPr>
            </w:pPr>
            <w:r w:rsidRPr="001D69B7">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факторами рыночного риска как самого производного финансового инструмента, так и базового актива, но не ограничивается данными факторами риска.</w:t>
            </w:r>
          </w:p>
          <w:p w:rsidR="00652F7D" w:rsidRDefault="00652F7D" w:rsidP="00652F7D">
            <w:pPr>
              <w:ind w:firstLine="540"/>
              <w:jc w:val="both"/>
              <w:rPr>
                <w:sz w:val="22"/>
                <w:szCs w:val="22"/>
              </w:rPr>
            </w:pPr>
            <w:r w:rsidRPr="001D69B7">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аналогичным образом связано с факторами рыночного риска как самого производного финансового инструмента, так и базового актива, но не ограничивается данными факторами риска.</w:t>
            </w:r>
          </w:p>
          <w:p w:rsidR="00652F7D" w:rsidRPr="00403CA9" w:rsidRDefault="00652F7D" w:rsidP="00652F7D">
            <w:pPr>
              <w:ind w:firstLine="540"/>
              <w:jc w:val="both"/>
              <w:rPr>
                <w:sz w:val="22"/>
                <w:szCs w:val="22"/>
              </w:rPr>
            </w:pPr>
            <w:r w:rsidRPr="00403CA9">
              <w:rPr>
                <w:sz w:val="22"/>
                <w:szCs w:val="22"/>
              </w:rPr>
              <w:lastRenderedPageBreak/>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w:t>
            </w:r>
            <w:r w:rsidRPr="001D69B7">
              <w:rPr>
                <w:sz w:val="22"/>
                <w:szCs w:val="22"/>
              </w:rPr>
              <w:t>, иные активы, предусмотренные настоящими Правилами,</w:t>
            </w:r>
            <w:r w:rsidRPr="00403CA9">
              <w:rPr>
                <w:sz w:val="22"/>
                <w:szCs w:val="22"/>
              </w:rPr>
              <w:t xml:space="preserve"> включают, но не ограничиваются следующими рисками:</w:t>
            </w:r>
          </w:p>
          <w:p w:rsidR="00652F7D" w:rsidRPr="00403CA9" w:rsidRDefault="00652F7D" w:rsidP="00652F7D">
            <w:pPr>
              <w:ind w:firstLine="540"/>
              <w:jc w:val="both"/>
              <w:rPr>
                <w:sz w:val="22"/>
                <w:szCs w:val="22"/>
              </w:rPr>
            </w:pPr>
            <w:r w:rsidRPr="00403CA9">
              <w:rPr>
                <w:sz w:val="22"/>
                <w:szCs w:val="22"/>
              </w:rPr>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652F7D" w:rsidRPr="00403CA9" w:rsidRDefault="00652F7D" w:rsidP="00652F7D">
            <w:pPr>
              <w:ind w:firstLine="540"/>
              <w:jc w:val="both"/>
              <w:rPr>
                <w:sz w:val="22"/>
                <w:szCs w:val="22"/>
              </w:rPr>
            </w:pPr>
            <w:r w:rsidRPr="00403CA9">
              <w:rPr>
                <w:sz w:val="22"/>
                <w:szCs w:val="22"/>
              </w:rPr>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652F7D" w:rsidRPr="00403CA9" w:rsidRDefault="00652F7D" w:rsidP="00652F7D">
            <w:pPr>
              <w:ind w:firstLine="540"/>
              <w:jc w:val="both"/>
              <w:rPr>
                <w:sz w:val="22"/>
                <w:szCs w:val="22"/>
              </w:rPr>
            </w:pPr>
            <w:r w:rsidRPr="00403CA9">
              <w:rPr>
                <w:sz w:val="22"/>
                <w:szCs w:val="22"/>
              </w:rPr>
              <w:t>- рыночный риск, связанный с колебаниями курсов валют, процентных ставок</w:t>
            </w:r>
            <w:r w:rsidRPr="001D69B7">
              <w:rPr>
                <w:sz w:val="22"/>
                <w:szCs w:val="22"/>
              </w:rPr>
              <w:t>, цен финансовых инструментов</w:t>
            </w:r>
            <w:r w:rsidRPr="00403CA9">
              <w:rPr>
                <w:sz w:val="22"/>
                <w:szCs w:val="22"/>
              </w:rPr>
              <w:t>;</w:t>
            </w:r>
          </w:p>
          <w:p w:rsidR="00652F7D" w:rsidRPr="00403CA9" w:rsidRDefault="00652F7D" w:rsidP="00652F7D">
            <w:pPr>
              <w:ind w:firstLine="540"/>
              <w:jc w:val="both"/>
              <w:rPr>
                <w:sz w:val="22"/>
                <w:szCs w:val="22"/>
              </w:rPr>
            </w:pPr>
            <w:r w:rsidRPr="00403CA9">
              <w:rPr>
                <w:sz w:val="22"/>
                <w:szCs w:val="22"/>
              </w:rPr>
              <w:t>- ценовой риск, проявляющийся в изменении цен на недвижимость и (или) права на недвижимость, изменении цен на ценные бумаги, которое может привести к падению стоимости активов Фонда;</w:t>
            </w:r>
          </w:p>
          <w:p w:rsidR="00652F7D" w:rsidRPr="00403CA9" w:rsidRDefault="00652F7D" w:rsidP="00652F7D">
            <w:pPr>
              <w:ind w:firstLine="540"/>
              <w:jc w:val="both"/>
              <w:rPr>
                <w:sz w:val="22"/>
                <w:szCs w:val="22"/>
              </w:rPr>
            </w:pPr>
            <w:r w:rsidRPr="00403CA9">
              <w:rPr>
                <w:sz w:val="22"/>
                <w:szCs w:val="22"/>
              </w:rPr>
              <w:t>- риск неправомочных действий в отношении ценных бумаг, недвижимого имущества и прав на него со стороны третьих лиц;</w:t>
            </w:r>
          </w:p>
          <w:p w:rsidR="00652F7D" w:rsidRPr="00403CA9" w:rsidRDefault="00652F7D" w:rsidP="00652F7D">
            <w:pPr>
              <w:ind w:firstLine="540"/>
              <w:jc w:val="both"/>
              <w:rPr>
                <w:sz w:val="22"/>
                <w:szCs w:val="22"/>
              </w:rPr>
            </w:pPr>
            <w:r w:rsidRPr="00403CA9">
              <w:rPr>
                <w:sz w:val="22"/>
                <w:szCs w:val="22"/>
              </w:rPr>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652F7D" w:rsidRPr="00403CA9" w:rsidRDefault="00652F7D" w:rsidP="00652F7D">
            <w:pPr>
              <w:ind w:firstLine="540"/>
              <w:jc w:val="both"/>
              <w:rPr>
                <w:sz w:val="22"/>
                <w:szCs w:val="22"/>
              </w:rPr>
            </w:pPr>
            <w:r w:rsidRPr="00403CA9">
              <w:rPr>
                <w:sz w:val="22"/>
                <w:szCs w:val="22"/>
              </w:rPr>
              <w:t>- риск рыночной ликвидности, связанный с потенциальной невозможностью реализовать активы по благоприятным ценам;</w:t>
            </w:r>
          </w:p>
          <w:p w:rsidR="00652F7D" w:rsidRPr="00403CA9" w:rsidRDefault="00652F7D" w:rsidP="00652F7D">
            <w:pPr>
              <w:ind w:firstLine="540"/>
              <w:jc w:val="both"/>
              <w:rPr>
                <w:sz w:val="22"/>
                <w:szCs w:val="22"/>
              </w:rPr>
            </w:pPr>
            <w:r w:rsidRPr="00403CA9">
              <w:rPr>
                <w:sz w:val="22"/>
                <w:szCs w:val="22"/>
              </w:rPr>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652F7D" w:rsidRPr="00403CA9" w:rsidRDefault="00652F7D" w:rsidP="00652F7D">
            <w:pPr>
              <w:ind w:firstLine="540"/>
              <w:jc w:val="both"/>
              <w:rPr>
                <w:sz w:val="22"/>
                <w:szCs w:val="22"/>
              </w:rPr>
            </w:pPr>
            <w:r w:rsidRPr="00403CA9">
              <w:rPr>
                <w:sz w:val="22"/>
                <w:szCs w:val="22"/>
              </w:rPr>
              <w:t>- риск, связанный с изменениями действующего законодательства;</w:t>
            </w:r>
          </w:p>
          <w:p w:rsidR="00652F7D" w:rsidRPr="00403CA9" w:rsidRDefault="00652F7D" w:rsidP="00652F7D">
            <w:pPr>
              <w:ind w:firstLine="540"/>
              <w:jc w:val="both"/>
              <w:rPr>
                <w:sz w:val="22"/>
                <w:szCs w:val="22"/>
              </w:rPr>
            </w:pPr>
            <w:r w:rsidRPr="00403CA9">
              <w:rPr>
                <w:sz w:val="22"/>
                <w:szCs w:val="22"/>
              </w:rPr>
              <w:t>- риск возникновения форс-мажорных обстоятельств, таких как природные катаклизмы и военные действия.</w:t>
            </w:r>
          </w:p>
          <w:p w:rsidR="00652F7D" w:rsidRPr="00403CA9" w:rsidRDefault="00652F7D" w:rsidP="00652F7D">
            <w:pPr>
              <w:ind w:firstLine="540"/>
              <w:jc w:val="both"/>
              <w:rPr>
                <w:sz w:val="22"/>
                <w:szCs w:val="22"/>
              </w:rPr>
            </w:pPr>
            <w:r w:rsidRPr="00403CA9">
              <w:rPr>
                <w:sz w:val="22"/>
                <w:szCs w:val="22"/>
              </w:rPr>
              <w:t xml:space="preserve">Общеизвестна прямая зависимость величин ожидаемой прибыли от уровня принимаемого риска. Оптимальное соотношение уровней риска и ожидаемой прибыли различно и зависит от целого ряда </w:t>
            </w:r>
            <w:r w:rsidRPr="00403CA9">
              <w:rPr>
                <w:sz w:val="22"/>
                <w:szCs w:val="22"/>
              </w:rPr>
              <w:lastRenderedPageBreak/>
              <w:t>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652F7D" w:rsidRPr="00403CA9" w:rsidRDefault="00652F7D" w:rsidP="00652F7D">
            <w:pPr>
              <w:ind w:firstLine="540"/>
              <w:jc w:val="both"/>
              <w:rPr>
                <w:sz w:val="22"/>
                <w:szCs w:val="22"/>
              </w:rPr>
            </w:pPr>
            <w:r w:rsidRPr="00403CA9">
              <w:rPr>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577AAE" w:rsidRPr="00F8200E" w:rsidRDefault="00577AAE" w:rsidP="00431632">
            <w:pPr>
              <w:ind w:firstLine="567"/>
              <w:jc w:val="both"/>
              <w:rPr>
                <w:sz w:val="22"/>
                <w:szCs w:val="22"/>
              </w:rPr>
            </w:pPr>
          </w:p>
        </w:tc>
        <w:tc>
          <w:tcPr>
            <w:tcW w:w="4672" w:type="dxa"/>
          </w:tcPr>
          <w:p w:rsidR="002E4F15" w:rsidRPr="00403CA9" w:rsidRDefault="002E4F15" w:rsidP="002E4F15">
            <w:pPr>
              <w:ind w:firstLine="540"/>
              <w:jc w:val="both"/>
              <w:rPr>
                <w:sz w:val="22"/>
                <w:szCs w:val="22"/>
              </w:rPr>
            </w:pPr>
            <w:r w:rsidRPr="00403CA9">
              <w:rPr>
                <w:sz w:val="22"/>
                <w:szCs w:val="22"/>
              </w:rPr>
              <w:lastRenderedPageBreak/>
              <w:t>27. Описание рисков, связанных с инвестированием.</w:t>
            </w:r>
          </w:p>
          <w:p w:rsidR="002E4F15" w:rsidRPr="00E316D7" w:rsidRDefault="002E4F15" w:rsidP="002E4F15">
            <w:pPr>
              <w:ind w:firstLine="709"/>
              <w:jc w:val="both"/>
              <w:rPr>
                <w:sz w:val="22"/>
                <w:szCs w:val="22"/>
              </w:rPr>
            </w:pPr>
            <w:r w:rsidRPr="00E316D7">
              <w:rPr>
                <w:sz w:val="22"/>
                <w:szCs w:val="22"/>
              </w:rPr>
              <w:t>Инвестирование в ценные бумаги, в недвижимое имущество и (или) в права на недвижимое имущество, финансовые инструменты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2E4F15" w:rsidRPr="00E316D7" w:rsidRDefault="002E4F15" w:rsidP="002E4F15">
            <w:pPr>
              <w:ind w:firstLine="709"/>
              <w:jc w:val="both"/>
              <w:rPr>
                <w:sz w:val="22"/>
                <w:szCs w:val="22"/>
              </w:rPr>
            </w:pPr>
            <w:r w:rsidRPr="00E316D7">
              <w:rPr>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E4F15" w:rsidRPr="00E316D7" w:rsidRDefault="002E4F15" w:rsidP="002E4F15">
            <w:pPr>
              <w:ind w:firstLine="540"/>
              <w:jc w:val="both"/>
              <w:rPr>
                <w:sz w:val="22"/>
                <w:szCs w:val="22"/>
              </w:rPr>
            </w:pPr>
            <w:r w:rsidRPr="00E316D7">
              <w:rPr>
                <w:sz w:val="22"/>
                <w:szCs w:val="22"/>
              </w:rPr>
              <w:t xml:space="preserve">Настоящее описание рисков не раскрывает информации обо всех рисках вследствие разнообразия ситуаций, возникающих при инвестировании. </w:t>
            </w:r>
          </w:p>
          <w:p w:rsidR="002E4F15" w:rsidRPr="00E316D7" w:rsidRDefault="002E4F15" w:rsidP="002E4F15">
            <w:pPr>
              <w:ind w:firstLine="540"/>
              <w:jc w:val="both"/>
              <w:rPr>
                <w:sz w:val="22"/>
                <w:szCs w:val="22"/>
              </w:rPr>
            </w:pPr>
            <w:r w:rsidRPr="00E316D7">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E4F15" w:rsidRPr="00E316D7" w:rsidRDefault="002E4F15" w:rsidP="002E4F15">
            <w:pPr>
              <w:ind w:firstLine="540"/>
              <w:jc w:val="both"/>
              <w:rPr>
                <w:sz w:val="22"/>
                <w:szCs w:val="22"/>
              </w:rPr>
            </w:pPr>
            <w:r w:rsidRPr="00E316D7">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E4F15" w:rsidRPr="00E316D7" w:rsidRDefault="002E4F15" w:rsidP="002E4F15">
            <w:pPr>
              <w:ind w:firstLine="540"/>
              <w:jc w:val="both"/>
              <w:rPr>
                <w:sz w:val="22"/>
                <w:szCs w:val="22"/>
              </w:rPr>
            </w:pPr>
            <w:r w:rsidRPr="00E316D7">
              <w:rPr>
                <w:sz w:val="22"/>
                <w:szCs w:val="22"/>
              </w:rPr>
              <w:t xml:space="preserve">Инвестор неизбежно сталкивается с необходимостью учитывать факторы риска самого различного свойства. </w:t>
            </w:r>
          </w:p>
          <w:p w:rsidR="002E4F15" w:rsidRDefault="002E4F15" w:rsidP="002E4F15">
            <w:pPr>
              <w:ind w:firstLine="540"/>
              <w:jc w:val="both"/>
              <w:rPr>
                <w:sz w:val="22"/>
                <w:szCs w:val="22"/>
              </w:rPr>
            </w:pPr>
            <w:r w:rsidRPr="00E316D7">
              <w:rPr>
                <w:sz w:val="22"/>
                <w:szCs w:val="22"/>
              </w:rPr>
              <w:t>Риски инвестирования в активы, указанные в инвестиционной декларации паевого инвестиционного фонда включают, но не ограничиваются следующими рисками:</w:t>
            </w:r>
          </w:p>
          <w:p w:rsidR="002E4F15" w:rsidRPr="003F1BE8" w:rsidRDefault="002E4F15" w:rsidP="002E4F15">
            <w:pPr>
              <w:ind w:firstLine="540"/>
              <w:jc w:val="both"/>
              <w:rPr>
                <w:sz w:val="22"/>
                <w:szCs w:val="22"/>
              </w:rPr>
            </w:pPr>
          </w:p>
          <w:p w:rsidR="002E4F15" w:rsidRPr="003F1BE8" w:rsidRDefault="002E4F15" w:rsidP="002E4F15">
            <w:pPr>
              <w:ind w:left="851"/>
              <w:contextualSpacing/>
              <w:rPr>
                <w:sz w:val="22"/>
                <w:szCs w:val="22"/>
              </w:rPr>
            </w:pPr>
            <w:r w:rsidRPr="003F1BE8">
              <w:rPr>
                <w:sz w:val="22"/>
                <w:szCs w:val="22"/>
              </w:rPr>
              <w:t xml:space="preserve">    А. Нефинансовые риски.</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К нефинансовым рискам, в том числе, могут быть отнесены следующие риски:</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w:t>
            </w:r>
            <w:r w:rsidRPr="003F1BE8">
              <w:rPr>
                <w:rFonts w:ascii="Times New Roman" w:hAnsi="Times New Roman"/>
                <w:sz w:val="22"/>
                <w:szCs w:val="22"/>
              </w:rPr>
              <w:lastRenderedPageBreak/>
              <w:t>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w:t>
            </w:r>
            <w:r w:rsidR="002C3E5B">
              <w:rPr>
                <w:rFonts w:ascii="Times New Roman" w:hAnsi="Times New Roman"/>
                <w:sz w:val="22"/>
                <w:szCs w:val="22"/>
              </w:rPr>
              <w:t>,</w:t>
            </w:r>
            <w:r w:rsidRPr="003F1BE8">
              <w:rPr>
                <w:rFonts w:ascii="Times New Roman" w:hAnsi="Times New Roman"/>
                <w:sz w:val="22"/>
                <w:szCs w:val="22"/>
              </w:rPr>
              <w:t xml:space="preserve">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lastRenderedPageBreak/>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F1BE8">
              <w:rPr>
                <w:rFonts w:ascii="Times New Roman" w:hAnsi="Times New Roman"/>
                <w:sz w:val="22"/>
                <w:szCs w:val="22"/>
              </w:rPr>
              <w:t>репутационные</w:t>
            </w:r>
            <w:proofErr w:type="spellEnd"/>
            <w:r w:rsidRPr="003F1BE8">
              <w:rPr>
                <w:rFonts w:ascii="Times New Roman" w:hAnsi="Times New Roman"/>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2E4F15" w:rsidRPr="003F1BE8" w:rsidRDefault="002E4F15" w:rsidP="002E4F15">
            <w:pPr>
              <w:contextualSpacing/>
              <w:jc w:val="both"/>
              <w:rPr>
                <w:sz w:val="22"/>
                <w:szCs w:val="22"/>
              </w:rPr>
            </w:pPr>
            <w:r w:rsidRPr="003F1BE8">
              <w:rPr>
                <w:sz w:val="22"/>
                <w:szCs w:val="22"/>
              </w:rPr>
              <w:t xml:space="preserve">                        </w:t>
            </w:r>
            <w:r w:rsidRPr="003F1BE8">
              <w:rPr>
                <w:sz w:val="22"/>
                <w:szCs w:val="22"/>
                <w:lang w:val="en-US"/>
              </w:rPr>
              <w:t>B</w:t>
            </w:r>
            <w:r w:rsidRPr="003F1BE8">
              <w:rPr>
                <w:sz w:val="22"/>
                <w:szCs w:val="22"/>
              </w:rPr>
              <w:t>. Финансовые риски.</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К финансовым рискам, в том числе, могут быть отнесены следующие риски:</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w:t>
            </w:r>
            <w:r w:rsidRPr="003F1BE8">
              <w:rPr>
                <w:rFonts w:ascii="Times New Roman" w:hAnsi="Times New Roman"/>
                <w:sz w:val="22"/>
                <w:szCs w:val="22"/>
              </w:rPr>
              <w:lastRenderedPageBreak/>
              <w:t>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2E4F15" w:rsidRPr="003F1BE8" w:rsidRDefault="002E4F15" w:rsidP="002E4F15">
            <w:pPr>
              <w:pStyle w:val="af6"/>
              <w:spacing w:before="80" w:after="80"/>
              <w:ind w:firstLine="709"/>
              <w:rPr>
                <w:rFonts w:ascii="Times New Roman" w:hAnsi="Times New Roman"/>
                <w:sz w:val="22"/>
                <w:szCs w:val="22"/>
              </w:rPr>
            </w:pPr>
            <w:r w:rsidRPr="003F1BE8">
              <w:rPr>
                <w:rFonts w:ascii="Times New Roman" w:hAnsi="Times New Roman"/>
                <w:sz w:val="22"/>
                <w:szCs w:val="22"/>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2E4F15" w:rsidRPr="003F1BE8" w:rsidRDefault="002E4F15" w:rsidP="002E4F15">
            <w:pPr>
              <w:pStyle w:val="af2"/>
              <w:numPr>
                <w:ilvl w:val="0"/>
                <w:numId w:val="14"/>
              </w:numPr>
              <w:spacing w:line="240" w:lineRule="auto"/>
              <w:ind w:left="426" w:hanging="426"/>
              <w:contextualSpacing/>
              <w:rPr>
                <w:rFonts w:ascii="Times New Roman" w:hAnsi="Times New Roman" w:cs="Times New Roman"/>
                <w:sz w:val="22"/>
                <w:szCs w:val="22"/>
              </w:rPr>
            </w:pPr>
            <w:r w:rsidRPr="003F1BE8">
              <w:rPr>
                <w:rFonts w:ascii="Times New Roman" w:hAnsi="Times New Roman" w:cs="Times New Roman"/>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E4F15" w:rsidRPr="003F1BE8" w:rsidRDefault="002E4F15" w:rsidP="002E4F15">
            <w:pPr>
              <w:pStyle w:val="af2"/>
              <w:numPr>
                <w:ilvl w:val="0"/>
                <w:numId w:val="14"/>
              </w:numPr>
              <w:spacing w:line="240" w:lineRule="auto"/>
              <w:ind w:left="426" w:hanging="426"/>
              <w:contextualSpacing/>
              <w:rPr>
                <w:rFonts w:ascii="Times New Roman" w:hAnsi="Times New Roman" w:cs="Times New Roman"/>
                <w:sz w:val="22"/>
                <w:szCs w:val="22"/>
              </w:rPr>
            </w:pPr>
            <w:r w:rsidRPr="003F1BE8">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2E4F15" w:rsidRPr="003F1BE8" w:rsidRDefault="002E4F15" w:rsidP="002E4F15">
            <w:pPr>
              <w:pStyle w:val="af2"/>
              <w:numPr>
                <w:ilvl w:val="0"/>
                <w:numId w:val="15"/>
              </w:numPr>
              <w:spacing w:line="240" w:lineRule="auto"/>
              <w:ind w:left="851"/>
              <w:contextualSpacing/>
              <w:rPr>
                <w:rFonts w:ascii="Times New Roman" w:hAnsi="Times New Roman" w:cs="Times New Roman"/>
                <w:sz w:val="22"/>
                <w:szCs w:val="22"/>
              </w:rPr>
            </w:pPr>
            <w:r w:rsidRPr="003F1BE8">
              <w:rPr>
                <w:rFonts w:ascii="Times New Roman" w:hAnsi="Times New Roman" w:cs="Times New Roman"/>
                <w:sz w:val="22"/>
                <w:szCs w:val="22"/>
              </w:rPr>
              <w:t xml:space="preserve">Кредитный риск, связанный с неисполнением должником своих </w:t>
            </w:r>
            <w:r w:rsidRPr="003F1BE8">
              <w:rPr>
                <w:rFonts w:ascii="Times New Roman" w:hAnsi="Times New Roman" w:cs="Times New Roman"/>
                <w:sz w:val="22"/>
                <w:szCs w:val="22"/>
              </w:rPr>
              <w:lastRenderedPageBreak/>
              <w:t>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2E4F15" w:rsidRPr="003F1BE8" w:rsidRDefault="002E4F15" w:rsidP="002E4F15">
            <w:pPr>
              <w:ind w:left="851"/>
              <w:jc w:val="both"/>
              <w:rPr>
                <w:sz w:val="22"/>
                <w:szCs w:val="22"/>
              </w:rPr>
            </w:pPr>
            <w:r w:rsidRPr="003F1BE8">
              <w:rPr>
                <w:sz w:val="22"/>
                <w:szCs w:val="22"/>
              </w:rPr>
              <w:t>К числу кредитных рисков, в том числе, относятся:</w:t>
            </w:r>
          </w:p>
          <w:p w:rsidR="002E4F15" w:rsidRPr="003F1BE8" w:rsidRDefault="002E4F15" w:rsidP="002E4F15">
            <w:pPr>
              <w:pStyle w:val="af6"/>
              <w:spacing w:before="80"/>
              <w:ind w:left="851"/>
              <w:rPr>
                <w:rFonts w:ascii="Times New Roman" w:hAnsi="Times New Roman"/>
                <w:sz w:val="22"/>
                <w:szCs w:val="22"/>
              </w:rPr>
            </w:pPr>
            <w:r w:rsidRPr="003F1BE8">
              <w:rPr>
                <w:rFonts w:ascii="Times New Roman" w:hAnsi="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E4F15" w:rsidRPr="003F1BE8" w:rsidRDefault="002E4F15" w:rsidP="002E4F15">
            <w:pPr>
              <w:pStyle w:val="af6"/>
              <w:ind w:left="851"/>
              <w:rPr>
                <w:rFonts w:ascii="Times New Roman" w:hAnsi="Times New Roman"/>
                <w:sz w:val="22"/>
                <w:szCs w:val="22"/>
              </w:rPr>
            </w:pPr>
            <w:r w:rsidRPr="003F1BE8">
              <w:rPr>
                <w:rFonts w:ascii="Times New Roman" w:hAnsi="Times New Roman"/>
                <w:sz w:val="22"/>
                <w:szCs w:val="22"/>
              </w:rPr>
              <w:t>Инвестор несет риск дефолта в отношении активов, входящих в состав фонда.</w:t>
            </w:r>
          </w:p>
          <w:p w:rsidR="002E4F15" w:rsidRPr="003F1BE8" w:rsidRDefault="002E4F15" w:rsidP="002E4F15">
            <w:pPr>
              <w:pStyle w:val="af6"/>
              <w:ind w:left="851"/>
              <w:rPr>
                <w:rFonts w:ascii="Times New Roman" w:hAnsi="Times New Roman"/>
                <w:sz w:val="22"/>
                <w:szCs w:val="22"/>
              </w:rPr>
            </w:pPr>
            <w:r w:rsidRPr="003F1BE8">
              <w:rPr>
                <w:rFonts w:ascii="Times New Roman" w:hAnsi="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2E4F15" w:rsidRPr="003F1BE8" w:rsidRDefault="002E4F15" w:rsidP="002E4F15">
            <w:pPr>
              <w:spacing w:before="80" w:after="80"/>
              <w:ind w:left="851"/>
              <w:jc w:val="both"/>
              <w:rPr>
                <w:sz w:val="22"/>
                <w:szCs w:val="22"/>
              </w:rPr>
            </w:pPr>
            <w:r w:rsidRPr="003F1BE8">
              <w:rPr>
                <w:sz w:val="22"/>
                <w:szCs w:val="22"/>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E4F15" w:rsidRPr="003F1BE8" w:rsidRDefault="002E4F15" w:rsidP="002E4F15">
            <w:pPr>
              <w:pStyle w:val="af2"/>
              <w:numPr>
                <w:ilvl w:val="0"/>
                <w:numId w:val="15"/>
              </w:numPr>
              <w:spacing w:line="240" w:lineRule="auto"/>
              <w:ind w:left="851"/>
              <w:contextualSpacing/>
              <w:rPr>
                <w:rFonts w:ascii="Times New Roman" w:hAnsi="Times New Roman" w:cs="Times New Roman"/>
                <w:sz w:val="22"/>
                <w:szCs w:val="22"/>
              </w:rPr>
            </w:pPr>
            <w:r w:rsidRPr="003F1BE8">
              <w:rPr>
                <w:rFonts w:ascii="Times New Roman" w:hAnsi="Times New Roman" w:cs="Times New Roman"/>
                <w:sz w:val="22"/>
                <w:szCs w:val="22"/>
              </w:rPr>
              <w:t xml:space="preserve">Инвестированию в иностранные ценные бумаги присущи описанные выше риски со следующими особенностями. </w:t>
            </w:r>
          </w:p>
          <w:p w:rsidR="002E4F15" w:rsidRPr="003F1BE8" w:rsidRDefault="002E4F15" w:rsidP="002E4F15">
            <w:pPr>
              <w:pStyle w:val="af3"/>
              <w:tabs>
                <w:tab w:val="num" w:pos="284"/>
              </w:tabs>
              <w:spacing w:after="0"/>
              <w:ind w:left="851"/>
              <w:jc w:val="both"/>
              <w:rPr>
                <w:sz w:val="22"/>
                <w:szCs w:val="22"/>
              </w:rPr>
            </w:pPr>
            <w:r w:rsidRPr="003F1B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2E4F15" w:rsidRPr="003F1BE8" w:rsidRDefault="002E4F15" w:rsidP="002E4F15">
            <w:pPr>
              <w:ind w:left="851"/>
              <w:jc w:val="both"/>
              <w:rPr>
                <w:sz w:val="22"/>
                <w:szCs w:val="22"/>
              </w:rPr>
            </w:pPr>
            <w:r w:rsidRPr="003F1BE8">
              <w:rPr>
                <w:sz w:val="22"/>
                <w:szCs w:val="22"/>
              </w:rPr>
              <w:lastRenderedPageBreak/>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E4F15" w:rsidRDefault="002E4F15" w:rsidP="002E4F15">
            <w:pPr>
              <w:ind w:left="851"/>
              <w:jc w:val="both"/>
              <w:rPr>
                <w:sz w:val="22"/>
                <w:szCs w:val="22"/>
              </w:rPr>
            </w:pPr>
            <w:r w:rsidRPr="003F1BE8">
              <w:rPr>
                <w:sz w:val="22"/>
                <w:szCs w:val="22"/>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rsidR="004179F3" w:rsidRDefault="004179F3" w:rsidP="004179F3">
            <w:pPr>
              <w:spacing w:after="12" w:line="22" w:lineRule="atLeast"/>
              <w:ind w:firstLine="284"/>
              <w:jc w:val="both"/>
              <w:rPr>
                <w:sz w:val="22"/>
                <w:szCs w:val="22"/>
              </w:rPr>
            </w:pPr>
            <w:r>
              <w:rPr>
                <w:sz w:val="22"/>
                <w:szCs w:val="22"/>
              </w:rPr>
              <w:t xml:space="preserve">          </w:t>
            </w:r>
            <w:r w:rsidRPr="004179F3">
              <w:rPr>
                <w:sz w:val="22"/>
                <w:szCs w:val="22"/>
              </w:rPr>
              <w:t>Инвестирование в производные</w:t>
            </w:r>
          </w:p>
          <w:p w:rsidR="004179F3" w:rsidRDefault="004179F3" w:rsidP="004179F3">
            <w:pPr>
              <w:spacing w:after="12" w:line="22" w:lineRule="atLeast"/>
              <w:ind w:firstLine="284"/>
              <w:jc w:val="both"/>
              <w:rPr>
                <w:sz w:val="22"/>
                <w:szCs w:val="22"/>
              </w:rPr>
            </w:pPr>
            <w:r>
              <w:rPr>
                <w:sz w:val="22"/>
                <w:szCs w:val="22"/>
              </w:rPr>
              <w:t xml:space="preserve">        </w:t>
            </w:r>
            <w:r w:rsidRPr="004179F3">
              <w:rPr>
                <w:sz w:val="22"/>
                <w:szCs w:val="22"/>
              </w:rPr>
              <w:t xml:space="preserve"> </w:t>
            </w:r>
            <w:r>
              <w:rPr>
                <w:sz w:val="22"/>
                <w:szCs w:val="22"/>
              </w:rPr>
              <w:t xml:space="preserve"> </w:t>
            </w:r>
            <w:r w:rsidRPr="004179F3">
              <w:rPr>
                <w:sz w:val="22"/>
                <w:szCs w:val="22"/>
              </w:rPr>
              <w:t>финансовые инструменты, как</w:t>
            </w:r>
          </w:p>
          <w:p w:rsidR="004179F3" w:rsidRDefault="004179F3" w:rsidP="004179F3">
            <w:pPr>
              <w:spacing w:after="12" w:line="22" w:lineRule="atLeast"/>
              <w:ind w:firstLine="284"/>
              <w:jc w:val="both"/>
              <w:rPr>
                <w:sz w:val="22"/>
                <w:szCs w:val="22"/>
              </w:rPr>
            </w:pPr>
            <w:r>
              <w:rPr>
                <w:sz w:val="22"/>
                <w:szCs w:val="22"/>
              </w:rPr>
              <w:t xml:space="preserve">        </w:t>
            </w:r>
            <w:r w:rsidRPr="004179F3">
              <w:rPr>
                <w:sz w:val="22"/>
                <w:szCs w:val="22"/>
              </w:rPr>
              <w:t xml:space="preserve"> </w:t>
            </w:r>
            <w:r>
              <w:rPr>
                <w:sz w:val="22"/>
                <w:szCs w:val="22"/>
              </w:rPr>
              <w:t xml:space="preserve"> </w:t>
            </w:r>
            <w:r w:rsidRPr="004179F3">
              <w:rPr>
                <w:sz w:val="22"/>
                <w:szCs w:val="22"/>
              </w:rPr>
              <w:t>правило, связано с большим   уровнем</w:t>
            </w:r>
          </w:p>
          <w:p w:rsidR="004179F3" w:rsidRDefault="004179F3" w:rsidP="004179F3">
            <w:pPr>
              <w:spacing w:after="12" w:line="22" w:lineRule="atLeast"/>
              <w:ind w:firstLine="284"/>
              <w:jc w:val="both"/>
              <w:rPr>
                <w:sz w:val="22"/>
                <w:szCs w:val="22"/>
              </w:rPr>
            </w:pPr>
            <w:r>
              <w:rPr>
                <w:sz w:val="22"/>
                <w:szCs w:val="22"/>
              </w:rPr>
              <w:t xml:space="preserve">         </w:t>
            </w:r>
            <w:r w:rsidRPr="004179F3">
              <w:rPr>
                <w:sz w:val="22"/>
                <w:szCs w:val="22"/>
              </w:rPr>
              <w:t xml:space="preserve"> риска и может быть сопряжено со</w:t>
            </w:r>
          </w:p>
          <w:p w:rsidR="004179F3" w:rsidRPr="004179F3" w:rsidRDefault="004179F3" w:rsidP="004179F3">
            <w:pPr>
              <w:spacing w:after="12" w:line="22" w:lineRule="atLeast"/>
              <w:ind w:firstLine="284"/>
              <w:jc w:val="both"/>
              <w:rPr>
                <w:sz w:val="22"/>
                <w:szCs w:val="22"/>
              </w:rPr>
            </w:pPr>
            <w:r>
              <w:rPr>
                <w:sz w:val="22"/>
                <w:szCs w:val="22"/>
              </w:rPr>
              <w:t xml:space="preserve">         </w:t>
            </w:r>
            <w:r w:rsidRPr="004179F3">
              <w:rPr>
                <w:sz w:val="22"/>
                <w:szCs w:val="22"/>
              </w:rPr>
              <w:t xml:space="preserve"> значительными убытками.</w:t>
            </w:r>
          </w:p>
          <w:p w:rsidR="004179F3" w:rsidRDefault="004179F3"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Pr="004179F3">
              <w:rPr>
                <w:rFonts w:ascii="Times New Roman" w:hAnsi="Times New Roman"/>
                <w:sz w:val="22"/>
                <w:szCs w:val="22"/>
              </w:rPr>
              <w:t xml:space="preserve">Так, при покупке опционного </w:t>
            </w:r>
          </w:p>
          <w:p w:rsidR="004179F3" w:rsidRDefault="004179F3"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Pr="004179F3">
              <w:rPr>
                <w:rFonts w:ascii="Times New Roman" w:hAnsi="Times New Roman"/>
                <w:sz w:val="22"/>
                <w:szCs w:val="22"/>
              </w:rPr>
              <w:t xml:space="preserve">контракта потери, в общем случае, не </w:t>
            </w:r>
          </w:p>
          <w:p w:rsidR="003A1511" w:rsidRDefault="004179F3"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Pr="004179F3">
              <w:rPr>
                <w:rFonts w:ascii="Times New Roman" w:hAnsi="Times New Roman"/>
                <w:sz w:val="22"/>
                <w:szCs w:val="22"/>
              </w:rPr>
              <w:t>превысят величину уплаченных</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премии, вознаграждения и расходов,</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связанных с их совершением. В то</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время как продажа опционных</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контрактов и заключение</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фьючерсных, форвардных и своп</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договоров (контрактов) при</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относительно небольших </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неблагоприятных колебаниях цен на</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рынке могут привести к значительным</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убыткам, а в случае продажи</w:t>
            </w:r>
          </w:p>
          <w:p w:rsidR="00590049"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590049">
              <w:rPr>
                <w:rFonts w:ascii="Times New Roman" w:hAnsi="Times New Roman"/>
                <w:sz w:val="22"/>
                <w:szCs w:val="22"/>
              </w:rPr>
              <w:t xml:space="preserve"> </w:t>
            </w:r>
            <w:r w:rsidR="004179F3" w:rsidRPr="004179F3">
              <w:rPr>
                <w:rFonts w:ascii="Times New Roman" w:hAnsi="Times New Roman"/>
                <w:sz w:val="22"/>
                <w:szCs w:val="22"/>
              </w:rPr>
              <w:t>фьючерсных и форвардных</w:t>
            </w:r>
          </w:p>
          <w:p w:rsidR="00590049" w:rsidRDefault="00590049" w:rsidP="00590049">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контрактов</w:t>
            </w:r>
            <w:r>
              <w:rPr>
                <w:rFonts w:ascii="Times New Roman" w:hAnsi="Times New Roman"/>
                <w:sz w:val="22"/>
                <w:szCs w:val="22"/>
              </w:rPr>
              <w:t xml:space="preserve"> </w:t>
            </w:r>
            <w:r w:rsidR="004179F3" w:rsidRPr="004179F3">
              <w:rPr>
                <w:rFonts w:ascii="Times New Roman" w:hAnsi="Times New Roman"/>
                <w:sz w:val="22"/>
                <w:szCs w:val="22"/>
              </w:rPr>
              <w:t>и продажи опционов на</w:t>
            </w:r>
          </w:p>
          <w:p w:rsidR="003A1511" w:rsidRDefault="00590049" w:rsidP="00590049">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покупку</w:t>
            </w:r>
            <w:r>
              <w:rPr>
                <w:rFonts w:ascii="Times New Roman" w:hAnsi="Times New Roman"/>
                <w:sz w:val="22"/>
                <w:szCs w:val="22"/>
              </w:rPr>
              <w:t xml:space="preserve"> </w:t>
            </w:r>
            <w:r w:rsidR="004179F3" w:rsidRPr="004179F3">
              <w:rPr>
                <w:rFonts w:ascii="Times New Roman" w:hAnsi="Times New Roman"/>
                <w:sz w:val="22"/>
                <w:szCs w:val="22"/>
              </w:rPr>
              <w:t>(опционов «</w:t>
            </w:r>
            <w:proofErr w:type="spellStart"/>
            <w:r w:rsidR="004179F3" w:rsidRPr="004179F3">
              <w:rPr>
                <w:rFonts w:ascii="Times New Roman" w:hAnsi="Times New Roman"/>
                <w:sz w:val="22"/>
                <w:szCs w:val="22"/>
              </w:rPr>
              <w:t>колл</w:t>
            </w:r>
            <w:proofErr w:type="spellEnd"/>
            <w:r w:rsidR="004179F3" w:rsidRPr="004179F3">
              <w:rPr>
                <w:rFonts w:ascii="Times New Roman" w:hAnsi="Times New Roman"/>
                <w:sz w:val="22"/>
                <w:szCs w:val="22"/>
              </w:rPr>
              <w:t>») – к</w:t>
            </w:r>
          </w:p>
          <w:p w:rsidR="004179F3" w:rsidRPr="004179F3"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неограниченным убыткам.</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Помимо общего рыночного риска при</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совершении операции на рынке</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ценных бумаг, в случае совершения</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 xml:space="preserve">операций с производными </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финансовыми инструментами</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возможен риск неблагоприятного</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изменения цены как финансовых</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 xml:space="preserve">инструментов, являющихся базисным </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активом производных финансовых</w:t>
            </w:r>
          </w:p>
          <w:p w:rsidR="003A1511" w:rsidRDefault="003A1511" w:rsidP="004179F3">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инструментов, так и риск в отношении</w:t>
            </w:r>
          </w:p>
          <w:p w:rsidR="00FB5BCB" w:rsidRDefault="003A1511" w:rsidP="003A1511">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sidR="00FB5BCB">
              <w:rPr>
                <w:rFonts w:ascii="Times New Roman" w:hAnsi="Times New Roman"/>
                <w:sz w:val="22"/>
                <w:szCs w:val="22"/>
              </w:rPr>
              <w:t xml:space="preserve"> </w:t>
            </w:r>
            <w:r w:rsidR="004179F3" w:rsidRPr="004179F3">
              <w:rPr>
                <w:rFonts w:ascii="Times New Roman" w:hAnsi="Times New Roman"/>
                <w:sz w:val="22"/>
                <w:szCs w:val="22"/>
              </w:rPr>
              <w:t>активов, которые служат</w:t>
            </w:r>
          </w:p>
          <w:p w:rsidR="00FB5BCB"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Pr>
                <w:rFonts w:ascii="Times New Roman" w:hAnsi="Times New Roman"/>
                <w:sz w:val="22"/>
                <w:szCs w:val="22"/>
              </w:rPr>
              <w:t xml:space="preserve"> </w:t>
            </w:r>
            <w:r w:rsidR="004179F3" w:rsidRPr="004179F3">
              <w:rPr>
                <w:rFonts w:ascii="Times New Roman" w:hAnsi="Times New Roman"/>
                <w:sz w:val="22"/>
                <w:szCs w:val="22"/>
              </w:rPr>
              <w:t>обеспечением.</w:t>
            </w:r>
            <w:r>
              <w:rPr>
                <w:rFonts w:ascii="Times New Roman" w:hAnsi="Times New Roman"/>
                <w:sz w:val="22"/>
                <w:szCs w:val="22"/>
              </w:rPr>
              <w:t xml:space="preserve"> </w:t>
            </w:r>
            <w:r w:rsidR="004179F3" w:rsidRPr="004179F3">
              <w:rPr>
                <w:rFonts w:ascii="Times New Roman" w:hAnsi="Times New Roman"/>
                <w:sz w:val="22"/>
                <w:szCs w:val="22"/>
              </w:rPr>
              <w:t xml:space="preserve">В случае </w:t>
            </w:r>
          </w:p>
          <w:p w:rsidR="00FB5BCB"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неблагоприятного изменения цены</w:t>
            </w:r>
          </w:p>
          <w:p w:rsidR="00FB5BCB"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Pr>
                <w:rFonts w:ascii="Times New Roman" w:hAnsi="Times New Roman"/>
                <w:sz w:val="22"/>
                <w:szCs w:val="22"/>
              </w:rPr>
              <w:t xml:space="preserve">  </w:t>
            </w:r>
            <w:r w:rsidR="004179F3" w:rsidRPr="004179F3">
              <w:rPr>
                <w:rFonts w:ascii="Times New Roman" w:hAnsi="Times New Roman"/>
                <w:sz w:val="22"/>
                <w:szCs w:val="22"/>
              </w:rPr>
              <w:t>фонд может в сравнительно короткий</w:t>
            </w:r>
          </w:p>
          <w:p w:rsidR="00FB5BCB"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Pr>
                <w:rFonts w:ascii="Times New Roman" w:hAnsi="Times New Roman"/>
                <w:sz w:val="22"/>
                <w:szCs w:val="22"/>
              </w:rPr>
              <w:t xml:space="preserve"> </w:t>
            </w:r>
            <w:r w:rsidR="004179F3" w:rsidRPr="004179F3">
              <w:rPr>
                <w:rFonts w:ascii="Times New Roman" w:hAnsi="Times New Roman"/>
                <w:sz w:val="22"/>
                <w:szCs w:val="22"/>
              </w:rPr>
              <w:t>срок потерять средства, являющиеся</w:t>
            </w:r>
          </w:p>
          <w:p w:rsidR="00FB5BCB"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Pr>
                <w:rFonts w:ascii="Times New Roman" w:hAnsi="Times New Roman"/>
                <w:sz w:val="22"/>
                <w:szCs w:val="22"/>
              </w:rPr>
              <w:t xml:space="preserve"> </w:t>
            </w:r>
            <w:r w:rsidR="004179F3" w:rsidRPr="004179F3">
              <w:rPr>
                <w:rFonts w:ascii="Times New Roman" w:hAnsi="Times New Roman"/>
                <w:sz w:val="22"/>
                <w:szCs w:val="22"/>
              </w:rPr>
              <w:t>обеспечением по производному</w:t>
            </w:r>
          </w:p>
          <w:p w:rsidR="004179F3" w:rsidRPr="004179F3" w:rsidRDefault="00FB5BCB" w:rsidP="00FB5BCB">
            <w:pPr>
              <w:pStyle w:val="af6"/>
              <w:spacing w:after="12" w:line="22" w:lineRule="atLeast"/>
              <w:ind w:firstLine="284"/>
              <w:rPr>
                <w:rFonts w:ascii="Times New Roman" w:hAnsi="Times New Roman"/>
                <w:sz w:val="22"/>
                <w:szCs w:val="22"/>
              </w:rPr>
            </w:pPr>
            <w:r>
              <w:rPr>
                <w:rFonts w:ascii="Times New Roman" w:hAnsi="Times New Roman"/>
                <w:sz w:val="22"/>
                <w:szCs w:val="22"/>
              </w:rPr>
              <w:t xml:space="preserve">        </w:t>
            </w:r>
            <w:r w:rsidR="004179F3" w:rsidRPr="004179F3">
              <w:rPr>
                <w:rFonts w:ascii="Times New Roman" w:hAnsi="Times New Roman"/>
                <w:sz w:val="22"/>
                <w:szCs w:val="22"/>
              </w:rPr>
              <w:t xml:space="preserve"> </w:t>
            </w:r>
            <w:r>
              <w:rPr>
                <w:rFonts w:ascii="Times New Roman" w:hAnsi="Times New Roman"/>
                <w:sz w:val="22"/>
                <w:szCs w:val="22"/>
              </w:rPr>
              <w:t xml:space="preserve"> </w:t>
            </w:r>
            <w:r w:rsidR="004179F3" w:rsidRPr="004179F3">
              <w:rPr>
                <w:rFonts w:ascii="Times New Roman" w:hAnsi="Times New Roman"/>
                <w:sz w:val="22"/>
                <w:szCs w:val="22"/>
              </w:rPr>
              <w:t>финансовому инструменту.</w:t>
            </w:r>
          </w:p>
          <w:p w:rsidR="00FB5BCB" w:rsidRDefault="00FB5BCB" w:rsidP="004179F3">
            <w:pPr>
              <w:spacing w:after="12" w:line="22" w:lineRule="atLeast"/>
              <w:ind w:firstLine="284"/>
              <w:jc w:val="both"/>
              <w:rPr>
                <w:sz w:val="22"/>
                <w:szCs w:val="22"/>
              </w:rPr>
            </w:pPr>
            <w:r>
              <w:rPr>
                <w:sz w:val="22"/>
                <w:szCs w:val="22"/>
              </w:rPr>
              <w:t xml:space="preserve">          </w:t>
            </w:r>
            <w:r w:rsidR="004179F3" w:rsidRPr="004179F3">
              <w:rPr>
                <w:sz w:val="22"/>
                <w:szCs w:val="22"/>
              </w:rPr>
              <w:t>Применительно к таким инструментам</w:t>
            </w:r>
          </w:p>
          <w:p w:rsidR="00FB5BCB" w:rsidRDefault="00FB5BCB" w:rsidP="004179F3">
            <w:pPr>
              <w:spacing w:after="12" w:line="22" w:lineRule="atLeast"/>
              <w:ind w:firstLine="284"/>
              <w:jc w:val="both"/>
              <w:rPr>
                <w:sz w:val="22"/>
                <w:szCs w:val="22"/>
              </w:rPr>
            </w:pPr>
            <w:r>
              <w:rPr>
                <w:sz w:val="22"/>
                <w:szCs w:val="22"/>
              </w:rPr>
              <w:t xml:space="preserve">        </w:t>
            </w:r>
            <w:r w:rsidR="004179F3" w:rsidRPr="004179F3">
              <w:rPr>
                <w:sz w:val="22"/>
                <w:szCs w:val="22"/>
              </w:rPr>
              <w:t xml:space="preserve"> </w:t>
            </w:r>
            <w:r w:rsidR="00590049">
              <w:rPr>
                <w:sz w:val="22"/>
                <w:szCs w:val="22"/>
              </w:rPr>
              <w:t xml:space="preserve"> </w:t>
            </w:r>
            <w:r w:rsidR="004179F3" w:rsidRPr="004179F3">
              <w:rPr>
                <w:sz w:val="22"/>
                <w:szCs w:val="22"/>
              </w:rPr>
              <w:t>стратегический риск, системный риск</w:t>
            </w:r>
          </w:p>
          <w:p w:rsidR="00FB5BCB" w:rsidRDefault="00FB5BCB" w:rsidP="004179F3">
            <w:pPr>
              <w:spacing w:after="12" w:line="22" w:lineRule="atLeast"/>
              <w:ind w:firstLine="284"/>
              <w:jc w:val="both"/>
              <w:rPr>
                <w:sz w:val="22"/>
                <w:szCs w:val="22"/>
              </w:rPr>
            </w:pPr>
            <w:r>
              <w:rPr>
                <w:sz w:val="22"/>
                <w:szCs w:val="22"/>
              </w:rPr>
              <w:t xml:space="preserve">        </w:t>
            </w:r>
            <w:r w:rsidR="00590049">
              <w:rPr>
                <w:sz w:val="22"/>
                <w:szCs w:val="22"/>
              </w:rPr>
              <w:t xml:space="preserve"> </w:t>
            </w:r>
            <w:r w:rsidR="004179F3" w:rsidRPr="004179F3">
              <w:rPr>
                <w:sz w:val="22"/>
                <w:szCs w:val="22"/>
              </w:rPr>
              <w:t xml:space="preserve"> и правовой риск, свойственные</w:t>
            </w:r>
          </w:p>
          <w:p w:rsidR="00FB5BCB" w:rsidRDefault="00FB5BCB" w:rsidP="004179F3">
            <w:pPr>
              <w:spacing w:after="12" w:line="22" w:lineRule="atLeast"/>
              <w:ind w:firstLine="284"/>
              <w:jc w:val="both"/>
              <w:rPr>
                <w:sz w:val="22"/>
                <w:szCs w:val="22"/>
              </w:rPr>
            </w:pPr>
            <w:r>
              <w:rPr>
                <w:sz w:val="22"/>
                <w:szCs w:val="22"/>
              </w:rPr>
              <w:t xml:space="preserve">        </w:t>
            </w:r>
            <w:r w:rsidR="00590049">
              <w:rPr>
                <w:sz w:val="22"/>
                <w:szCs w:val="22"/>
              </w:rPr>
              <w:t xml:space="preserve"> </w:t>
            </w:r>
            <w:r w:rsidR="004179F3" w:rsidRPr="004179F3">
              <w:rPr>
                <w:sz w:val="22"/>
                <w:szCs w:val="22"/>
              </w:rPr>
              <w:t xml:space="preserve"> российским рынкам, дополняются</w:t>
            </w:r>
          </w:p>
          <w:p w:rsidR="00590049" w:rsidRDefault="00FB5BCB" w:rsidP="004179F3">
            <w:pPr>
              <w:spacing w:after="12" w:line="22" w:lineRule="atLeast"/>
              <w:ind w:firstLine="284"/>
              <w:jc w:val="both"/>
              <w:rPr>
                <w:sz w:val="22"/>
                <w:szCs w:val="22"/>
              </w:rPr>
            </w:pPr>
            <w:r>
              <w:rPr>
                <w:sz w:val="22"/>
                <w:szCs w:val="22"/>
              </w:rPr>
              <w:t xml:space="preserve">      </w:t>
            </w:r>
            <w:r w:rsidR="00590049">
              <w:rPr>
                <w:sz w:val="22"/>
                <w:szCs w:val="22"/>
              </w:rPr>
              <w:t xml:space="preserve">   </w:t>
            </w:r>
            <w:r w:rsidR="004179F3" w:rsidRPr="004179F3">
              <w:rPr>
                <w:sz w:val="22"/>
                <w:szCs w:val="22"/>
              </w:rPr>
              <w:t xml:space="preserve"> аналогичными рисками,</w:t>
            </w:r>
          </w:p>
          <w:p w:rsidR="00590049" w:rsidRDefault="00590049" w:rsidP="00590049">
            <w:pPr>
              <w:spacing w:after="12" w:line="22" w:lineRule="atLeast"/>
              <w:ind w:firstLine="284"/>
              <w:jc w:val="both"/>
              <w:rPr>
                <w:sz w:val="22"/>
                <w:szCs w:val="22"/>
              </w:rPr>
            </w:pPr>
            <w:r>
              <w:rPr>
                <w:sz w:val="22"/>
                <w:szCs w:val="22"/>
              </w:rPr>
              <w:lastRenderedPageBreak/>
              <w:t xml:space="preserve">        </w:t>
            </w:r>
            <w:r w:rsidR="004179F3" w:rsidRPr="004179F3">
              <w:rPr>
                <w:sz w:val="22"/>
                <w:szCs w:val="22"/>
              </w:rPr>
              <w:t xml:space="preserve"> свойственными</w:t>
            </w:r>
            <w:r>
              <w:rPr>
                <w:sz w:val="22"/>
                <w:szCs w:val="22"/>
              </w:rPr>
              <w:t xml:space="preserve"> </w:t>
            </w:r>
            <w:r w:rsidR="004179F3" w:rsidRPr="004179F3">
              <w:rPr>
                <w:sz w:val="22"/>
                <w:szCs w:val="22"/>
              </w:rPr>
              <w:t>странам, где</w:t>
            </w:r>
          </w:p>
          <w:p w:rsidR="00590049" w:rsidRDefault="00590049" w:rsidP="00590049">
            <w:pPr>
              <w:spacing w:after="12" w:line="22" w:lineRule="atLeast"/>
              <w:ind w:firstLine="284"/>
              <w:jc w:val="both"/>
              <w:rPr>
                <w:sz w:val="22"/>
                <w:szCs w:val="22"/>
              </w:rPr>
            </w:pPr>
            <w:r>
              <w:rPr>
                <w:sz w:val="22"/>
                <w:szCs w:val="22"/>
              </w:rPr>
              <w:t xml:space="preserve">        </w:t>
            </w:r>
            <w:r w:rsidR="004179F3" w:rsidRPr="004179F3">
              <w:rPr>
                <w:sz w:val="22"/>
                <w:szCs w:val="22"/>
              </w:rPr>
              <w:t xml:space="preserve"> выпущены и (или) обращаются эти</w:t>
            </w:r>
          </w:p>
          <w:p w:rsidR="004179F3" w:rsidRPr="004179F3" w:rsidRDefault="00590049" w:rsidP="00590049">
            <w:pPr>
              <w:spacing w:after="12" w:line="22" w:lineRule="atLeast"/>
              <w:ind w:firstLine="284"/>
              <w:jc w:val="both"/>
              <w:rPr>
                <w:sz w:val="22"/>
                <w:szCs w:val="22"/>
              </w:rPr>
            </w:pPr>
            <w:r>
              <w:rPr>
                <w:sz w:val="22"/>
                <w:szCs w:val="22"/>
              </w:rPr>
              <w:t xml:space="preserve">        </w:t>
            </w:r>
            <w:r w:rsidR="004179F3" w:rsidRPr="004179F3">
              <w:rPr>
                <w:sz w:val="22"/>
                <w:szCs w:val="22"/>
              </w:rPr>
              <w:t xml:space="preserve"> активы.</w:t>
            </w:r>
          </w:p>
          <w:p w:rsidR="004179F3" w:rsidRPr="004179F3" w:rsidRDefault="004179F3" w:rsidP="004179F3">
            <w:pPr>
              <w:ind w:left="851"/>
              <w:jc w:val="both"/>
              <w:rPr>
                <w:sz w:val="22"/>
                <w:szCs w:val="22"/>
              </w:rPr>
            </w:pPr>
          </w:p>
          <w:p w:rsidR="002E4F15" w:rsidRPr="003F1BE8" w:rsidRDefault="002E4F15" w:rsidP="004179F3">
            <w:pPr>
              <w:ind w:firstLine="540"/>
              <w:jc w:val="both"/>
              <w:rPr>
                <w:sz w:val="22"/>
                <w:szCs w:val="22"/>
              </w:rPr>
            </w:pPr>
            <w:r w:rsidRPr="004179F3">
              <w:rPr>
                <w:sz w:val="22"/>
                <w:szCs w:val="22"/>
              </w:rPr>
              <w:t>Общеизвестна прямая зависимость величин ожидаемой прибыли от уровня принимаемого риска.</w:t>
            </w:r>
            <w:r w:rsidRPr="003F1BE8">
              <w:rPr>
                <w:sz w:val="22"/>
                <w:szCs w:val="22"/>
              </w:rPr>
              <w:t xml:space="preserve">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2E4F15" w:rsidRPr="00E316D7" w:rsidRDefault="002E4F15" w:rsidP="002E4F15">
            <w:pPr>
              <w:ind w:firstLine="540"/>
              <w:jc w:val="both"/>
              <w:rPr>
                <w:sz w:val="22"/>
                <w:szCs w:val="22"/>
              </w:rPr>
            </w:pPr>
            <w:r w:rsidRPr="003F1BE8">
              <w:rPr>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r w:rsidRPr="00E316D7">
              <w:rPr>
                <w:sz w:val="22"/>
                <w:szCs w:val="22"/>
              </w:rPr>
              <w:t>.</w:t>
            </w:r>
          </w:p>
          <w:p w:rsidR="00577AAE" w:rsidRPr="00F8200E" w:rsidRDefault="00577AAE" w:rsidP="00431632">
            <w:pPr>
              <w:ind w:firstLine="567"/>
              <w:jc w:val="both"/>
              <w:rPr>
                <w:sz w:val="22"/>
                <w:szCs w:val="22"/>
              </w:rPr>
            </w:pPr>
          </w:p>
        </w:tc>
      </w:tr>
      <w:tr w:rsidR="00577AAE" w:rsidRPr="00461593" w:rsidTr="00577AAE">
        <w:tblPrEx>
          <w:tblLook w:val="01E0" w:firstRow="1" w:lastRow="1" w:firstColumn="1" w:lastColumn="1" w:noHBand="0" w:noVBand="0"/>
        </w:tblPrEx>
        <w:trPr>
          <w:trHeight w:val="1035"/>
        </w:trPr>
        <w:tc>
          <w:tcPr>
            <w:tcW w:w="4672" w:type="dxa"/>
          </w:tcPr>
          <w:p w:rsidR="00652F7D" w:rsidRPr="00403CA9" w:rsidRDefault="00652F7D" w:rsidP="00652F7D">
            <w:pPr>
              <w:ind w:firstLine="567"/>
              <w:jc w:val="both"/>
              <w:rPr>
                <w:sz w:val="22"/>
                <w:szCs w:val="22"/>
              </w:rPr>
            </w:pPr>
            <w:r w:rsidRPr="00403CA9">
              <w:rPr>
                <w:sz w:val="22"/>
                <w:szCs w:val="22"/>
              </w:rPr>
              <w:lastRenderedPageBreak/>
              <w:t xml:space="preserve">36. Инвестиционный пай является именной ценной бумагой, удостоверяющей: </w:t>
            </w:r>
          </w:p>
          <w:p w:rsidR="00652F7D" w:rsidRPr="00403CA9" w:rsidRDefault="00652F7D" w:rsidP="00652F7D">
            <w:pPr>
              <w:ind w:firstLine="567"/>
              <w:jc w:val="both"/>
              <w:rPr>
                <w:sz w:val="22"/>
                <w:szCs w:val="22"/>
              </w:rPr>
            </w:pPr>
            <w:r w:rsidRPr="00403CA9">
              <w:rPr>
                <w:sz w:val="22"/>
                <w:szCs w:val="22"/>
              </w:rPr>
              <w:t>1) долю его владельца в праве собственности на имущество, составляющее Фонд;</w:t>
            </w:r>
          </w:p>
          <w:p w:rsidR="00652F7D" w:rsidRPr="00403CA9" w:rsidRDefault="00652F7D" w:rsidP="00652F7D">
            <w:pPr>
              <w:ind w:firstLine="567"/>
              <w:jc w:val="both"/>
              <w:rPr>
                <w:sz w:val="22"/>
                <w:szCs w:val="22"/>
              </w:rPr>
            </w:pPr>
            <w:r w:rsidRPr="00403CA9">
              <w:rPr>
                <w:sz w:val="22"/>
                <w:szCs w:val="22"/>
              </w:rPr>
              <w:t>2) право требовать от Управляющей компании надлежащего доверительного управления Фондом;</w:t>
            </w:r>
          </w:p>
          <w:p w:rsidR="00652F7D" w:rsidRPr="00403CA9" w:rsidRDefault="00652F7D" w:rsidP="00652F7D">
            <w:pPr>
              <w:ind w:firstLine="567"/>
              <w:jc w:val="both"/>
              <w:rPr>
                <w:sz w:val="22"/>
                <w:szCs w:val="22"/>
              </w:rPr>
            </w:pPr>
            <w:r w:rsidRPr="00403CA9">
              <w:rPr>
                <w:sz w:val="22"/>
                <w:szCs w:val="22"/>
              </w:rPr>
              <w:t>3) право на участие в общем собрании владельцев инвестиционных паев;</w:t>
            </w:r>
          </w:p>
          <w:p w:rsidR="00652F7D" w:rsidRPr="00C02D40" w:rsidRDefault="00652F7D" w:rsidP="00652F7D">
            <w:pPr>
              <w:pStyle w:val="af1"/>
              <w:shd w:val="clear" w:color="auto" w:fill="FFFFFF"/>
              <w:spacing w:before="0" w:after="0"/>
              <w:ind w:firstLine="540"/>
              <w:jc w:val="both"/>
              <w:rPr>
                <w:rFonts w:ascii="Times New Roman" w:hAnsi="Times New Roman" w:cs="Times New Roman"/>
                <w:color w:val="000000"/>
                <w:sz w:val="23"/>
                <w:szCs w:val="23"/>
                <w:lang w:val="ru-RU" w:eastAsia="ru-RU"/>
              </w:rPr>
            </w:pPr>
            <w:r w:rsidRPr="00C02D40">
              <w:rPr>
                <w:rFonts w:ascii="Times New Roman" w:hAnsi="Times New Roman" w:cs="Times New Roman"/>
                <w:sz w:val="22"/>
                <w:szCs w:val="22"/>
                <w:lang w:val="ru-RU"/>
              </w:rPr>
              <w:t xml:space="preserve"> </w:t>
            </w:r>
            <w:r w:rsidRPr="00C02D40">
              <w:rPr>
                <w:rFonts w:ascii="Times New Roman" w:hAnsi="Times New Roman" w:cs="Times New Roman"/>
                <w:color w:val="000000"/>
                <w:sz w:val="22"/>
                <w:szCs w:val="22"/>
                <w:lang w:val="ru-RU" w:eastAsia="ru-RU"/>
              </w:rPr>
              <w:t>4) право владельцев инвестиционных паев на получение дохода по инвестиционному паю;</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Доход по инвестиционным паям выплачивается владельцам инвестиционных паев раз в полгода.</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Под отчетными периодами понимаются следующие периоды:</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с 1 января по 30 июня;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с 1 июля по 31 декабря;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w:t>
            </w:r>
            <w:r>
              <w:rPr>
                <w:color w:val="000000"/>
                <w:sz w:val="22"/>
                <w:szCs w:val="22"/>
              </w:rPr>
              <w:t>периода</w:t>
            </w:r>
            <w:r w:rsidRPr="00C02D40">
              <w:rPr>
                <w:color w:val="000000"/>
                <w:sz w:val="22"/>
                <w:szCs w:val="22"/>
              </w:rPr>
              <w:t>.</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Выплата дохода осуществляется в течение 3 месяцев с даты окончания отчетного периода.</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lastRenderedPageBreak/>
              <w:t>Доход по инвестиционному паю определяется путем деления Дохода по всем инвестиционным паям, подлежащего выплате владельцам инвестиционных паев, на количество инвестиционных паев, указанное в реестре владельцев инвестиционных паев по состоянию на последний рабочий день отчетного года.</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xml:space="preserve">Доход по всем инвестиционным паям, подлежащий выплате владельцам инвестиционных паев, составляет </w:t>
            </w:r>
            <w:r w:rsidRPr="00236490">
              <w:rPr>
                <w:color w:val="000000"/>
                <w:sz w:val="22"/>
                <w:szCs w:val="22"/>
              </w:rPr>
              <w:t>9</w:t>
            </w:r>
            <w:r>
              <w:rPr>
                <w:color w:val="000000"/>
                <w:sz w:val="22"/>
                <w:szCs w:val="22"/>
              </w:rPr>
              <w:t>9</w:t>
            </w:r>
            <w:r w:rsidRPr="00C02D40">
              <w:rPr>
                <w:color w:val="000000"/>
                <w:sz w:val="22"/>
                <w:szCs w:val="22"/>
              </w:rPr>
              <w:t xml:space="preserve"> (</w:t>
            </w:r>
            <w:r w:rsidRPr="00236490">
              <w:rPr>
                <w:color w:val="000000"/>
                <w:sz w:val="22"/>
                <w:szCs w:val="22"/>
              </w:rPr>
              <w:t>Девяносто</w:t>
            </w:r>
            <w:r>
              <w:rPr>
                <w:color w:val="000000"/>
                <w:sz w:val="22"/>
                <w:szCs w:val="22"/>
              </w:rPr>
              <w:t xml:space="preserve"> девять</w:t>
            </w:r>
            <w:r w:rsidRPr="00C02D40">
              <w:rPr>
                <w:color w:val="000000"/>
                <w:sz w:val="22"/>
                <w:szCs w:val="22"/>
              </w:rPr>
              <w:t xml:space="preserve">) процентов от </w:t>
            </w:r>
            <w:r>
              <w:rPr>
                <w:color w:val="000000"/>
                <w:sz w:val="22"/>
                <w:szCs w:val="22"/>
              </w:rPr>
              <w:t xml:space="preserve">разницы между </w:t>
            </w:r>
            <w:r w:rsidRPr="00C02D40">
              <w:rPr>
                <w:color w:val="000000"/>
                <w:sz w:val="22"/>
                <w:szCs w:val="22"/>
              </w:rPr>
              <w:t>доход</w:t>
            </w:r>
            <w:r>
              <w:rPr>
                <w:color w:val="000000"/>
                <w:sz w:val="22"/>
                <w:szCs w:val="22"/>
              </w:rPr>
              <w:t>ом и расходом</w:t>
            </w:r>
            <w:r w:rsidRPr="00C02D40">
              <w:rPr>
                <w:color w:val="000000"/>
                <w:sz w:val="22"/>
                <w:szCs w:val="22"/>
              </w:rPr>
              <w:t xml:space="preserve"> от деятельности Фонда за отчетный период. Доход от деятельности Фонда за отчетный период определяется как сумма:</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доходов от сдачи объектов недвижимости в аренду;</w:t>
            </w:r>
          </w:p>
          <w:p w:rsidR="00652F7D" w:rsidRPr="00147E45" w:rsidRDefault="00652F7D" w:rsidP="00652F7D">
            <w:pPr>
              <w:shd w:val="clear" w:color="auto" w:fill="FFFFFF"/>
              <w:ind w:firstLine="540"/>
              <w:jc w:val="both"/>
              <w:rPr>
                <w:sz w:val="22"/>
                <w:szCs w:val="22"/>
              </w:rPr>
            </w:pPr>
            <w:r w:rsidRPr="00C02D40">
              <w:rPr>
                <w:color w:val="000000"/>
                <w:sz w:val="22"/>
                <w:szCs w:val="22"/>
              </w:rPr>
              <w:t xml:space="preserve">- доходов от реализации недвижимого имущества, прав аренды недвижимого имущества (далее – объекты </w:t>
            </w:r>
            <w:r w:rsidRPr="00147E45">
              <w:rPr>
                <w:sz w:val="22"/>
                <w:szCs w:val="22"/>
              </w:rPr>
              <w:t>инвестирования),</w:t>
            </w:r>
          </w:p>
          <w:p w:rsidR="00652F7D" w:rsidRPr="00147E45" w:rsidRDefault="00652F7D" w:rsidP="00652F7D">
            <w:pPr>
              <w:shd w:val="clear" w:color="auto" w:fill="FFFFFF"/>
              <w:ind w:firstLine="540"/>
              <w:jc w:val="both"/>
              <w:rPr>
                <w:sz w:val="23"/>
                <w:szCs w:val="23"/>
              </w:rPr>
            </w:pPr>
            <w:r w:rsidRPr="00147E45">
              <w:rPr>
                <w:sz w:val="22"/>
                <w:szCs w:val="22"/>
              </w:rPr>
              <w:t>- процентов, начисленных на остатки по расчетным счетам и по банковским вкладам (депозитам).</w:t>
            </w:r>
          </w:p>
          <w:p w:rsidR="00652F7D" w:rsidRPr="00147E45" w:rsidRDefault="00652F7D" w:rsidP="00652F7D">
            <w:pPr>
              <w:shd w:val="clear" w:color="auto" w:fill="FFFFFF"/>
              <w:ind w:firstLine="540"/>
              <w:jc w:val="both"/>
              <w:rPr>
                <w:sz w:val="23"/>
                <w:szCs w:val="23"/>
              </w:rPr>
            </w:pPr>
            <w:r w:rsidRPr="00147E45">
              <w:rPr>
                <w:sz w:val="22"/>
                <w:szCs w:val="22"/>
              </w:rPr>
              <w:t>Под доходом от реализации объектов инвестирования понимается положительная разница между суммой денежных средств (выручка) (без НДС), поступившей на расчетный счет Фонда:</w:t>
            </w:r>
          </w:p>
          <w:p w:rsidR="00652F7D" w:rsidRPr="00147E45" w:rsidRDefault="00652F7D" w:rsidP="00652F7D">
            <w:pPr>
              <w:shd w:val="clear" w:color="auto" w:fill="FFFFFF"/>
              <w:ind w:firstLine="540"/>
              <w:jc w:val="both"/>
              <w:rPr>
                <w:sz w:val="23"/>
                <w:szCs w:val="23"/>
              </w:rPr>
            </w:pPr>
            <w:r w:rsidRPr="00147E45">
              <w:rPr>
                <w:sz w:val="22"/>
                <w:szCs w:val="22"/>
              </w:rPr>
              <w:t>- в текущем отчетном периоде за реализованные в текущем отчетном периоде объекты инвестирования;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в предыдущих отчетных периодах (авансы) за реализованные в текущем отчетном периоде объекты инвестирования;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 в текущем отчетном периоде за реализованные в предыдущих отчетных периодах объекты инвестирования,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и суммой денежных средств, затраченных на приобретение объектов инвестирования.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Под доходом от сдачи объектов недвижимости в аренду</w:t>
            </w:r>
            <w:r>
              <w:rPr>
                <w:color w:val="000000"/>
                <w:sz w:val="22"/>
                <w:szCs w:val="22"/>
              </w:rPr>
              <w:t xml:space="preserve"> </w:t>
            </w:r>
            <w:r w:rsidRPr="00C02D40">
              <w:rPr>
                <w:color w:val="000000"/>
                <w:sz w:val="22"/>
                <w:szCs w:val="22"/>
              </w:rPr>
              <w:t xml:space="preserve">понимается сумма денежных средств (без НДС), поступившая на расчетный счет Фонда в текущем </w:t>
            </w:r>
            <w:r>
              <w:rPr>
                <w:color w:val="000000"/>
                <w:sz w:val="22"/>
                <w:szCs w:val="22"/>
              </w:rPr>
              <w:t>отчетном периоде</w:t>
            </w:r>
            <w:r w:rsidRPr="00C02D40">
              <w:rPr>
                <w:color w:val="000000"/>
                <w:sz w:val="22"/>
                <w:szCs w:val="22"/>
              </w:rPr>
              <w:t>, за исключением авансовых и гарантийных платежей, в соответствии с договорами аренды.</w:t>
            </w:r>
          </w:p>
          <w:p w:rsidR="00652F7D" w:rsidRDefault="00652F7D" w:rsidP="00652F7D">
            <w:pPr>
              <w:shd w:val="clear" w:color="auto" w:fill="FFFFFF"/>
              <w:ind w:firstLine="540"/>
              <w:jc w:val="both"/>
              <w:rPr>
                <w:color w:val="000000"/>
                <w:sz w:val="23"/>
                <w:szCs w:val="23"/>
              </w:rPr>
            </w:pPr>
            <w:r>
              <w:rPr>
                <w:color w:val="000000"/>
                <w:sz w:val="22"/>
                <w:szCs w:val="22"/>
              </w:rPr>
              <w:t>Расход от деятельности Фонда за отчетный период определяется как сумма:</w:t>
            </w:r>
          </w:p>
          <w:p w:rsidR="00652F7D" w:rsidRDefault="00652F7D" w:rsidP="00652F7D">
            <w:pPr>
              <w:shd w:val="clear" w:color="auto" w:fill="FFFFFF"/>
              <w:ind w:firstLine="540"/>
              <w:jc w:val="both"/>
              <w:rPr>
                <w:color w:val="000000"/>
                <w:sz w:val="23"/>
                <w:szCs w:val="23"/>
              </w:rPr>
            </w:pPr>
            <w:r>
              <w:rPr>
                <w:color w:val="000000"/>
                <w:sz w:val="22"/>
                <w:szCs w:val="22"/>
              </w:rPr>
              <w:t>- расходов, понесенных в соответствии с настоящими правилами доверительного управления;</w:t>
            </w:r>
          </w:p>
          <w:p w:rsidR="00652F7D" w:rsidRDefault="00652F7D" w:rsidP="00652F7D">
            <w:pPr>
              <w:shd w:val="clear" w:color="auto" w:fill="FFFFFF"/>
              <w:ind w:firstLine="540"/>
              <w:jc w:val="both"/>
              <w:rPr>
                <w:color w:val="000000"/>
                <w:sz w:val="23"/>
                <w:szCs w:val="23"/>
              </w:rPr>
            </w:pPr>
            <w:r>
              <w:rPr>
                <w:color w:val="000000"/>
                <w:sz w:val="22"/>
                <w:szCs w:val="22"/>
              </w:rPr>
              <w:t>- убытков от реализации недвижимого имущества, прав аренды недвижимого имущества (далее – объекты инвестирования);</w:t>
            </w:r>
          </w:p>
          <w:p w:rsidR="00652F7D" w:rsidRPr="00D94509" w:rsidRDefault="00652F7D" w:rsidP="00652F7D">
            <w:pPr>
              <w:shd w:val="clear" w:color="auto" w:fill="FFFFFF"/>
              <w:ind w:firstLine="540"/>
              <w:jc w:val="both"/>
              <w:rPr>
                <w:color w:val="000000"/>
                <w:sz w:val="22"/>
                <w:szCs w:val="22"/>
              </w:rPr>
            </w:pPr>
            <w:r>
              <w:rPr>
                <w:color w:val="000000"/>
                <w:sz w:val="22"/>
                <w:szCs w:val="22"/>
              </w:rPr>
              <w:t xml:space="preserve">Под расходами, понесенными в соответствии с настоящими правилами понимаются расходы, указанные в главе </w:t>
            </w:r>
            <w:r>
              <w:rPr>
                <w:color w:val="000000"/>
                <w:sz w:val="22"/>
                <w:szCs w:val="22"/>
                <w:lang w:val="en-US"/>
              </w:rPr>
              <w:t>XIII</w:t>
            </w:r>
            <w:r>
              <w:rPr>
                <w:color w:val="000000"/>
                <w:sz w:val="22"/>
                <w:szCs w:val="22"/>
              </w:rPr>
              <w:t xml:space="preserve"> настоящих правил;</w:t>
            </w:r>
          </w:p>
          <w:p w:rsidR="00652F7D" w:rsidRDefault="00652F7D" w:rsidP="00652F7D">
            <w:pPr>
              <w:shd w:val="clear" w:color="auto" w:fill="FFFFFF"/>
              <w:ind w:firstLine="540"/>
              <w:jc w:val="both"/>
              <w:rPr>
                <w:color w:val="000000"/>
                <w:sz w:val="23"/>
                <w:szCs w:val="23"/>
              </w:rPr>
            </w:pPr>
            <w:r>
              <w:rPr>
                <w:color w:val="000000"/>
                <w:sz w:val="22"/>
                <w:szCs w:val="22"/>
              </w:rPr>
              <w:lastRenderedPageBreak/>
              <w:t>Под убытком от реализации объектов инвестирования понимается отрицательная разница между суммой денежных средств (выручка) (без НДС), поступившей на расчетный счет Фонда:</w:t>
            </w:r>
          </w:p>
          <w:p w:rsidR="00652F7D" w:rsidRDefault="00652F7D" w:rsidP="00652F7D">
            <w:pPr>
              <w:shd w:val="clear" w:color="auto" w:fill="FFFFFF"/>
              <w:ind w:firstLine="540"/>
              <w:jc w:val="both"/>
              <w:rPr>
                <w:color w:val="000000"/>
                <w:sz w:val="23"/>
                <w:szCs w:val="23"/>
              </w:rPr>
            </w:pPr>
            <w:r>
              <w:rPr>
                <w:color w:val="000000"/>
                <w:sz w:val="22"/>
                <w:szCs w:val="22"/>
              </w:rPr>
              <w:t>- в текущем отчетном периоде за реализованные в текущем отчетном периоде объекты инвестирования;</w:t>
            </w:r>
          </w:p>
          <w:p w:rsidR="00652F7D" w:rsidRDefault="00652F7D" w:rsidP="00652F7D">
            <w:pPr>
              <w:shd w:val="clear" w:color="auto" w:fill="FFFFFF"/>
              <w:ind w:firstLine="540"/>
              <w:jc w:val="both"/>
              <w:rPr>
                <w:color w:val="000000"/>
                <w:sz w:val="23"/>
                <w:szCs w:val="23"/>
              </w:rPr>
            </w:pPr>
            <w:r>
              <w:rPr>
                <w:color w:val="000000"/>
                <w:sz w:val="22"/>
                <w:szCs w:val="22"/>
              </w:rPr>
              <w:t>- в предыдущих отчетных периодах (авансы) за реализованные в текущем отчетном периоде объекты инвестирования;</w:t>
            </w:r>
          </w:p>
          <w:p w:rsidR="00652F7D" w:rsidRDefault="00652F7D" w:rsidP="00652F7D">
            <w:pPr>
              <w:shd w:val="clear" w:color="auto" w:fill="FFFFFF"/>
              <w:ind w:firstLine="540"/>
              <w:jc w:val="both"/>
              <w:rPr>
                <w:color w:val="000000"/>
                <w:sz w:val="23"/>
                <w:szCs w:val="23"/>
              </w:rPr>
            </w:pPr>
            <w:r>
              <w:rPr>
                <w:color w:val="000000"/>
                <w:sz w:val="22"/>
                <w:szCs w:val="22"/>
              </w:rPr>
              <w:t>- в текущем отчетном периоде за реализованные в предыдущих отчетных периодах объекты инвестирования,</w:t>
            </w:r>
          </w:p>
          <w:p w:rsidR="00652F7D" w:rsidRDefault="00652F7D" w:rsidP="00652F7D">
            <w:pPr>
              <w:shd w:val="clear" w:color="auto" w:fill="FFFFFF"/>
              <w:ind w:firstLine="540"/>
              <w:jc w:val="both"/>
              <w:rPr>
                <w:color w:val="000000"/>
                <w:sz w:val="23"/>
                <w:szCs w:val="23"/>
              </w:rPr>
            </w:pPr>
            <w:r>
              <w:rPr>
                <w:color w:val="000000"/>
                <w:sz w:val="22"/>
                <w:szCs w:val="22"/>
              </w:rPr>
              <w:t>и суммой денежных средств, затраченных на приобретение объектов инвестирования.</w:t>
            </w:r>
          </w:p>
          <w:p w:rsidR="00652F7D" w:rsidRPr="00C02D40" w:rsidRDefault="00652F7D" w:rsidP="00652F7D">
            <w:pPr>
              <w:shd w:val="clear" w:color="auto" w:fill="FFFFFF"/>
              <w:ind w:firstLine="540"/>
              <w:jc w:val="both"/>
              <w:rPr>
                <w:color w:val="000000"/>
                <w:sz w:val="23"/>
                <w:szCs w:val="23"/>
              </w:rPr>
            </w:pPr>
            <w:r w:rsidRPr="00C02D40">
              <w:rPr>
                <w:color w:val="000000"/>
                <w:sz w:val="22"/>
                <w:szCs w:val="22"/>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EA60FE" w:rsidRPr="00403CA9" w:rsidRDefault="00EA60FE" w:rsidP="00EA60FE">
            <w:pPr>
              <w:shd w:val="clear" w:color="auto" w:fill="FFFFFF"/>
              <w:ind w:firstLine="540"/>
              <w:rPr>
                <w:sz w:val="22"/>
                <w:szCs w:val="22"/>
              </w:rPr>
            </w:pPr>
            <w:r w:rsidRPr="00C02D40">
              <w:rPr>
                <w:color w:val="000000"/>
                <w:sz w:val="22"/>
                <w:szCs w:val="22"/>
              </w:rPr>
              <w:t> </w:t>
            </w:r>
            <w:r>
              <w:rPr>
                <w:sz w:val="22"/>
                <w:szCs w:val="22"/>
              </w:rPr>
              <w:t xml:space="preserve">5) </w:t>
            </w:r>
            <w:r w:rsidRPr="00403CA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EA60FE" w:rsidRDefault="00EA60FE" w:rsidP="00EA60FE">
            <w:pPr>
              <w:ind w:firstLine="567"/>
              <w:jc w:val="both"/>
              <w:rPr>
                <w:sz w:val="22"/>
                <w:szCs w:val="22"/>
              </w:rPr>
            </w:pPr>
            <w:r>
              <w:rPr>
                <w:sz w:val="22"/>
                <w:szCs w:val="22"/>
              </w:rPr>
              <w:t>6</w:t>
            </w:r>
            <w:r w:rsidRPr="00403CA9">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577AAE" w:rsidRPr="00F8200E" w:rsidRDefault="00577AAE" w:rsidP="00431632">
            <w:pPr>
              <w:ind w:firstLine="567"/>
              <w:jc w:val="both"/>
              <w:rPr>
                <w:sz w:val="22"/>
                <w:szCs w:val="22"/>
              </w:rPr>
            </w:pPr>
          </w:p>
        </w:tc>
        <w:tc>
          <w:tcPr>
            <w:tcW w:w="4672" w:type="dxa"/>
          </w:tcPr>
          <w:p w:rsidR="00EA60FE" w:rsidRPr="00403CA9" w:rsidRDefault="00EA60FE" w:rsidP="00EA60FE">
            <w:pPr>
              <w:ind w:firstLine="567"/>
              <w:jc w:val="both"/>
              <w:rPr>
                <w:sz w:val="22"/>
                <w:szCs w:val="22"/>
              </w:rPr>
            </w:pPr>
            <w:r w:rsidRPr="00403CA9">
              <w:rPr>
                <w:sz w:val="22"/>
                <w:szCs w:val="22"/>
              </w:rPr>
              <w:lastRenderedPageBreak/>
              <w:t xml:space="preserve">36. Инвестиционный пай является именной ценной бумагой, удостоверяющей: </w:t>
            </w:r>
          </w:p>
          <w:p w:rsidR="00EA60FE" w:rsidRPr="00403CA9" w:rsidRDefault="00EA60FE" w:rsidP="00EA60FE">
            <w:pPr>
              <w:ind w:firstLine="567"/>
              <w:jc w:val="both"/>
              <w:rPr>
                <w:sz w:val="22"/>
                <w:szCs w:val="22"/>
              </w:rPr>
            </w:pPr>
            <w:r w:rsidRPr="00403CA9">
              <w:rPr>
                <w:sz w:val="22"/>
                <w:szCs w:val="22"/>
              </w:rPr>
              <w:t>1) долю его владельца в праве собственности на имущество, составляющее Фонд;</w:t>
            </w:r>
          </w:p>
          <w:p w:rsidR="00EA60FE" w:rsidRPr="00403CA9" w:rsidRDefault="00EA60FE" w:rsidP="00EA60FE">
            <w:pPr>
              <w:ind w:firstLine="567"/>
              <w:jc w:val="both"/>
              <w:rPr>
                <w:sz w:val="22"/>
                <w:szCs w:val="22"/>
              </w:rPr>
            </w:pPr>
            <w:r w:rsidRPr="00403CA9">
              <w:rPr>
                <w:sz w:val="22"/>
                <w:szCs w:val="22"/>
              </w:rPr>
              <w:t>2) право требовать от Управляющей компании надлежащего доверительного управления Фондом;</w:t>
            </w:r>
          </w:p>
          <w:p w:rsidR="00EA60FE" w:rsidRPr="00403CA9" w:rsidRDefault="00EA60FE" w:rsidP="00EA60FE">
            <w:pPr>
              <w:ind w:firstLine="567"/>
              <w:jc w:val="both"/>
              <w:rPr>
                <w:sz w:val="22"/>
                <w:szCs w:val="22"/>
              </w:rPr>
            </w:pPr>
            <w:r w:rsidRPr="00403CA9">
              <w:rPr>
                <w:sz w:val="22"/>
                <w:szCs w:val="22"/>
              </w:rPr>
              <w:t>3) право на участие в общем собрании владельцев инвестиционных паев;</w:t>
            </w:r>
          </w:p>
          <w:p w:rsidR="00EA60FE" w:rsidRPr="00C02D40" w:rsidRDefault="00EA60FE" w:rsidP="00EA60FE">
            <w:pPr>
              <w:pStyle w:val="af1"/>
              <w:shd w:val="clear" w:color="auto" w:fill="FFFFFF"/>
              <w:spacing w:before="0" w:after="0"/>
              <w:ind w:firstLine="540"/>
              <w:jc w:val="both"/>
              <w:rPr>
                <w:rFonts w:ascii="Times New Roman" w:hAnsi="Times New Roman" w:cs="Times New Roman"/>
                <w:color w:val="000000"/>
                <w:sz w:val="23"/>
                <w:szCs w:val="23"/>
                <w:lang w:val="ru-RU" w:eastAsia="ru-RU"/>
              </w:rPr>
            </w:pPr>
            <w:r w:rsidRPr="00C02D40">
              <w:rPr>
                <w:rFonts w:ascii="Times New Roman" w:hAnsi="Times New Roman" w:cs="Times New Roman"/>
                <w:sz w:val="22"/>
                <w:szCs w:val="22"/>
                <w:lang w:val="ru-RU"/>
              </w:rPr>
              <w:t xml:space="preserve"> </w:t>
            </w:r>
            <w:r w:rsidRPr="00C02D40">
              <w:rPr>
                <w:rFonts w:ascii="Times New Roman" w:hAnsi="Times New Roman" w:cs="Times New Roman"/>
                <w:color w:val="000000"/>
                <w:sz w:val="22"/>
                <w:szCs w:val="22"/>
                <w:lang w:val="ru-RU" w:eastAsia="ru-RU"/>
              </w:rPr>
              <w:t>4) право владельцев инвестиционных паев на получение дохода по инвестиционному паю;</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Доход по инвестиционным паям выплачивается владельцам инвестиционных паев раз в</w:t>
            </w:r>
            <w:r>
              <w:rPr>
                <w:color w:val="000000"/>
                <w:sz w:val="22"/>
                <w:szCs w:val="22"/>
              </w:rPr>
              <w:t xml:space="preserve"> квартал</w:t>
            </w:r>
            <w:r w:rsidRPr="00C02D40">
              <w:rPr>
                <w:color w:val="000000"/>
                <w:sz w:val="22"/>
                <w:szCs w:val="22"/>
              </w:rPr>
              <w:t>.</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Под отчетными периодами понимаются следующие периоды:</w:t>
            </w:r>
          </w:p>
          <w:p w:rsidR="00EA60FE" w:rsidRPr="001A4C63" w:rsidRDefault="00EA60FE" w:rsidP="00EA60FE">
            <w:pPr>
              <w:shd w:val="clear" w:color="auto" w:fill="FFFFFF"/>
              <w:ind w:firstLine="540"/>
              <w:jc w:val="both"/>
              <w:rPr>
                <w:color w:val="000000"/>
                <w:sz w:val="22"/>
                <w:szCs w:val="22"/>
              </w:rPr>
            </w:pPr>
            <w:r w:rsidRPr="00C02D40">
              <w:rPr>
                <w:color w:val="000000"/>
                <w:sz w:val="22"/>
                <w:szCs w:val="22"/>
              </w:rPr>
              <w:t xml:space="preserve">- с 1 января по </w:t>
            </w:r>
            <w:r>
              <w:rPr>
                <w:color w:val="000000"/>
                <w:sz w:val="22"/>
                <w:szCs w:val="22"/>
              </w:rPr>
              <w:t>31 марта</w:t>
            </w:r>
            <w:r w:rsidRPr="007D2C71">
              <w:rPr>
                <w:color w:val="000000"/>
                <w:sz w:val="22"/>
                <w:szCs w:val="22"/>
              </w:rPr>
              <w:t>;</w:t>
            </w:r>
          </w:p>
          <w:p w:rsidR="00EA60FE" w:rsidRPr="00C02D40" w:rsidRDefault="00EA60FE" w:rsidP="00EA60FE">
            <w:pPr>
              <w:shd w:val="clear" w:color="auto" w:fill="FFFFFF"/>
              <w:ind w:firstLine="540"/>
              <w:jc w:val="both"/>
              <w:rPr>
                <w:color w:val="000000"/>
                <w:sz w:val="23"/>
                <w:szCs w:val="23"/>
              </w:rPr>
            </w:pPr>
            <w:r w:rsidRPr="007D2C71">
              <w:rPr>
                <w:color w:val="000000"/>
                <w:sz w:val="22"/>
                <w:szCs w:val="22"/>
              </w:rPr>
              <w:t xml:space="preserve">- </w:t>
            </w:r>
            <w:r>
              <w:rPr>
                <w:color w:val="000000"/>
                <w:sz w:val="22"/>
                <w:szCs w:val="22"/>
                <w:lang w:val="en-US"/>
              </w:rPr>
              <w:t>c</w:t>
            </w:r>
            <w:r w:rsidRPr="007D2C71">
              <w:rPr>
                <w:color w:val="000000"/>
                <w:sz w:val="22"/>
                <w:szCs w:val="22"/>
              </w:rPr>
              <w:t xml:space="preserve"> 1 </w:t>
            </w:r>
            <w:r>
              <w:rPr>
                <w:color w:val="000000"/>
                <w:sz w:val="22"/>
                <w:szCs w:val="22"/>
              </w:rPr>
              <w:t xml:space="preserve">апреля по </w:t>
            </w:r>
            <w:r w:rsidRPr="00C02D40">
              <w:rPr>
                <w:color w:val="000000"/>
                <w:sz w:val="22"/>
                <w:szCs w:val="22"/>
              </w:rPr>
              <w:t>30 июня;</w:t>
            </w:r>
          </w:p>
          <w:p w:rsidR="00EA60FE" w:rsidRPr="001A4C63" w:rsidRDefault="00EA60FE" w:rsidP="00EA60FE">
            <w:pPr>
              <w:shd w:val="clear" w:color="auto" w:fill="FFFFFF"/>
              <w:ind w:firstLine="540"/>
              <w:jc w:val="both"/>
              <w:rPr>
                <w:color w:val="000000"/>
                <w:sz w:val="22"/>
                <w:szCs w:val="22"/>
              </w:rPr>
            </w:pPr>
            <w:r w:rsidRPr="00C02D40">
              <w:rPr>
                <w:color w:val="000000"/>
                <w:sz w:val="22"/>
                <w:szCs w:val="22"/>
              </w:rPr>
              <w:t xml:space="preserve">- с 1 июля по </w:t>
            </w:r>
            <w:r>
              <w:rPr>
                <w:color w:val="000000"/>
                <w:sz w:val="22"/>
                <w:szCs w:val="22"/>
              </w:rPr>
              <w:t>30 сентября</w:t>
            </w:r>
            <w:r w:rsidRPr="007D2C71">
              <w:rPr>
                <w:color w:val="000000"/>
                <w:sz w:val="22"/>
                <w:szCs w:val="22"/>
              </w:rPr>
              <w:t>;</w:t>
            </w:r>
          </w:p>
          <w:p w:rsidR="00EA60FE" w:rsidRPr="00C02D40" w:rsidRDefault="00EA60FE" w:rsidP="00EA60FE">
            <w:pPr>
              <w:shd w:val="clear" w:color="auto" w:fill="FFFFFF"/>
              <w:ind w:firstLine="540"/>
              <w:jc w:val="both"/>
              <w:rPr>
                <w:color w:val="000000"/>
                <w:sz w:val="23"/>
                <w:szCs w:val="23"/>
              </w:rPr>
            </w:pPr>
            <w:r>
              <w:rPr>
                <w:color w:val="000000"/>
                <w:sz w:val="22"/>
                <w:szCs w:val="22"/>
              </w:rPr>
              <w:t xml:space="preserve">- с 1 октября по </w:t>
            </w:r>
            <w:r w:rsidRPr="00C02D40">
              <w:rPr>
                <w:color w:val="000000"/>
                <w:sz w:val="22"/>
                <w:szCs w:val="22"/>
              </w:rPr>
              <w:t>31 декабря;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w:t>
            </w:r>
            <w:r>
              <w:rPr>
                <w:color w:val="000000"/>
                <w:sz w:val="22"/>
                <w:szCs w:val="22"/>
              </w:rPr>
              <w:t>периода</w:t>
            </w:r>
            <w:r w:rsidRPr="00C02D40">
              <w:rPr>
                <w:color w:val="000000"/>
                <w:sz w:val="22"/>
                <w:szCs w:val="22"/>
              </w:rPr>
              <w:t>.</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lastRenderedPageBreak/>
              <w:t>Выплата дохода осуществляется в течение 3 месяцев с даты окончания отчетного периода.</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Доход по инвестиционному паю определяется путем деления Дохода по всем инвестиционным паям, подлежащего выплате владельцам инвестиционных паев, на количество инвестиционных паев, указанное в реестре владельцев инвестиционных паев по состоянию на последний рабочий день отчетного года.</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 xml:space="preserve">Доход по всем инвестиционным паям, подлежащий выплате владельцам инвестиционных паев, составляет </w:t>
            </w:r>
            <w:r w:rsidRPr="00236490">
              <w:rPr>
                <w:color w:val="000000"/>
                <w:sz w:val="22"/>
                <w:szCs w:val="22"/>
              </w:rPr>
              <w:t>9</w:t>
            </w:r>
            <w:r>
              <w:rPr>
                <w:color w:val="000000"/>
                <w:sz w:val="22"/>
                <w:szCs w:val="22"/>
              </w:rPr>
              <w:t>9</w:t>
            </w:r>
            <w:r w:rsidRPr="00C02D40">
              <w:rPr>
                <w:color w:val="000000"/>
                <w:sz w:val="22"/>
                <w:szCs w:val="22"/>
              </w:rPr>
              <w:t xml:space="preserve"> (</w:t>
            </w:r>
            <w:r w:rsidRPr="00236490">
              <w:rPr>
                <w:color w:val="000000"/>
                <w:sz w:val="22"/>
                <w:szCs w:val="22"/>
              </w:rPr>
              <w:t>Девяносто</w:t>
            </w:r>
            <w:r>
              <w:rPr>
                <w:color w:val="000000"/>
                <w:sz w:val="22"/>
                <w:szCs w:val="22"/>
              </w:rPr>
              <w:t xml:space="preserve"> девять</w:t>
            </w:r>
            <w:r w:rsidRPr="00C02D40">
              <w:rPr>
                <w:color w:val="000000"/>
                <w:sz w:val="22"/>
                <w:szCs w:val="22"/>
              </w:rPr>
              <w:t xml:space="preserve">) процентов от </w:t>
            </w:r>
            <w:r>
              <w:rPr>
                <w:color w:val="000000"/>
                <w:sz w:val="22"/>
                <w:szCs w:val="22"/>
              </w:rPr>
              <w:t xml:space="preserve">разницы между </w:t>
            </w:r>
            <w:r w:rsidRPr="00C02D40">
              <w:rPr>
                <w:color w:val="000000"/>
                <w:sz w:val="22"/>
                <w:szCs w:val="22"/>
              </w:rPr>
              <w:t>доход</w:t>
            </w:r>
            <w:r>
              <w:rPr>
                <w:color w:val="000000"/>
                <w:sz w:val="22"/>
                <w:szCs w:val="22"/>
              </w:rPr>
              <w:t>ом и расходом</w:t>
            </w:r>
            <w:r w:rsidRPr="00C02D40">
              <w:rPr>
                <w:color w:val="000000"/>
                <w:sz w:val="22"/>
                <w:szCs w:val="22"/>
              </w:rPr>
              <w:t xml:space="preserve"> от деятельности Фонда за отчетный период. Доход от деятельности Фонда за отчетный период определяется как сумма:</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 доходов от сдачи объектов недвижимости в аренду;</w:t>
            </w:r>
          </w:p>
          <w:p w:rsidR="00EA60FE" w:rsidRPr="00147E45" w:rsidRDefault="00EA60FE" w:rsidP="00EA60FE">
            <w:pPr>
              <w:shd w:val="clear" w:color="auto" w:fill="FFFFFF"/>
              <w:ind w:firstLine="540"/>
              <w:jc w:val="both"/>
              <w:rPr>
                <w:sz w:val="22"/>
                <w:szCs w:val="22"/>
              </w:rPr>
            </w:pPr>
            <w:r w:rsidRPr="00C02D40">
              <w:rPr>
                <w:color w:val="000000"/>
                <w:sz w:val="22"/>
                <w:szCs w:val="22"/>
              </w:rPr>
              <w:t xml:space="preserve">- доходов от реализации недвижимого имущества, прав аренды недвижимого имущества (далее – объекты </w:t>
            </w:r>
            <w:r w:rsidRPr="00147E45">
              <w:rPr>
                <w:sz w:val="22"/>
                <w:szCs w:val="22"/>
              </w:rPr>
              <w:t>инвестирования),</w:t>
            </w:r>
          </w:p>
          <w:p w:rsidR="00EA60FE" w:rsidRPr="00147E45" w:rsidRDefault="00EA60FE" w:rsidP="00EA60FE">
            <w:pPr>
              <w:shd w:val="clear" w:color="auto" w:fill="FFFFFF"/>
              <w:ind w:firstLine="540"/>
              <w:jc w:val="both"/>
              <w:rPr>
                <w:sz w:val="23"/>
                <w:szCs w:val="23"/>
              </w:rPr>
            </w:pPr>
            <w:r w:rsidRPr="00147E45">
              <w:rPr>
                <w:sz w:val="22"/>
                <w:szCs w:val="22"/>
              </w:rPr>
              <w:t>- процентов, начисленных на остатки по расчетным счетам и по банковским вкладам (депозитам).</w:t>
            </w:r>
          </w:p>
          <w:p w:rsidR="00EA60FE" w:rsidRPr="00147E45" w:rsidRDefault="00EA60FE" w:rsidP="00EA60FE">
            <w:pPr>
              <w:shd w:val="clear" w:color="auto" w:fill="FFFFFF"/>
              <w:ind w:firstLine="540"/>
              <w:jc w:val="both"/>
              <w:rPr>
                <w:sz w:val="23"/>
                <w:szCs w:val="23"/>
              </w:rPr>
            </w:pPr>
            <w:r w:rsidRPr="00147E45">
              <w:rPr>
                <w:sz w:val="22"/>
                <w:szCs w:val="22"/>
              </w:rPr>
              <w:t>Под доходом от реализации объектов инвестирования понимается положительная разница между суммой денежных средств (выручка) (без НДС), поступившей на расчетный счет Фонда:</w:t>
            </w:r>
          </w:p>
          <w:p w:rsidR="00EA60FE" w:rsidRPr="00147E45" w:rsidRDefault="00EA60FE" w:rsidP="00EA60FE">
            <w:pPr>
              <w:shd w:val="clear" w:color="auto" w:fill="FFFFFF"/>
              <w:ind w:firstLine="540"/>
              <w:jc w:val="both"/>
              <w:rPr>
                <w:sz w:val="23"/>
                <w:szCs w:val="23"/>
              </w:rPr>
            </w:pPr>
            <w:r w:rsidRPr="00147E45">
              <w:rPr>
                <w:sz w:val="22"/>
                <w:szCs w:val="22"/>
              </w:rPr>
              <w:t>- в текущем отчетном периоде за реализованные в текущем отчетном периоде объекты инвестирования;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 в предыдущих отчетных периодах (авансы) за реализованные в текущем отчетном периоде объекты инвестирования;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 в текущем отчетном периоде за реализованные в предыдущих отчетных периодах объекты инвестирования,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и суммой денежных средств, затраченных на приобретение объектов инвестирования.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Под доходом от сдачи объектов недвижимости в аренду</w:t>
            </w:r>
            <w:r>
              <w:rPr>
                <w:color w:val="000000"/>
                <w:sz w:val="22"/>
                <w:szCs w:val="22"/>
              </w:rPr>
              <w:t xml:space="preserve"> </w:t>
            </w:r>
            <w:r w:rsidRPr="00C02D40">
              <w:rPr>
                <w:color w:val="000000"/>
                <w:sz w:val="22"/>
                <w:szCs w:val="22"/>
              </w:rPr>
              <w:t xml:space="preserve">понимается сумма денежных средств (без НДС), поступившая на расчетный счет Фонда в текущем </w:t>
            </w:r>
            <w:r>
              <w:rPr>
                <w:color w:val="000000"/>
                <w:sz w:val="22"/>
                <w:szCs w:val="22"/>
              </w:rPr>
              <w:t>отчетном периоде</w:t>
            </w:r>
            <w:r w:rsidRPr="00C02D40">
              <w:rPr>
                <w:color w:val="000000"/>
                <w:sz w:val="22"/>
                <w:szCs w:val="22"/>
              </w:rPr>
              <w:t>, за исключением авансовых и гарантийных платежей, в соответствии с договорами аренды.</w:t>
            </w:r>
          </w:p>
          <w:p w:rsidR="00EA60FE" w:rsidRDefault="00EA60FE" w:rsidP="00EA60FE">
            <w:pPr>
              <w:shd w:val="clear" w:color="auto" w:fill="FFFFFF"/>
              <w:ind w:firstLine="540"/>
              <w:jc w:val="both"/>
              <w:rPr>
                <w:color w:val="000000"/>
                <w:sz w:val="23"/>
                <w:szCs w:val="23"/>
              </w:rPr>
            </w:pPr>
            <w:r>
              <w:rPr>
                <w:color w:val="000000"/>
                <w:sz w:val="22"/>
                <w:szCs w:val="22"/>
              </w:rPr>
              <w:t>Расход от деятельности Фонда за отчетный период определяется как сумма:</w:t>
            </w:r>
          </w:p>
          <w:p w:rsidR="00EA60FE" w:rsidRDefault="00EA60FE" w:rsidP="00EA60FE">
            <w:pPr>
              <w:shd w:val="clear" w:color="auto" w:fill="FFFFFF"/>
              <w:ind w:firstLine="540"/>
              <w:jc w:val="both"/>
              <w:rPr>
                <w:color w:val="000000"/>
                <w:sz w:val="23"/>
                <w:szCs w:val="23"/>
              </w:rPr>
            </w:pPr>
            <w:r>
              <w:rPr>
                <w:color w:val="000000"/>
                <w:sz w:val="22"/>
                <w:szCs w:val="22"/>
              </w:rPr>
              <w:t>- расходов, понесенных в соответствии с настоящими правилами доверительного управления;</w:t>
            </w:r>
          </w:p>
          <w:p w:rsidR="00EA60FE" w:rsidRDefault="00EA60FE" w:rsidP="00EA60FE">
            <w:pPr>
              <w:shd w:val="clear" w:color="auto" w:fill="FFFFFF"/>
              <w:ind w:firstLine="540"/>
              <w:jc w:val="both"/>
              <w:rPr>
                <w:color w:val="000000"/>
                <w:sz w:val="23"/>
                <w:szCs w:val="23"/>
              </w:rPr>
            </w:pPr>
            <w:r>
              <w:rPr>
                <w:color w:val="000000"/>
                <w:sz w:val="22"/>
                <w:szCs w:val="22"/>
              </w:rPr>
              <w:t>- убытков от реализации недвижимого имущества, прав аренды недвижимого имущества (далее – объекты инвестирования);</w:t>
            </w:r>
          </w:p>
          <w:p w:rsidR="00EA60FE" w:rsidRPr="00D94509" w:rsidRDefault="00EA60FE" w:rsidP="00EA60FE">
            <w:pPr>
              <w:shd w:val="clear" w:color="auto" w:fill="FFFFFF"/>
              <w:ind w:firstLine="540"/>
              <w:jc w:val="both"/>
              <w:rPr>
                <w:color w:val="000000"/>
                <w:sz w:val="22"/>
                <w:szCs w:val="22"/>
              </w:rPr>
            </w:pPr>
            <w:r>
              <w:rPr>
                <w:color w:val="000000"/>
                <w:sz w:val="22"/>
                <w:szCs w:val="22"/>
              </w:rPr>
              <w:t xml:space="preserve">Под расходами, понесенными в соответствии с настоящими правилами </w:t>
            </w:r>
            <w:r>
              <w:rPr>
                <w:color w:val="000000"/>
                <w:sz w:val="22"/>
                <w:szCs w:val="22"/>
              </w:rPr>
              <w:lastRenderedPageBreak/>
              <w:t xml:space="preserve">понимаются расходы, указанные в главе </w:t>
            </w:r>
            <w:r>
              <w:rPr>
                <w:color w:val="000000"/>
                <w:sz w:val="22"/>
                <w:szCs w:val="22"/>
                <w:lang w:val="en-US"/>
              </w:rPr>
              <w:t>XIII</w:t>
            </w:r>
            <w:r>
              <w:rPr>
                <w:color w:val="000000"/>
                <w:sz w:val="22"/>
                <w:szCs w:val="22"/>
              </w:rPr>
              <w:t xml:space="preserve"> настоящих правил;</w:t>
            </w:r>
          </w:p>
          <w:p w:rsidR="00EA60FE" w:rsidRDefault="00EA60FE" w:rsidP="00EA60FE">
            <w:pPr>
              <w:shd w:val="clear" w:color="auto" w:fill="FFFFFF"/>
              <w:ind w:firstLine="540"/>
              <w:jc w:val="both"/>
              <w:rPr>
                <w:color w:val="000000"/>
                <w:sz w:val="23"/>
                <w:szCs w:val="23"/>
              </w:rPr>
            </w:pPr>
            <w:r>
              <w:rPr>
                <w:color w:val="000000"/>
                <w:sz w:val="22"/>
                <w:szCs w:val="22"/>
              </w:rPr>
              <w:t>Под убытком от реализации объектов инвестирования понимается отрицательная разница между суммой денежных средств (выручка) (без НДС), поступившей на расчетный счет Фонда:</w:t>
            </w:r>
          </w:p>
          <w:p w:rsidR="00EA60FE" w:rsidRDefault="00EA60FE" w:rsidP="00EA60FE">
            <w:pPr>
              <w:shd w:val="clear" w:color="auto" w:fill="FFFFFF"/>
              <w:ind w:firstLine="540"/>
              <w:jc w:val="both"/>
              <w:rPr>
                <w:color w:val="000000"/>
                <w:sz w:val="23"/>
                <w:szCs w:val="23"/>
              </w:rPr>
            </w:pPr>
            <w:r>
              <w:rPr>
                <w:color w:val="000000"/>
                <w:sz w:val="22"/>
                <w:szCs w:val="22"/>
              </w:rPr>
              <w:t>- в текущем отчетном периоде за реализованные в текущем отчетном периоде объекты инвестирования;</w:t>
            </w:r>
          </w:p>
          <w:p w:rsidR="00EA60FE" w:rsidRDefault="00EA60FE" w:rsidP="00EA60FE">
            <w:pPr>
              <w:shd w:val="clear" w:color="auto" w:fill="FFFFFF"/>
              <w:ind w:firstLine="540"/>
              <w:jc w:val="both"/>
              <w:rPr>
                <w:color w:val="000000"/>
                <w:sz w:val="23"/>
                <w:szCs w:val="23"/>
              </w:rPr>
            </w:pPr>
            <w:r>
              <w:rPr>
                <w:color w:val="000000"/>
                <w:sz w:val="22"/>
                <w:szCs w:val="22"/>
              </w:rPr>
              <w:t>- в предыдущих отчетных периодах (авансы) за реализованные в текущем отчетном периоде объекты инвестирования;</w:t>
            </w:r>
          </w:p>
          <w:p w:rsidR="00EA60FE" w:rsidRDefault="00EA60FE" w:rsidP="00EA60FE">
            <w:pPr>
              <w:shd w:val="clear" w:color="auto" w:fill="FFFFFF"/>
              <w:ind w:firstLine="540"/>
              <w:jc w:val="both"/>
              <w:rPr>
                <w:color w:val="000000"/>
                <w:sz w:val="23"/>
                <w:szCs w:val="23"/>
              </w:rPr>
            </w:pPr>
            <w:r>
              <w:rPr>
                <w:color w:val="000000"/>
                <w:sz w:val="22"/>
                <w:szCs w:val="22"/>
              </w:rPr>
              <w:t>- в текущем отчетном периоде за реализованные в предыдущих отчетных периодах объекты инвестирования,</w:t>
            </w:r>
          </w:p>
          <w:p w:rsidR="00EA60FE" w:rsidRDefault="00EA60FE" w:rsidP="00EA60FE">
            <w:pPr>
              <w:shd w:val="clear" w:color="auto" w:fill="FFFFFF"/>
              <w:ind w:firstLine="540"/>
              <w:jc w:val="both"/>
              <w:rPr>
                <w:color w:val="000000"/>
                <w:sz w:val="23"/>
                <w:szCs w:val="23"/>
              </w:rPr>
            </w:pPr>
            <w:r>
              <w:rPr>
                <w:color w:val="000000"/>
                <w:sz w:val="22"/>
                <w:szCs w:val="22"/>
              </w:rPr>
              <w:t>и суммой денежных средств, затраченных на приобретение объектов инвестирования.</w:t>
            </w:r>
          </w:p>
          <w:p w:rsidR="00EA60FE" w:rsidRPr="00C02D40" w:rsidRDefault="00EA60FE" w:rsidP="00EA60FE">
            <w:pPr>
              <w:shd w:val="clear" w:color="auto" w:fill="FFFFFF"/>
              <w:ind w:firstLine="540"/>
              <w:jc w:val="both"/>
              <w:rPr>
                <w:color w:val="000000"/>
                <w:sz w:val="23"/>
                <w:szCs w:val="23"/>
              </w:rPr>
            </w:pPr>
            <w:r w:rsidRPr="00C02D40">
              <w:rPr>
                <w:color w:val="000000"/>
                <w:sz w:val="22"/>
                <w:szCs w:val="22"/>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EA60FE" w:rsidRPr="00403CA9" w:rsidRDefault="00EA60FE" w:rsidP="00EA60FE">
            <w:pPr>
              <w:shd w:val="clear" w:color="auto" w:fill="FFFFFF"/>
              <w:ind w:firstLine="540"/>
              <w:rPr>
                <w:sz w:val="22"/>
                <w:szCs w:val="22"/>
              </w:rPr>
            </w:pPr>
            <w:r w:rsidRPr="00C02D40">
              <w:rPr>
                <w:color w:val="000000"/>
                <w:sz w:val="22"/>
                <w:szCs w:val="22"/>
              </w:rPr>
              <w:t> </w:t>
            </w:r>
            <w:r>
              <w:rPr>
                <w:sz w:val="22"/>
                <w:szCs w:val="22"/>
              </w:rPr>
              <w:t xml:space="preserve">5) </w:t>
            </w:r>
            <w:r w:rsidRPr="00403CA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EA60FE" w:rsidRDefault="00EA60FE" w:rsidP="00EA60FE">
            <w:pPr>
              <w:ind w:firstLine="567"/>
              <w:jc w:val="both"/>
              <w:rPr>
                <w:sz w:val="22"/>
                <w:szCs w:val="22"/>
              </w:rPr>
            </w:pPr>
            <w:r>
              <w:rPr>
                <w:sz w:val="22"/>
                <w:szCs w:val="22"/>
              </w:rPr>
              <w:t>6</w:t>
            </w:r>
            <w:r w:rsidRPr="00403CA9">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577AAE" w:rsidRPr="00F8200E" w:rsidRDefault="00577AAE" w:rsidP="00431632">
            <w:pPr>
              <w:ind w:firstLine="567"/>
              <w:jc w:val="both"/>
              <w:rPr>
                <w:sz w:val="22"/>
                <w:szCs w:val="22"/>
              </w:rPr>
            </w:pPr>
          </w:p>
        </w:tc>
      </w:tr>
    </w:tbl>
    <w:p w:rsidR="00192997" w:rsidRDefault="00192997" w:rsidP="00D02837">
      <w:bookmarkStart w:id="1" w:name="OLE_LINK1"/>
      <w:bookmarkStart w:id="2" w:name="OLE_LINK2"/>
    </w:p>
    <w:p w:rsidR="00431632" w:rsidRDefault="00431632" w:rsidP="003F1BE8"/>
    <w:p w:rsidR="00431632" w:rsidRDefault="00431632" w:rsidP="00074E75">
      <w:pPr>
        <w:jc w:val="center"/>
      </w:pPr>
    </w:p>
    <w:p w:rsidR="00431632" w:rsidRDefault="00431632" w:rsidP="00074E75">
      <w:pPr>
        <w:jc w:val="center"/>
      </w:pPr>
    </w:p>
    <w:p w:rsidR="00431632" w:rsidRDefault="00431632" w:rsidP="00074E75">
      <w:pPr>
        <w:jc w:val="center"/>
      </w:pPr>
    </w:p>
    <w:p w:rsidR="00431632" w:rsidRDefault="00431632" w:rsidP="00074E75">
      <w:pPr>
        <w:jc w:val="center"/>
      </w:pPr>
    </w:p>
    <w:p w:rsidR="00431632" w:rsidRDefault="00431632" w:rsidP="00074E75">
      <w:pPr>
        <w:jc w:val="center"/>
      </w:pPr>
    </w:p>
    <w:p w:rsidR="001067DD" w:rsidRDefault="001067DD" w:rsidP="001067DD">
      <w:pPr>
        <w:jc w:val="center"/>
      </w:pPr>
      <w:r>
        <w:t xml:space="preserve">Генеральный директор      </w:t>
      </w:r>
      <w:r>
        <w:tab/>
      </w:r>
      <w:r>
        <w:tab/>
      </w:r>
      <w:r>
        <w:tab/>
      </w:r>
      <w:r>
        <w:tab/>
      </w:r>
      <w:r>
        <w:tab/>
        <w:t xml:space="preserve">           ______________  / </w:t>
      </w:r>
      <w:proofErr w:type="spellStart"/>
      <w:r w:rsidR="00CB49A8">
        <w:t>Сторчак</w:t>
      </w:r>
      <w:proofErr w:type="spellEnd"/>
      <w:r w:rsidR="00CB49A8">
        <w:t xml:space="preserve"> Р.С.</w:t>
      </w:r>
      <w:r>
        <w:t>/</w:t>
      </w:r>
    </w:p>
    <w:p w:rsidR="001067DD" w:rsidRDefault="001067DD" w:rsidP="001067DD">
      <w:pPr>
        <w:jc w:val="center"/>
      </w:pPr>
    </w:p>
    <w:p w:rsidR="00074E75" w:rsidRPr="00C77EAE" w:rsidRDefault="001067DD" w:rsidP="001067DD">
      <w:pPr>
        <w:jc w:val="center"/>
      </w:pPr>
      <w:r>
        <w:t xml:space="preserve"> М.П.</w:t>
      </w:r>
      <w:bookmarkEnd w:id="1"/>
      <w:bookmarkEnd w:id="2"/>
    </w:p>
    <w:sectPr w:rsidR="00074E75" w:rsidRPr="00C77EAE" w:rsidSect="003F1BE8">
      <w:footerReference w:type="default" r:id="rId7"/>
      <w:pgSz w:w="11906" w:h="16838"/>
      <w:pgMar w:top="53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C5" w:rsidRDefault="003140C5">
      <w:r>
        <w:separator/>
      </w:r>
    </w:p>
  </w:endnote>
  <w:endnote w:type="continuationSeparator" w:id="0">
    <w:p w:rsidR="003140C5" w:rsidRDefault="0031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825" w:rsidRPr="00AF3FD6" w:rsidRDefault="008B1825" w:rsidP="006E6FA0">
    <w:pPr>
      <w:pStyle w:val="a6"/>
      <w:framePr w:wrap="auto" w:vAnchor="text" w:hAnchor="margin" w:xAlign="right" w:y="1"/>
      <w:rPr>
        <w:rStyle w:val="a8"/>
        <w:sz w:val="20"/>
        <w:szCs w:val="20"/>
      </w:rPr>
    </w:pPr>
    <w:r w:rsidRPr="00AF3FD6">
      <w:rPr>
        <w:rStyle w:val="a8"/>
        <w:sz w:val="20"/>
        <w:szCs w:val="20"/>
      </w:rPr>
      <w:fldChar w:fldCharType="begin"/>
    </w:r>
    <w:r w:rsidRPr="00AF3FD6">
      <w:rPr>
        <w:rStyle w:val="a8"/>
        <w:sz w:val="20"/>
        <w:szCs w:val="20"/>
      </w:rPr>
      <w:instrText xml:space="preserve">PAGE  </w:instrText>
    </w:r>
    <w:r w:rsidRPr="00AF3FD6">
      <w:rPr>
        <w:rStyle w:val="a8"/>
        <w:sz w:val="20"/>
        <w:szCs w:val="20"/>
      </w:rPr>
      <w:fldChar w:fldCharType="separate"/>
    </w:r>
    <w:r w:rsidR="00A72DF1">
      <w:rPr>
        <w:rStyle w:val="a8"/>
        <w:noProof/>
        <w:sz w:val="20"/>
        <w:szCs w:val="20"/>
      </w:rPr>
      <w:t>1</w:t>
    </w:r>
    <w:r w:rsidRPr="00AF3FD6">
      <w:rPr>
        <w:rStyle w:val="a8"/>
        <w:sz w:val="20"/>
        <w:szCs w:val="20"/>
      </w:rPr>
      <w:fldChar w:fldCharType="end"/>
    </w:r>
  </w:p>
  <w:p w:rsidR="008B1825" w:rsidRDefault="008B1825" w:rsidP="00B564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C5" w:rsidRDefault="003140C5">
      <w:r>
        <w:separator/>
      </w:r>
    </w:p>
  </w:footnote>
  <w:footnote w:type="continuationSeparator" w:id="0">
    <w:p w:rsidR="003140C5" w:rsidRDefault="00314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 w15:restartNumberingAfterBreak="0">
    <w:nsid w:val="12E624F4"/>
    <w:multiLevelType w:val="multilevel"/>
    <w:tmpl w:val="C5A035DE"/>
    <w:lvl w:ilvl="0">
      <w:start w:val="2"/>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163D4C75"/>
    <w:multiLevelType w:val="hybridMultilevel"/>
    <w:tmpl w:val="0074B99C"/>
    <w:lvl w:ilvl="0" w:tplc="55C85FC4">
      <w:start w:val="28"/>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4" w15:restartNumberingAfterBreak="0">
    <w:nsid w:val="1A0D11A8"/>
    <w:multiLevelType w:val="hybridMultilevel"/>
    <w:tmpl w:val="64E41810"/>
    <w:lvl w:ilvl="0" w:tplc="3C6A40AC">
      <w:start w:val="1"/>
      <w:numFmt w:val="decimal"/>
      <w:lvlText w:val="%1."/>
      <w:lvlJc w:val="left"/>
      <w:pPr>
        <w:tabs>
          <w:tab w:val="num" w:pos="1065"/>
        </w:tabs>
        <w:ind w:left="1065" w:hanging="7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2E055C"/>
    <w:multiLevelType w:val="hybridMultilevel"/>
    <w:tmpl w:val="8F1455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8D1682"/>
    <w:multiLevelType w:val="hybridMultilevel"/>
    <w:tmpl w:val="5ABE9EE2"/>
    <w:lvl w:ilvl="0" w:tplc="724AE07A">
      <w:start w:val="3"/>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7402CDF"/>
    <w:multiLevelType w:val="hybridMultilevel"/>
    <w:tmpl w:val="5D2015EC"/>
    <w:lvl w:ilvl="0" w:tplc="6F4420DE">
      <w:start w:val="12"/>
      <w:numFmt w:val="decimal"/>
      <w:lvlText w:val="%1)"/>
      <w:lvlJc w:val="left"/>
      <w:pPr>
        <w:tabs>
          <w:tab w:val="num" w:pos="945"/>
        </w:tabs>
        <w:ind w:left="945" w:hanging="360"/>
      </w:pPr>
      <w:rPr>
        <w:rFonts w:cs="Times New Roman" w:hint="default"/>
        <w:color w:val="auto"/>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8" w15:restartNumberingAfterBreak="0">
    <w:nsid w:val="4BCD3BAB"/>
    <w:multiLevelType w:val="hybridMultilevel"/>
    <w:tmpl w:val="8BA80C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4BD009F"/>
    <w:multiLevelType w:val="hybridMultilevel"/>
    <w:tmpl w:val="2E665A68"/>
    <w:lvl w:ilvl="0" w:tplc="C624C4F2">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672A7BF1"/>
    <w:multiLevelType w:val="hybridMultilevel"/>
    <w:tmpl w:val="C12072FC"/>
    <w:lvl w:ilvl="0" w:tplc="76B8DC9A">
      <w:start w:val="1"/>
      <w:numFmt w:val="decimal"/>
      <w:lvlText w:val="%1."/>
      <w:lvlJc w:val="left"/>
      <w:pPr>
        <w:tabs>
          <w:tab w:val="num" w:pos="1413"/>
        </w:tabs>
        <w:ind w:left="1413" w:hanging="7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15:restartNumberingAfterBreak="0">
    <w:nsid w:val="6A382361"/>
    <w:multiLevelType w:val="hybridMultilevel"/>
    <w:tmpl w:val="D130D668"/>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F66E88F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A6230F"/>
    <w:multiLevelType w:val="hybridMultilevel"/>
    <w:tmpl w:val="C5A035DE"/>
    <w:lvl w:ilvl="0" w:tplc="347E29D8">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71115CF5"/>
    <w:multiLevelType w:val="hybridMultilevel"/>
    <w:tmpl w:val="82B85FF6"/>
    <w:lvl w:ilvl="0" w:tplc="4F0AC81C">
      <w:start w:val="1"/>
      <w:numFmt w:val="decimal"/>
      <w:lvlText w:val="%1."/>
      <w:lvlJc w:val="left"/>
      <w:pPr>
        <w:tabs>
          <w:tab w:val="num" w:pos="1422"/>
        </w:tabs>
        <w:ind w:left="1422" w:hanging="855"/>
      </w:pPr>
      <w:rPr>
        <w:rFonts w:cs="Times New Roman" w:hint="default"/>
        <w:sz w:val="24"/>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7C690D9F"/>
    <w:multiLevelType w:val="hybridMultilevel"/>
    <w:tmpl w:val="736EC904"/>
    <w:lvl w:ilvl="0" w:tplc="9992FB82">
      <w:start w:val="4"/>
      <w:numFmt w:val="decimal"/>
      <w:lvlText w:val="%1."/>
      <w:lvlJc w:val="left"/>
      <w:pPr>
        <w:tabs>
          <w:tab w:val="num" w:pos="705"/>
        </w:tabs>
        <w:ind w:left="705" w:hanging="705"/>
      </w:pPr>
      <w:rPr>
        <w:rFonts w:cs="Times New Roman" w:hint="default"/>
        <w:b w:val="0"/>
        <w:bCs w:val="0"/>
        <w:sz w:val="24"/>
        <w:szCs w:val="24"/>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0"/>
  </w:num>
  <w:num w:numId="2">
    <w:abstractNumId w:val="6"/>
  </w:num>
  <w:num w:numId="3">
    <w:abstractNumId w:val="14"/>
  </w:num>
  <w:num w:numId="4">
    <w:abstractNumId w:val="8"/>
  </w:num>
  <w:num w:numId="5">
    <w:abstractNumId w:val="13"/>
  </w:num>
  <w:num w:numId="6">
    <w:abstractNumId w:val="9"/>
  </w:num>
  <w:num w:numId="7">
    <w:abstractNumId w:val="12"/>
  </w:num>
  <w:num w:numId="8">
    <w:abstractNumId w:val="1"/>
  </w:num>
  <w:num w:numId="9">
    <w:abstractNumId w:val="5"/>
  </w:num>
  <w:num w:numId="10">
    <w:abstractNumId w:val="7"/>
  </w:num>
  <w:num w:numId="11">
    <w:abstractNumId w:val="2"/>
  </w:num>
  <w:num w:numId="12">
    <w:abstractNumId w:val="3"/>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AE"/>
    <w:rsid w:val="00013017"/>
    <w:rsid w:val="00015BD4"/>
    <w:rsid w:val="00017965"/>
    <w:rsid w:val="0001798A"/>
    <w:rsid w:val="0002214D"/>
    <w:rsid w:val="000241B6"/>
    <w:rsid w:val="0002621D"/>
    <w:rsid w:val="00031078"/>
    <w:rsid w:val="00037121"/>
    <w:rsid w:val="00040813"/>
    <w:rsid w:val="00043F07"/>
    <w:rsid w:val="00045AD8"/>
    <w:rsid w:val="00062577"/>
    <w:rsid w:val="00062BEE"/>
    <w:rsid w:val="00071304"/>
    <w:rsid w:val="00072F3F"/>
    <w:rsid w:val="00074E75"/>
    <w:rsid w:val="000764F6"/>
    <w:rsid w:val="0008312F"/>
    <w:rsid w:val="00083512"/>
    <w:rsid w:val="00090BE6"/>
    <w:rsid w:val="000A3305"/>
    <w:rsid w:val="000A3D87"/>
    <w:rsid w:val="000A56AF"/>
    <w:rsid w:val="000C2A59"/>
    <w:rsid w:val="000D7E70"/>
    <w:rsid w:val="000E0779"/>
    <w:rsid w:val="000E0DD0"/>
    <w:rsid w:val="000E15DE"/>
    <w:rsid w:val="0010655C"/>
    <w:rsid w:val="001067DD"/>
    <w:rsid w:val="00107986"/>
    <w:rsid w:val="00110349"/>
    <w:rsid w:val="00117CFA"/>
    <w:rsid w:val="0012458E"/>
    <w:rsid w:val="00125CB5"/>
    <w:rsid w:val="00130D26"/>
    <w:rsid w:val="0013578D"/>
    <w:rsid w:val="00140979"/>
    <w:rsid w:val="00147E45"/>
    <w:rsid w:val="00152CDD"/>
    <w:rsid w:val="00161960"/>
    <w:rsid w:val="00164C45"/>
    <w:rsid w:val="0016658C"/>
    <w:rsid w:val="00170944"/>
    <w:rsid w:val="00171851"/>
    <w:rsid w:val="00177420"/>
    <w:rsid w:val="00181175"/>
    <w:rsid w:val="00183A41"/>
    <w:rsid w:val="00186D02"/>
    <w:rsid w:val="00187E4A"/>
    <w:rsid w:val="00192997"/>
    <w:rsid w:val="00192A1C"/>
    <w:rsid w:val="001938EB"/>
    <w:rsid w:val="00195F45"/>
    <w:rsid w:val="001A1D7D"/>
    <w:rsid w:val="001B7CA5"/>
    <w:rsid w:val="001C4FB5"/>
    <w:rsid w:val="001C731D"/>
    <w:rsid w:val="001D4D88"/>
    <w:rsid w:val="001D69B7"/>
    <w:rsid w:val="001E7DD5"/>
    <w:rsid w:val="001F2995"/>
    <w:rsid w:val="001F4A23"/>
    <w:rsid w:val="00204052"/>
    <w:rsid w:val="002048C0"/>
    <w:rsid w:val="0022099A"/>
    <w:rsid w:val="00233DF3"/>
    <w:rsid w:val="00236490"/>
    <w:rsid w:val="002421C9"/>
    <w:rsid w:val="00251016"/>
    <w:rsid w:val="00264688"/>
    <w:rsid w:val="00271257"/>
    <w:rsid w:val="0027415D"/>
    <w:rsid w:val="0028615F"/>
    <w:rsid w:val="002907BE"/>
    <w:rsid w:val="00290D89"/>
    <w:rsid w:val="00292DCC"/>
    <w:rsid w:val="002B227B"/>
    <w:rsid w:val="002B2C25"/>
    <w:rsid w:val="002C2582"/>
    <w:rsid w:val="002C3E5B"/>
    <w:rsid w:val="002D18DC"/>
    <w:rsid w:val="002D28E5"/>
    <w:rsid w:val="002D3A9B"/>
    <w:rsid w:val="002E4F15"/>
    <w:rsid w:val="002F08C1"/>
    <w:rsid w:val="002F09F7"/>
    <w:rsid w:val="002F6C10"/>
    <w:rsid w:val="00301A54"/>
    <w:rsid w:val="00305E44"/>
    <w:rsid w:val="00310CE1"/>
    <w:rsid w:val="003132DE"/>
    <w:rsid w:val="003140C5"/>
    <w:rsid w:val="0031623F"/>
    <w:rsid w:val="00331047"/>
    <w:rsid w:val="003313C2"/>
    <w:rsid w:val="00343AE3"/>
    <w:rsid w:val="00344922"/>
    <w:rsid w:val="00352B5A"/>
    <w:rsid w:val="00352BEB"/>
    <w:rsid w:val="00352F98"/>
    <w:rsid w:val="00357CE2"/>
    <w:rsid w:val="003618EF"/>
    <w:rsid w:val="00367D27"/>
    <w:rsid w:val="00374026"/>
    <w:rsid w:val="003801DB"/>
    <w:rsid w:val="00390A2C"/>
    <w:rsid w:val="003A0AF8"/>
    <w:rsid w:val="003A1511"/>
    <w:rsid w:val="003A3728"/>
    <w:rsid w:val="003A6F83"/>
    <w:rsid w:val="003B54BA"/>
    <w:rsid w:val="003B5C56"/>
    <w:rsid w:val="003C3B4C"/>
    <w:rsid w:val="003D4760"/>
    <w:rsid w:val="003D5518"/>
    <w:rsid w:val="003E5209"/>
    <w:rsid w:val="003E6237"/>
    <w:rsid w:val="003E63B9"/>
    <w:rsid w:val="003F1BE8"/>
    <w:rsid w:val="003F6A72"/>
    <w:rsid w:val="004024C6"/>
    <w:rsid w:val="00403CA9"/>
    <w:rsid w:val="004161BC"/>
    <w:rsid w:val="004179F3"/>
    <w:rsid w:val="00417F17"/>
    <w:rsid w:val="004250A9"/>
    <w:rsid w:val="00431632"/>
    <w:rsid w:val="00435584"/>
    <w:rsid w:val="004414AD"/>
    <w:rsid w:val="00445947"/>
    <w:rsid w:val="00445C19"/>
    <w:rsid w:val="0045720E"/>
    <w:rsid w:val="00461593"/>
    <w:rsid w:val="00473FBC"/>
    <w:rsid w:val="00475277"/>
    <w:rsid w:val="00482418"/>
    <w:rsid w:val="00482B39"/>
    <w:rsid w:val="004839E2"/>
    <w:rsid w:val="004851B2"/>
    <w:rsid w:val="0049063A"/>
    <w:rsid w:val="00495E33"/>
    <w:rsid w:val="004A6789"/>
    <w:rsid w:val="004A69D7"/>
    <w:rsid w:val="004B10F2"/>
    <w:rsid w:val="004D2358"/>
    <w:rsid w:val="004F74D3"/>
    <w:rsid w:val="00500C6E"/>
    <w:rsid w:val="00510894"/>
    <w:rsid w:val="005129A1"/>
    <w:rsid w:val="005151D1"/>
    <w:rsid w:val="005202A8"/>
    <w:rsid w:val="00520599"/>
    <w:rsid w:val="00530061"/>
    <w:rsid w:val="00536A35"/>
    <w:rsid w:val="005414E2"/>
    <w:rsid w:val="00557EEB"/>
    <w:rsid w:val="00561DF6"/>
    <w:rsid w:val="00572068"/>
    <w:rsid w:val="00577AAE"/>
    <w:rsid w:val="00590049"/>
    <w:rsid w:val="0059100A"/>
    <w:rsid w:val="00593002"/>
    <w:rsid w:val="00596278"/>
    <w:rsid w:val="005968CD"/>
    <w:rsid w:val="005970E6"/>
    <w:rsid w:val="005A1C82"/>
    <w:rsid w:val="005A310C"/>
    <w:rsid w:val="005A3893"/>
    <w:rsid w:val="005A5B87"/>
    <w:rsid w:val="005B386D"/>
    <w:rsid w:val="005B6750"/>
    <w:rsid w:val="005B6A52"/>
    <w:rsid w:val="005B7373"/>
    <w:rsid w:val="005C6F36"/>
    <w:rsid w:val="005D11D2"/>
    <w:rsid w:val="005E3DCD"/>
    <w:rsid w:val="005F6045"/>
    <w:rsid w:val="006116B9"/>
    <w:rsid w:val="00611BDA"/>
    <w:rsid w:val="00616F41"/>
    <w:rsid w:val="00631E9E"/>
    <w:rsid w:val="0063270F"/>
    <w:rsid w:val="006416D4"/>
    <w:rsid w:val="00651B26"/>
    <w:rsid w:val="00652F7D"/>
    <w:rsid w:val="00676D5D"/>
    <w:rsid w:val="0069119F"/>
    <w:rsid w:val="00695902"/>
    <w:rsid w:val="006B0DD4"/>
    <w:rsid w:val="006C6580"/>
    <w:rsid w:val="006C73FF"/>
    <w:rsid w:val="006D408A"/>
    <w:rsid w:val="006D4A7C"/>
    <w:rsid w:val="006D4CA6"/>
    <w:rsid w:val="006E0501"/>
    <w:rsid w:val="006E0CB9"/>
    <w:rsid w:val="006E6FA0"/>
    <w:rsid w:val="00703710"/>
    <w:rsid w:val="00710C5F"/>
    <w:rsid w:val="0071121C"/>
    <w:rsid w:val="00711D8F"/>
    <w:rsid w:val="00714392"/>
    <w:rsid w:val="00717141"/>
    <w:rsid w:val="007222E6"/>
    <w:rsid w:val="00734C53"/>
    <w:rsid w:val="00735051"/>
    <w:rsid w:val="00742248"/>
    <w:rsid w:val="00761D59"/>
    <w:rsid w:val="00762835"/>
    <w:rsid w:val="00771DC5"/>
    <w:rsid w:val="0078114F"/>
    <w:rsid w:val="00782401"/>
    <w:rsid w:val="00783645"/>
    <w:rsid w:val="00783748"/>
    <w:rsid w:val="0078472A"/>
    <w:rsid w:val="00787CE8"/>
    <w:rsid w:val="007922E4"/>
    <w:rsid w:val="007A164D"/>
    <w:rsid w:val="007A1A4C"/>
    <w:rsid w:val="007A7F44"/>
    <w:rsid w:val="007B57FB"/>
    <w:rsid w:val="007B6B08"/>
    <w:rsid w:val="007C48FF"/>
    <w:rsid w:val="007D195F"/>
    <w:rsid w:val="007D6DDE"/>
    <w:rsid w:val="007E61CA"/>
    <w:rsid w:val="007E7F4F"/>
    <w:rsid w:val="007F160D"/>
    <w:rsid w:val="007F188D"/>
    <w:rsid w:val="007F1EDA"/>
    <w:rsid w:val="0080080C"/>
    <w:rsid w:val="008124F1"/>
    <w:rsid w:val="008256E9"/>
    <w:rsid w:val="00827881"/>
    <w:rsid w:val="00834929"/>
    <w:rsid w:val="00835BD0"/>
    <w:rsid w:val="00836FF7"/>
    <w:rsid w:val="00837EC9"/>
    <w:rsid w:val="008455AD"/>
    <w:rsid w:val="00854E2F"/>
    <w:rsid w:val="00862E87"/>
    <w:rsid w:val="00876E42"/>
    <w:rsid w:val="00886FD0"/>
    <w:rsid w:val="008947EA"/>
    <w:rsid w:val="008B1825"/>
    <w:rsid w:val="008B27FE"/>
    <w:rsid w:val="008B4BF8"/>
    <w:rsid w:val="008C49E1"/>
    <w:rsid w:val="008D0284"/>
    <w:rsid w:val="008D27CA"/>
    <w:rsid w:val="008D5682"/>
    <w:rsid w:val="008E0A79"/>
    <w:rsid w:val="008E1D96"/>
    <w:rsid w:val="008E4AE3"/>
    <w:rsid w:val="008E60CC"/>
    <w:rsid w:val="008F5B88"/>
    <w:rsid w:val="008F69AC"/>
    <w:rsid w:val="00903E0F"/>
    <w:rsid w:val="009068F1"/>
    <w:rsid w:val="00910F9C"/>
    <w:rsid w:val="00917663"/>
    <w:rsid w:val="00925AC8"/>
    <w:rsid w:val="00933C21"/>
    <w:rsid w:val="009375D3"/>
    <w:rsid w:val="00950231"/>
    <w:rsid w:val="009523B5"/>
    <w:rsid w:val="00954513"/>
    <w:rsid w:val="00972249"/>
    <w:rsid w:val="009765A6"/>
    <w:rsid w:val="009826A7"/>
    <w:rsid w:val="00984A03"/>
    <w:rsid w:val="00992DB3"/>
    <w:rsid w:val="009A117F"/>
    <w:rsid w:val="009A664F"/>
    <w:rsid w:val="009C2ACA"/>
    <w:rsid w:val="009D1823"/>
    <w:rsid w:val="009E6FA5"/>
    <w:rsid w:val="009F2B43"/>
    <w:rsid w:val="009F4971"/>
    <w:rsid w:val="00A0011C"/>
    <w:rsid w:val="00A02891"/>
    <w:rsid w:val="00A100DC"/>
    <w:rsid w:val="00A153F7"/>
    <w:rsid w:val="00A15411"/>
    <w:rsid w:val="00A17D52"/>
    <w:rsid w:val="00A20299"/>
    <w:rsid w:val="00A325E8"/>
    <w:rsid w:val="00A34409"/>
    <w:rsid w:val="00A46AD2"/>
    <w:rsid w:val="00A475F3"/>
    <w:rsid w:val="00A504B3"/>
    <w:rsid w:val="00A60406"/>
    <w:rsid w:val="00A6277E"/>
    <w:rsid w:val="00A6339F"/>
    <w:rsid w:val="00A63804"/>
    <w:rsid w:val="00A72589"/>
    <w:rsid w:val="00A72DF1"/>
    <w:rsid w:val="00A75B44"/>
    <w:rsid w:val="00A94512"/>
    <w:rsid w:val="00A94644"/>
    <w:rsid w:val="00AA44A8"/>
    <w:rsid w:val="00AA583C"/>
    <w:rsid w:val="00AC2A3B"/>
    <w:rsid w:val="00AC31E9"/>
    <w:rsid w:val="00AC725D"/>
    <w:rsid w:val="00AD4C35"/>
    <w:rsid w:val="00AE0BE0"/>
    <w:rsid w:val="00AE1656"/>
    <w:rsid w:val="00AE32CE"/>
    <w:rsid w:val="00AF0614"/>
    <w:rsid w:val="00AF1ABA"/>
    <w:rsid w:val="00AF1E66"/>
    <w:rsid w:val="00AF3FD6"/>
    <w:rsid w:val="00AF77D9"/>
    <w:rsid w:val="00B022AC"/>
    <w:rsid w:val="00B26D86"/>
    <w:rsid w:val="00B5643A"/>
    <w:rsid w:val="00B62DBF"/>
    <w:rsid w:val="00B647F1"/>
    <w:rsid w:val="00B67863"/>
    <w:rsid w:val="00B70F11"/>
    <w:rsid w:val="00B72144"/>
    <w:rsid w:val="00B914CC"/>
    <w:rsid w:val="00B968A0"/>
    <w:rsid w:val="00BB1779"/>
    <w:rsid w:val="00BB54D8"/>
    <w:rsid w:val="00BB69A4"/>
    <w:rsid w:val="00BC4A9B"/>
    <w:rsid w:val="00BC6C9A"/>
    <w:rsid w:val="00BD407C"/>
    <w:rsid w:val="00BD4225"/>
    <w:rsid w:val="00BE4E24"/>
    <w:rsid w:val="00BE713D"/>
    <w:rsid w:val="00BF77C1"/>
    <w:rsid w:val="00C02D40"/>
    <w:rsid w:val="00C14102"/>
    <w:rsid w:val="00C16F5E"/>
    <w:rsid w:val="00C23FE0"/>
    <w:rsid w:val="00C3372C"/>
    <w:rsid w:val="00C37A29"/>
    <w:rsid w:val="00C537CC"/>
    <w:rsid w:val="00C630D0"/>
    <w:rsid w:val="00C72B5E"/>
    <w:rsid w:val="00C77EAE"/>
    <w:rsid w:val="00C8372E"/>
    <w:rsid w:val="00C839D3"/>
    <w:rsid w:val="00C85C3D"/>
    <w:rsid w:val="00C9041F"/>
    <w:rsid w:val="00C9276C"/>
    <w:rsid w:val="00CA7635"/>
    <w:rsid w:val="00CB0E13"/>
    <w:rsid w:val="00CB3F20"/>
    <w:rsid w:val="00CB49A8"/>
    <w:rsid w:val="00CB648F"/>
    <w:rsid w:val="00CC2C5E"/>
    <w:rsid w:val="00CC483B"/>
    <w:rsid w:val="00CD5BAB"/>
    <w:rsid w:val="00CD6F5E"/>
    <w:rsid w:val="00CD6FA3"/>
    <w:rsid w:val="00CE5121"/>
    <w:rsid w:val="00CF1533"/>
    <w:rsid w:val="00CF2F01"/>
    <w:rsid w:val="00CF5247"/>
    <w:rsid w:val="00D02837"/>
    <w:rsid w:val="00D372F9"/>
    <w:rsid w:val="00D42BDE"/>
    <w:rsid w:val="00D42D55"/>
    <w:rsid w:val="00D45C18"/>
    <w:rsid w:val="00D65B0B"/>
    <w:rsid w:val="00D73921"/>
    <w:rsid w:val="00D84AFA"/>
    <w:rsid w:val="00D94509"/>
    <w:rsid w:val="00DA0C88"/>
    <w:rsid w:val="00DA58BB"/>
    <w:rsid w:val="00DB560D"/>
    <w:rsid w:val="00DC031A"/>
    <w:rsid w:val="00DD172A"/>
    <w:rsid w:val="00DE716D"/>
    <w:rsid w:val="00DF1EB7"/>
    <w:rsid w:val="00E0626B"/>
    <w:rsid w:val="00E06500"/>
    <w:rsid w:val="00E11E70"/>
    <w:rsid w:val="00E17020"/>
    <w:rsid w:val="00E24460"/>
    <w:rsid w:val="00E24714"/>
    <w:rsid w:val="00E25C2A"/>
    <w:rsid w:val="00E303DA"/>
    <w:rsid w:val="00E30732"/>
    <w:rsid w:val="00E6762C"/>
    <w:rsid w:val="00E679A6"/>
    <w:rsid w:val="00E7014A"/>
    <w:rsid w:val="00E73510"/>
    <w:rsid w:val="00E766A4"/>
    <w:rsid w:val="00E84F0E"/>
    <w:rsid w:val="00E8671C"/>
    <w:rsid w:val="00E939B7"/>
    <w:rsid w:val="00EA1028"/>
    <w:rsid w:val="00EA45F7"/>
    <w:rsid w:val="00EA4A03"/>
    <w:rsid w:val="00EA60FE"/>
    <w:rsid w:val="00EB0B4D"/>
    <w:rsid w:val="00EB26E4"/>
    <w:rsid w:val="00EB51C5"/>
    <w:rsid w:val="00EC09E1"/>
    <w:rsid w:val="00EC4090"/>
    <w:rsid w:val="00EF66CE"/>
    <w:rsid w:val="00EF6A2D"/>
    <w:rsid w:val="00F0253E"/>
    <w:rsid w:val="00F04415"/>
    <w:rsid w:val="00F10A6D"/>
    <w:rsid w:val="00F1179A"/>
    <w:rsid w:val="00F15A8D"/>
    <w:rsid w:val="00F23C30"/>
    <w:rsid w:val="00F266BA"/>
    <w:rsid w:val="00F30E52"/>
    <w:rsid w:val="00F31AB6"/>
    <w:rsid w:val="00F36E4D"/>
    <w:rsid w:val="00F5526F"/>
    <w:rsid w:val="00F57D58"/>
    <w:rsid w:val="00F73D3C"/>
    <w:rsid w:val="00F80366"/>
    <w:rsid w:val="00F8042C"/>
    <w:rsid w:val="00F8200E"/>
    <w:rsid w:val="00F84C9E"/>
    <w:rsid w:val="00F8668B"/>
    <w:rsid w:val="00F86D68"/>
    <w:rsid w:val="00FA187B"/>
    <w:rsid w:val="00FA33D8"/>
    <w:rsid w:val="00FA4913"/>
    <w:rsid w:val="00FB1A91"/>
    <w:rsid w:val="00FB56AB"/>
    <w:rsid w:val="00FB5BCB"/>
    <w:rsid w:val="00FC02C3"/>
    <w:rsid w:val="00FC7E23"/>
    <w:rsid w:val="00FC7EC9"/>
    <w:rsid w:val="00FD1DFA"/>
    <w:rsid w:val="00FD56F0"/>
    <w:rsid w:val="00FD5855"/>
    <w:rsid w:val="00FE08FA"/>
    <w:rsid w:val="00FF28D4"/>
    <w:rsid w:val="00FF470D"/>
    <w:rsid w:val="00FF53C0"/>
    <w:rsid w:val="00FF598C"/>
    <w:rsid w:val="00FF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3F452D-69B9-4FA4-8602-05A24E9C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E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4B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B5643A"/>
    <w:pPr>
      <w:widowControl w:val="0"/>
      <w:autoSpaceDE w:val="0"/>
      <w:autoSpaceDN w:val="0"/>
      <w:adjustRightInd w:val="0"/>
      <w:spacing w:after="0" w:line="240" w:lineRule="auto"/>
      <w:ind w:firstLine="720"/>
    </w:pPr>
    <w:rPr>
      <w:rFonts w:ascii="Arial" w:hAnsi="Arial" w:cs="Arial"/>
      <w:sz w:val="20"/>
      <w:szCs w:val="20"/>
    </w:rPr>
  </w:style>
  <w:style w:type="paragraph" w:styleId="a4">
    <w:name w:val="header"/>
    <w:basedOn w:val="a"/>
    <w:link w:val="a5"/>
    <w:uiPriority w:val="99"/>
    <w:rsid w:val="00B5643A"/>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rsid w:val="00B5643A"/>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B5643A"/>
    <w:rPr>
      <w:rFonts w:cs="Times New Roman"/>
    </w:rPr>
  </w:style>
  <w:style w:type="paragraph" w:styleId="a9">
    <w:name w:val="Balloon Text"/>
    <w:basedOn w:val="a"/>
    <w:link w:val="aa"/>
    <w:uiPriority w:val="99"/>
    <w:semiHidden/>
    <w:rsid w:val="00152CDD"/>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1">
    <w:name w:val="Знак1"/>
    <w:basedOn w:val="a"/>
    <w:uiPriority w:val="99"/>
    <w:rsid w:val="007E7F4F"/>
    <w:pPr>
      <w:spacing w:after="160" w:line="240" w:lineRule="exact"/>
    </w:pPr>
    <w:rPr>
      <w:rFonts w:ascii="Verdana" w:hAnsi="Verdana" w:cs="Verdana"/>
      <w:sz w:val="20"/>
      <w:szCs w:val="20"/>
      <w:lang w:val="en-US" w:eastAsia="en-US"/>
    </w:rPr>
  </w:style>
  <w:style w:type="character" w:styleId="ab">
    <w:name w:val="Hyperlink"/>
    <w:basedOn w:val="a0"/>
    <w:uiPriority w:val="99"/>
    <w:rsid w:val="005D11D2"/>
    <w:rPr>
      <w:rFonts w:cs="Times New Roman"/>
      <w:color w:val="0000FF"/>
      <w:u w:val="single"/>
    </w:rPr>
  </w:style>
  <w:style w:type="paragraph" w:customStyle="1" w:styleId="ConsPlusNormal">
    <w:name w:val="ConsPlusNormal"/>
    <w:uiPriority w:val="99"/>
    <w:rsid w:val="00EB51C5"/>
    <w:pPr>
      <w:widowControl w:val="0"/>
      <w:autoSpaceDE w:val="0"/>
      <w:autoSpaceDN w:val="0"/>
      <w:adjustRightInd w:val="0"/>
      <w:spacing w:after="0" w:line="240" w:lineRule="auto"/>
      <w:ind w:firstLine="720"/>
    </w:pPr>
    <w:rPr>
      <w:rFonts w:ascii="Arial" w:hAnsi="Arial" w:cs="Arial"/>
      <w:sz w:val="20"/>
      <w:szCs w:val="20"/>
    </w:rPr>
  </w:style>
  <w:style w:type="character" w:styleId="ac">
    <w:name w:val="annotation reference"/>
    <w:basedOn w:val="a0"/>
    <w:uiPriority w:val="99"/>
    <w:rsid w:val="009765A6"/>
    <w:rPr>
      <w:rFonts w:cs="Times New Roman"/>
      <w:sz w:val="16"/>
      <w:szCs w:val="16"/>
    </w:rPr>
  </w:style>
  <w:style w:type="paragraph" w:styleId="ad">
    <w:name w:val="annotation text"/>
    <w:basedOn w:val="a"/>
    <w:link w:val="ae"/>
    <w:uiPriority w:val="99"/>
    <w:semiHidden/>
    <w:rsid w:val="009765A6"/>
    <w:rPr>
      <w:sz w:val="20"/>
      <w:szCs w:val="20"/>
    </w:rPr>
  </w:style>
  <w:style w:type="character" w:customStyle="1" w:styleId="ae">
    <w:name w:val="Текст примечания Знак"/>
    <w:basedOn w:val="a0"/>
    <w:link w:val="ad"/>
    <w:uiPriority w:val="99"/>
    <w:semiHidden/>
    <w:locked/>
    <w:rsid w:val="009765A6"/>
    <w:rPr>
      <w:rFonts w:cs="Times New Roman"/>
      <w:sz w:val="20"/>
      <w:szCs w:val="20"/>
    </w:rPr>
  </w:style>
  <w:style w:type="paragraph" w:styleId="af">
    <w:name w:val="annotation subject"/>
    <w:basedOn w:val="ad"/>
    <w:next w:val="ad"/>
    <w:link w:val="af0"/>
    <w:uiPriority w:val="99"/>
    <w:semiHidden/>
    <w:rsid w:val="009765A6"/>
    <w:rPr>
      <w:b/>
      <w:bCs/>
    </w:rPr>
  </w:style>
  <w:style w:type="character" w:customStyle="1" w:styleId="af0">
    <w:name w:val="Тема примечания Знак"/>
    <w:basedOn w:val="ae"/>
    <w:link w:val="af"/>
    <w:uiPriority w:val="99"/>
    <w:semiHidden/>
    <w:locked/>
    <w:rsid w:val="009765A6"/>
    <w:rPr>
      <w:rFonts w:cs="Times New Roman"/>
      <w:b/>
      <w:bCs/>
      <w:sz w:val="20"/>
      <w:szCs w:val="20"/>
    </w:rPr>
  </w:style>
  <w:style w:type="paragraph" w:styleId="af1">
    <w:name w:val="Normal (Web)"/>
    <w:basedOn w:val="a"/>
    <w:uiPriority w:val="99"/>
    <w:rsid w:val="00125CB5"/>
    <w:pPr>
      <w:spacing w:before="45" w:after="45"/>
    </w:pPr>
    <w:rPr>
      <w:rFonts w:ascii="Arial" w:hAnsi="Arial" w:cs="Arial"/>
      <w:sz w:val="16"/>
      <w:szCs w:val="16"/>
      <w:lang w:val="en-US" w:eastAsia="en-US"/>
    </w:rPr>
  </w:style>
  <w:style w:type="character" w:customStyle="1" w:styleId="apple-converted-space">
    <w:name w:val="apple-converted-space"/>
    <w:basedOn w:val="a0"/>
    <w:uiPriority w:val="99"/>
    <w:rsid w:val="00125CB5"/>
    <w:rPr>
      <w:rFonts w:cs="Times New Roman"/>
    </w:rPr>
  </w:style>
  <w:style w:type="paragraph" w:customStyle="1" w:styleId="ConsNonformat">
    <w:name w:val="ConsNonformat"/>
    <w:uiPriority w:val="99"/>
    <w:rsid w:val="00E303DA"/>
    <w:pPr>
      <w:widowControl w:val="0"/>
      <w:autoSpaceDE w:val="0"/>
      <w:autoSpaceDN w:val="0"/>
      <w:spacing w:after="0" w:line="240" w:lineRule="auto"/>
    </w:pPr>
    <w:rPr>
      <w:rFonts w:ascii="Courier New" w:hAnsi="Courier New" w:cs="Courier New"/>
      <w:sz w:val="20"/>
      <w:szCs w:val="20"/>
    </w:rPr>
  </w:style>
  <w:style w:type="paragraph" w:customStyle="1" w:styleId="AODocTxtL2">
    <w:name w:val="AODocTxtL2"/>
    <w:basedOn w:val="a"/>
    <w:uiPriority w:val="99"/>
    <w:rsid w:val="00FD5855"/>
    <w:pPr>
      <w:widowControl w:val="0"/>
      <w:tabs>
        <w:tab w:val="left" w:pos="1440"/>
      </w:tabs>
      <w:suppressAutoHyphens/>
      <w:spacing w:before="240" w:line="260" w:lineRule="atLeast"/>
      <w:ind w:left="1440" w:hanging="360"/>
      <w:jc w:val="both"/>
    </w:pPr>
    <w:rPr>
      <w:rFonts w:eastAsia="SimSun"/>
      <w:sz w:val="22"/>
      <w:lang w:val="en-GB" w:eastAsia="hi-IN" w:bidi="hi-IN"/>
    </w:rPr>
  </w:style>
  <w:style w:type="paragraph" w:customStyle="1" w:styleId="fieldname">
    <w:name w:val="field_name"/>
    <w:basedOn w:val="a"/>
    <w:uiPriority w:val="99"/>
    <w:rsid w:val="00F36E4D"/>
    <w:pPr>
      <w:spacing w:before="45" w:after="45"/>
      <w:jc w:val="right"/>
    </w:pPr>
    <w:rPr>
      <w:rFonts w:ascii="Arial" w:hAnsi="Arial" w:cs="Arial"/>
      <w:b/>
      <w:bCs/>
      <w:sz w:val="16"/>
      <w:szCs w:val="16"/>
      <w:lang w:val="en-US" w:eastAsia="en-US"/>
    </w:rPr>
  </w:style>
  <w:style w:type="paragraph" w:styleId="af2">
    <w:name w:val="List Paragraph"/>
    <w:basedOn w:val="a"/>
    <w:uiPriority w:val="34"/>
    <w:qFormat/>
    <w:rsid w:val="002E4F15"/>
    <w:pPr>
      <w:spacing w:line="360" w:lineRule="atLeast"/>
      <w:ind w:left="720"/>
      <w:jc w:val="both"/>
    </w:pPr>
    <w:rPr>
      <w:rFonts w:ascii="Times New Roman CYR" w:hAnsi="Times New Roman CYR" w:cs="Times New Roman CYR"/>
      <w:sz w:val="28"/>
      <w:szCs w:val="28"/>
      <w:lang w:eastAsia="zh-CN"/>
    </w:rPr>
  </w:style>
  <w:style w:type="paragraph" w:styleId="af3">
    <w:name w:val="Body Text"/>
    <w:basedOn w:val="a"/>
    <w:link w:val="af4"/>
    <w:uiPriority w:val="99"/>
    <w:rsid w:val="002E4F15"/>
    <w:pPr>
      <w:autoSpaceDE w:val="0"/>
      <w:autoSpaceDN w:val="0"/>
      <w:spacing w:after="120"/>
    </w:pPr>
    <w:rPr>
      <w:sz w:val="20"/>
      <w:szCs w:val="20"/>
    </w:rPr>
  </w:style>
  <w:style w:type="character" w:customStyle="1" w:styleId="af4">
    <w:name w:val="Основной текст Знак"/>
    <w:basedOn w:val="a0"/>
    <w:link w:val="af3"/>
    <w:uiPriority w:val="99"/>
    <w:rsid w:val="002E4F15"/>
    <w:rPr>
      <w:sz w:val="20"/>
      <w:szCs w:val="20"/>
    </w:rPr>
  </w:style>
  <w:style w:type="character" w:customStyle="1" w:styleId="af5">
    <w:name w:val="Текстовый Знак"/>
    <w:basedOn w:val="a0"/>
    <w:link w:val="af6"/>
    <w:locked/>
    <w:rsid w:val="002E4F15"/>
    <w:rPr>
      <w:rFonts w:ascii="Arial" w:hAnsi="Arial"/>
    </w:rPr>
  </w:style>
  <w:style w:type="paragraph" w:customStyle="1" w:styleId="af6">
    <w:name w:val="Текстовый"/>
    <w:link w:val="af5"/>
    <w:rsid w:val="002E4F15"/>
    <w:pPr>
      <w:widowControl w:val="0"/>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4593</Words>
  <Characters>26182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tfb</Company>
  <LinksUpToDate>false</LinksUpToDate>
  <CharactersWithSpaces>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tfb</dc:creator>
  <cp:keywords/>
  <dc:description/>
  <cp:lastModifiedBy>Елена Кузнецова</cp:lastModifiedBy>
  <cp:revision>20</cp:revision>
  <cp:lastPrinted>2021-07-22T05:24:00Z</cp:lastPrinted>
  <dcterms:created xsi:type="dcterms:W3CDTF">2020-04-22T04:51:00Z</dcterms:created>
  <dcterms:modified xsi:type="dcterms:W3CDTF">2021-07-22T05:24:00Z</dcterms:modified>
</cp:coreProperties>
</file>