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D" w:rsidRDefault="00FB1C5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FB1C5D" w:rsidRDefault="00FB1C5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FB1C5D" w:rsidRDefault="00FB1C5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D238C2" w:rsidRDefault="00BE33D3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746943">
        <w:rPr>
          <w:b/>
          <w:bCs/>
          <w:sz w:val="22"/>
          <w:szCs w:val="22"/>
        </w:rPr>
        <w:t xml:space="preserve">ИЗМЕНЕНИЯ И ДОПОЛНЕНИЯ № </w:t>
      </w:r>
      <w:r w:rsidR="00AC23F2" w:rsidRPr="00D238C2">
        <w:rPr>
          <w:b/>
          <w:bCs/>
          <w:sz w:val="22"/>
          <w:szCs w:val="22"/>
        </w:rPr>
        <w:t>10</w:t>
      </w:r>
    </w:p>
    <w:p w:rsidR="00BE33D3" w:rsidRPr="00746943" w:rsidRDefault="00BE33D3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746943">
        <w:rPr>
          <w:b/>
          <w:bCs/>
          <w:sz w:val="22"/>
          <w:szCs w:val="22"/>
        </w:rPr>
        <w:t>В ПРАВИЛА ДОВЕРИТЕЛЬНОГО УПРАВЛЕНИЯ</w:t>
      </w:r>
    </w:p>
    <w:p w:rsidR="00BE33D3" w:rsidRPr="00746943" w:rsidRDefault="00BE33D3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746943">
        <w:rPr>
          <w:b/>
          <w:bCs/>
          <w:sz w:val="22"/>
          <w:szCs w:val="22"/>
        </w:rPr>
        <w:t>ОТКРЫТЫМ ПАЕВЫМ ИНВЕСТИЦИОННЫМ ФОНДОМ АКЦИЙ «ФОНД 2025»</w:t>
      </w:r>
    </w:p>
    <w:p w:rsidR="00877F52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(Правила доверительного управления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>Открытым паевым инвестиционным фондом акций «ФОНД 2025» под управлением</w:t>
      </w:r>
    </w:p>
    <w:p w:rsidR="00877F52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Закрытого акционерного общества «Объединенная Финансовая Группа ИНВЕСТ»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>зарегистрированы ФСФР России 2 октября 2007 год</w:t>
      </w:r>
      <w:r w:rsidR="00746943">
        <w:rPr>
          <w:sz w:val="20"/>
          <w:szCs w:val="20"/>
        </w:rPr>
        <w:t>а за № 1009-94131352</w:t>
      </w:r>
      <w:r w:rsidR="00746943" w:rsidRPr="00746943">
        <w:rPr>
          <w:sz w:val="20"/>
          <w:szCs w:val="20"/>
        </w:rPr>
        <w:t>)</w:t>
      </w:r>
    </w:p>
    <w:p w:rsidR="00BF0738" w:rsidRPr="00746943" w:rsidRDefault="00BF0738" w:rsidP="00BA2B8B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162" w:type="dxa"/>
        <w:jc w:val="center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2"/>
        <w:gridCol w:w="5040"/>
      </w:tblGrid>
      <w:tr w:rsidR="0079404B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79404B" w:rsidRPr="00746943" w:rsidRDefault="004A2E9F" w:rsidP="00AC23F2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9404B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0D3D99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79404B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ункт</w:t>
            </w:r>
            <w:r w:rsidR="00AC2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 7-12</w:t>
            </w:r>
            <w:r w:rsidR="0079404B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79404B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79404B" w:rsidRPr="00746943" w:rsidRDefault="0079404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79404B" w:rsidRPr="00746943" w:rsidRDefault="0079404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79404B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7. Полное фирменное наименование специализированного депозитария фонда: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Акционерный коммерческий банк «РОСБАНК»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7193">
              <w:rPr>
                <w:rFonts w:ascii="Times New Roman" w:hAnsi="Times New Roman" w:cs="Times New Roman"/>
                <w:b/>
                <w:sz w:val="22"/>
                <w:szCs w:val="22"/>
              </w:rPr>
              <w:t>(открытое акционерное общество)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специализированный депозитарий).</w:t>
            </w:r>
          </w:p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107078, г. Москва, ул. Маши Порываевой, д. 34.</w:t>
            </w:r>
          </w:p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специализированного депозитария от «17» января 2001 г. № 22-000-0-00029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предоставленная Федеральной службой по финансовым рынкам.</w:t>
            </w:r>
          </w:p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«Компьютершер Регистратор»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(далее - регистратор).</w:t>
            </w:r>
          </w:p>
          <w:p w:rsidR="00AC23F2" w:rsidRPr="00AC23F2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121108, г. Москва, ул. Ивана Франко, д. 8.</w:t>
            </w:r>
            <w:bookmarkStart w:id="0" w:name="p_12"/>
            <w:bookmarkEnd w:id="0"/>
          </w:p>
          <w:p w:rsidR="0079404B" w:rsidRPr="0074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Лицензия регистратора от «06» сентября 2002 г. № 10-000-1-00252 на осуществление деятельности по ведению реестра, предоставленная Федеральной службой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  финансовым рынкам.</w:t>
            </w:r>
          </w:p>
        </w:tc>
        <w:tc>
          <w:tcPr>
            <w:tcW w:w="5040" w:type="dxa"/>
          </w:tcPr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Полное фирменное наименование специализированного депозитария фонда: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C113E5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</w:t>
            </w:r>
            <w:r w:rsidR="005D74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113E5">
              <w:rPr>
                <w:rFonts w:ascii="Times New Roman" w:hAnsi="Times New Roman" w:cs="Times New Roman"/>
                <w:sz w:val="22"/>
                <w:szCs w:val="22"/>
              </w:rPr>
              <w:t>пециализированный депозитарий)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3F2" w:rsidRPr="00AC23F2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</w:t>
            </w:r>
            <w:r w:rsidRPr="00AC23F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Pr="00AC23F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Москва, ул. Восьмого марта 4-я, д.6А.</w:t>
            </w:r>
          </w:p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 от «08» августа 1996 года № 22-000-1-00001, предоставленная Федеральной службой по финансовым рынкам.</w:t>
            </w:r>
          </w:p>
          <w:p w:rsidR="00AC23F2" w:rsidRPr="00D3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="005D7453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р</w:t>
            </w:r>
            <w:r w:rsidRPr="00C113E5">
              <w:rPr>
                <w:rFonts w:ascii="Times New Roman" w:hAnsi="Times New Roman" w:cs="Times New Roman"/>
                <w:sz w:val="22"/>
                <w:szCs w:val="22"/>
              </w:rPr>
              <w:t>егистратор).</w:t>
            </w:r>
          </w:p>
          <w:p w:rsidR="00AC23F2" w:rsidRPr="00AC23F2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 г. Москва, ул. Восьмого марта 4-я, д.6А.</w:t>
            </w:r>
          </w:p>
          <w:p w:rsidR="0079404B" w:rsidRPr="00746943" w:rsidRDefault="00AC23F2" w:rsidP="00AC23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</w:t>
            </w:r>
            <w:r w:rsidRPr="00AC23F2" w:rsidDel="002C6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«08» августа 1996 года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22-000-1-00001, предоставленная Федеральной службой по финансовым рынкам.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5345" w:rsidRPr="00746943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8F5345" w:rsidRPr="00746943" w:rsidRDefault="008F5345" w:rsidP="008F5345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47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8F5345" w:rsidRPr="00746943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8F5345" w:rsidRPr="00746943" w:rsidRDefault="008F534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8F5345" w:rsidRPr="00746943" w:rsidRDefault="008F534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8F5345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47. Порядок подачи заявок на приобретение инвестиционных паев: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F5345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1, № 2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F5345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3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57369C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отправлении.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5345" w:rsidRPr="0030048C" w:rsidRDefault="008F5345" w:rsidP="001D547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 Порядок подачи заявок на приобретение инвестиционных паев: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F5345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F5345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2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F5345" w:rsidRPr="00D36943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57369C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самой анкеты, на обратный почтовый адрес, указанный на почтовом отправлении.</w:t>
            </w:r>
          </w:p>
          <w:p w:rsidR="008F5345" w:rsidRPr="0030048C" w:rsidRDefault="008F5345" w:rsidP="008F534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01B8A" w:rsidRPr="00746943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701B8A" w:rsidRPr="00746943" w:rsidRDefault="00701B8A" w:rsidP="00701B8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  <w:r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67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701B8A" w:rsidRPr="00746943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701B8A" w:rsidRPr="00746943" w:rsidRDefault="00701B8A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701B8A" w:rsidRPr="00746943" w:rsidRDefault="00701B8A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701B8A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701B8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4, № 5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701B8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6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Москва, </w:t>
            </w:r>
            <w:r w:rsidRPr="00E2682B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получения заказного письма управляющей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компанией. В случае отказа в приеме 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701B8A" w:rsidRPr="0030048C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  <w:tc>
          <w:tcPr>
            <w:tcW w:w="5040" w:type="dxa"/>
          </w:tcPr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701B8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</w:t>
            </w:r>
            <w:r w:rsidR="00FE0364">
              <w:rPr>
                <w:rFonts w:ascii="Times New Roman" w:hAnsi="Times New Roman" w:cs="Times New Roman"/>
                <w:b/>
                <w:sz w:val="22"/>
                <w:szCs w:val="22"/>
              </w:rPr>
              <w:t>ем</w:t>
            </w:r>
            <w:r w:rsidRPr="0070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701B8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4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Москва, </w:t>
            </w:r>
            <w:r w:rsidRPr="00E2682B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получения заказного письма управляющей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компанией. В случае отказа в приеме 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701B8A" w:rsidRPr="00D36943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701B8A" w:rsidRPr="0030048C" w:rsidRDefault="00701B8A" w:rsidP="00701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</w:tr>
      <w:tr w:rsidR="00D238C2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D238C2" w:rsidRPr="00746943" w:rsidRDefault="00D11006" w:rsidP="00D238C2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="00D238C2"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238C2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238C2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D23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82 </w:t>
            </w:r>
            <w:r w:rsidR="00D238C2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D238C2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D238C2" w:rsidRPr="00746943" w:rsidRDefault="00D238C2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D238C2" w:rsidRPr="00746943" w:rsidRDefault="00D238C2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D238C2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D238C2" w:rsidRPr="0030048C" w:rsidRDefault="00D238C2" w:rsidP="00D238C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</w:t>
            </w:r>
            <w:r w:rsidRPr="00D238C2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смешанных инвестиций «ОФГ ИНВЕСТ - Сбалансированный»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облигаций «Русские Облигации»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«ИНФРАСТРУКТУРА»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0846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D238C2" w:rsidRPr="0030048C" w:rsidRDefault="00D238C2" w:rsidP="00D238C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</w:t>
            </w:r>
            <w:r w:rsidRPr="00D238C2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облигаций «Фонд Еврооблигаций»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облигаций «Русские Облигации»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«ИНФРАСТРУКТУРА»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0846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1006" w:rsidRPr="00746943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D11006" w:rsidRPr="00746943" w:rsidRDefault="00D11006" w:rsidP="00D11006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84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D11006" w:rsidRPr="00746943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D11006" w:rsidRPr="00746943" w:rsidRDefault="00D11006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D11006" w:rsidRPr="00746943" w:rsidRDefault="00D11006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D11006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D11006" w:rsidRPr="00D36943" w:rsidRDefault="00D11006" w:rsidP="00D11006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D11006" w:rsidRPr="00D36943" w:rsidRDefault="00D11006" w:rsidP="00D110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D36943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</w:t>
            </w:r>
            <w:r w:rsidRPr="002804D8">
              <w:rPr>
                <w:b/>
                <w:sz w:val="22"/>
                <w:szCs w:val="22"/>
              </w:rPr>
              <w:t>с Приложениями №7, № 8</w:t>
            </w:r>
            <w:r w:rsidRPr="00D36943">
              <w:rPr>
                <w:sz w:val="22"/>
                <w:szCs w:val="22"/>
              </w:rPr>
              <w:t xml:space="preserve"> к настоящим Правилам, подаются в </w:t>
            </w:r>
            <w:r w:rsidRPr="00D36943">
              <w:rPr>
                <w:sz w:val="22"/>
                <w:szCs w:val="22"/>
              </w:rPr>
              <w:lastRenderedPageBreak/>
              <w:t>пунктах приема заявок владельцем инвестиционных паев или его уполномоченным представителем;</w:t>
            </w:r>
          </w:p>
          <w:p w:rsidR="00D11006" w:rsidRPr="00D36943" w:rsidRDefault="00D11006" w:rsidP="00D110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D36943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2804D8">
              <w:rPr>
                <w:b/>
                <w:sz w:val="22"/>
                <w:szCs w:val="22"/>
              </w:rPr>
              <w:t>Приложением № 9</w:t>
            </w:r>
            <w:r w:rsidRPr="00D36943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11006" w:rsidRPr="00D36943" w:rsidRDefault="00D11006" w:rsidP="00D11006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ED76F0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D11006" w:rsidRPr="0030048C" w:rsidRDefault="00D11006" w:rsidP="00624B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D11006" w:rsidRPr="00D36943" w:rsidRDefault="00D11006" w:rsidP="00D11006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84. Заявки на обмен инвестиционных паев подаются в следующем порядке:</w:t>
            </w:r>
          </w:p>
          <w:p w:rsidR="00D11006" w:rsidRPr="00D36943" w:rsidRDefault="00D11006" w:rsidP="00D110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D36943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2804D8">
              <w:rPr>
                <w:b/>
                <w:sz w:val="22"/>
                <w:szCs w:val="22"/>
              </w:rPr>
              <w:t>Приложением №5</w:t>
            </w:r>
            <w:r w:rsidRPr="00D36943">
              <w:rPr>
                <w:sz w:val="22"/>
                <w:szCs w:val="22"/>
              </w:rPr>
              <w:t xml:space="preserve"> к настоящим Правилам, подаются в пунктах </w:t>
            </w:r>
            <w:r w:rsidRPr="00D36943">
              <w:rPr>
                <w:sz w:val="22"/>
                <w:szCs w:val="22"/>
              </w:rPr>
              <w:lastRenderedPageBreak/>
              <w:t>приема заявок владельцем инвестиционных паев или его уполномоченным представителем;</w:t>
            </w:r>
          </w:p>
          <w:p w:rsidR="00D11006" w:rsidRPr="00D36943" w:rsidRDefault="00D11006" w:rsidP="00D110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D36943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2804D8">
              <w:rPr>
                <w:b/>
                <w:sz w:val="22"/>
                <w:szCs w:val="22"/>
              </w:rPr>
              <w:t>Приложением № 6</w:t>
            </w:r>
            <w:r w:rsidRPr="00D36943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11006" w:rsidRPr="00D36943" w:rsidRDefault="00D11006" w:rsidP="00D11006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ED76F0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D11006" w:rsidRPr="0030048C" w:rsidRDefault="00D11006" w:rsidP="008F2E2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2812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CC2812" w:rsidRPr="00746943" w:rsidRDefault="0095013B" w:rsidP="0030048C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  <w:r w:rsidR="00CC2812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30048C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3004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96 </w:t>
            </w:r>
            <w:r w:rsidR="003471D3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CC2812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CC2812" w:rsidRPr="00746943" w:rsidRDefault="00CC2812" w:rsidP="009438C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CC2812" w:rsidRPr="00746943" w:rsidRDefault="00CC2812" w:rsidP="009438C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CC2812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CC2812" w:rsidRPr="004A11DB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96. За счет имущества, составляющего фонд, выплачивается вознаграждение управляющей компании в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десятых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) процента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>0,9 (Ноль целых девять десятых)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CC2812" w:rsidRPr="004A11DB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96. За счет имущества, составляющего фонд, выплачивается вознаграждение управляющей компании в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десятых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) процента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>0,5 (Ноль целых пять десятых)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472E39" w:rsidRPr="00746943" w:rsidRDefault="0095013B" w:rsidP="0030048C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  <w:r w:rsidR="00472E3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Пункт </w:t>
            </w:r>
            <w:r w:rsidR="003004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</w:t>
            </w:r>
            <w:r w:rsidR="00472E3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472E39" w:rsidRPr="00746943" w:rsidRDefault="00472E39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472E39" w:rsidRPr="00746943" w:rsidRDefault="00472E39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указанные ценные бумаги в системе ведения реестра владельцев ценных бумаг;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30048C" w:rsidRPr="00D36943" w:rsidRDefault="0030048C" w:rsidP="0030048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72E39" w:rsidRPr="00FB1E09" w:rsidRDefault="0030048C" w:rsidP="0030048C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составляет 1 (Один)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 (включая НДС) среднегодовой стоимости чистых активов фонда, определяемой в порядке, установленном </w:t>
            </w:r>
            <w:r w:rsidRPr="009F6388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040" w:type="dxa"/>
          </w:tcPr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30048C" w:rsidRPr="00D36943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30048C" w:rsidRPr="00D36943" w:rsidRDefault="0030048C" w:rsidP="0030048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72E39" w:rsidRPr="00FB1E09" w:rsidRDefault="0030048C" w:rsidP="0030048C">
            <w:pPr>
              <w:pStyle w:val="Con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>0,3 (Ноль целых три десятых)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</w:t>
            </w:r>
            <w:r w:rsidRPr="009F6388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актами в сфере финансовых рынков.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472E39" w:rsidRPr="00746943" w:rsidRDefault="0095013B" w:rsidP="00472E39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</w:t>
            </w:r>
            <w:r w:rsidR="00472E39"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472E3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Пункт </w:t>
            </w:r>
            <w:r w:rsidR="00472E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3004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  <w:r w:rsidR="00472E3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472E39" w:rsidRPr="00746943" w:rsidRDefault="00472E39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472E39" w:rsidRPr="00746943" w:rsidRDefault="00472E39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472E39" w:rsidRPr="00746943" w:rsidTr="00313ED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472E39" w:rsidRPr="00FB1E09" w:rsidRDefault="0030048C" w:rsidP="0030048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5,1 (Пять целых одна десятая)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5040" w:type="dxa"/>
          </w:tcPr>
          <w:p w:rsidR="00472E39" w:rsidRPr="00FB1E09" w:rsidRDefault="0030048C" w:rsidP="0030048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</w:t>
            </w:r>
            <w:r w:rsidRPr="0064690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300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4,7 (Четыре целых семь десятых)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  <w:tr w:rsidR="00F67A85" w:rsidRPr="00746943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F67A85" w:rsidRPr="00746943" w:rsidRDefault="00F67A85" w:rsidP="00F67A85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6318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F67A85" w:rsidRPr="00746943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122" w:type="dxa"/>
          </w:tcPr>
          <w:p w:rsidR="00F67A85" w:rsidRPr="00746943" w:rsidRDefault="00F67A8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40" w:type="dxa"/>
          </w:tcPr>
          <w:p w:rsidR="00F67A85" w:rsidRPr="00746943" w:rsidRDefault="00F67A8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F67A85" w:rsidRPr="00FB1E09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22" w:type="dxa"/>
          </w:tcPr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103. Управляющая компания и агенты по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выдаче, погашению и обмену инвестиционных паев обязаны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10) сведения об агенте (агентах) по выдаче, погашению и обмену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F67A85" w:rsidRPr="00FB1E09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12)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</w:t>
            </w:r>
            <w:r w:rsidRPr="00F67A8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нормативных правовых актов федерального органа исполнительной власти по рынку ценных бумаг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и настоящих Правил.</w:t>
            </w:r>
          </w:p>
        </w:tc>
        <w:tc>
          <w:tcPr>
            <w:tcW w:w="5040" w:type="dxa"/>
          </w:tcPr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103. Управляющая компания и агенты по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выдаче, погашению и обмену инвестиционных паев обязаны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7A85">
              <w:rPr>
                <w:rFonts w:ascii="Times New Roman" w:hAnsi="Times New Roman" w:cs="Times New Roman"/>
                <w:b/>
                <w:sz w:val="22"/>
                <w:szCs w:val="22"/>
              </w:rPr>
              <w:t>и зарегистрированных Банком России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7A85">
              <w:rPr>
                <w:rFonts w:ascii="Times New Roman" w:hAnsi="Times New Roman" w:cs="Times New Roman"/>
                <w:b/>
                <w:sz w:val="22"/>
                <w:szCs w:val="22"/>
              </w:rPr>
              <w:t>и зарегистрированных Банком России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9) сведения о приостановлении и возобновлении выдачи, погашения и обмена инвестиционных паев с указанием причин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приостановления;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10) сведения об агенте (агентах) по выдаче, погашению и обмену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F67A85" w:rsidRPr="00D36943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F67A85" w:rsidRPr="00FB1E09" w:rsidRDefault="00F67A85" w:rsidP="00F67A8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12)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</w:t>
            </w:r>
            <w:r w:rsidRPr="00F67A8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нормативных актов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и настоящих Правил.</w:t>
            </w:r>
          </w:p>
        </w:tc>
      </w:tr>
      <w:tr w:rsidR="009631C1" w:rsidRPr="00746943" w:rsidTr="00E56F7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</w:tcPr>
          <w:p w:rsidR="009631C1" w:rsidRPr="00746943" w:rsidRDefault="00103737" w:rsidP="001D54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  <w:r w:rsidR="009631C1" w:rsidRPr="00271213">
              <w:rPr>
                <w:b/>
                <w:bCs/>
                <w:sz w:val="22"/>
                <w:szCs w:val="22"/>
              </w:rPr>
              <w:t>.</w:t>
            </w:r>
            <w:r w:rsidR="009631C1" w:rsidRPr="00FB1E09">
              <w:rPr>
                <w:b/>
                <w:bCs/>
                <w:sz w:val="22"/>
                <w:szCs w:val="22"/>
              </w:rPr>
              <w:t xml:space="preserve"> </w:t>
            </w:r>
            <w:r w:rsidR="009631C1">
              <w:rPr>
                <w:b/>
                <w:bCs/>
                <w:sz w:val="22"/>
                <w:szCs w:val="22"/>
              </w:rPr>
              <w:t xml:space="preserve"> </w:t>
            </w:r>
            <w:r w:rsidR="009631C1" w:rsidRPr="007052D8">
              <w:rPr>
                <w:iCs/>
                <w:sz w:val="22"/>
                <w:szCs w:val="22"/>
              </w:rPr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  <w:tr w:rsidR="009631C1" w:rsidRPr="00746943" w:rsidTr="001855A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162" w:type="dxa"/>
            <w:gridSpan w:val="2"/>
            <w:vAlign w:val="center"/>
          </w:tcPr>
          <w:p w:rsidR="009631C1" w:rsidRPr="00656CEB" w:rsidRDefault="009631C1" w:rsidP="001855A2">
            <w:pPr>
              <w:pStyle w:val="Con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0373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2C7BF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 № 1 - № 9 заменить приложениями № 1 - № 6.</w:t>
            </w:r>
          </w:p>
        </w:tc>
      </w:tr>
    </w:tbl>
    <w:p w:rsidR="00BF0738" w:rsidRPr="00746943" w:rsidRDefault="00BF0738" w:rsidP="00BA2B8B">
      <w:pPr>
        <w:jc w:val="both"/>
        <w:rPr>
          <w:sz w:val="22"/>
          <w:szCs w:val="22"/>
        </w:rPr>
      </w:pPr>
      <w:bookmarkStart w:id="1" w:name="p_81"/>
      <w:bookmarkStart w:id="2" w:name="p_82"/>
      <w:bookmarkEnd w:id="1"/>
      <w:bookmarkEnd w:id="2"/>
    </w:p>
    <w:p w:rsidR="00103737" w:rsidRDefault="00103737" w:rsidP="0095013B">
      <w:pPr>
        <w:jc w:val="both"/>
        <w:rPr>
          <w:sz w:val="22"/>
          <w:szCs w:val="22"/>
        </w:rPr>
      </w:pPr>
    </w:p>
    <w:p w:rsidR="00103737" w:rsidRDefault="00103737" w:rsidP="0095013B">
      <w:pPr>
        <w:jc w:val="both"/>
        <w:rPr>
          <w:sz w:val="22"/>
          <w:szCs w:val="22"/>
        </w:rPr>
      </w:pPr>
    </w:p>
    <w:p w:rsidR="00CF2C9A" w:rsidRPr="00746943" w:rsidRDefault="00CF2C9A" w:rsidP="0095013B">
      <w:pPr>
        <w:jc w:val="both"/>
        <w:rPr>
          <w:sz w:val="22"/>
          <w:szCs w:val="22"/>
        </w:rPr>
      </w:pPr>
      <w:r w:rsidRPr="00746943">
        <w:rPr>
          <w:sz w:val="22"/>
          <w:szCs w:val="22"/>
        </w:rPr>
        <w:t>Генеральный директор</w:t>
      </w:r>
    </w:p>
    <w:p w:rsidR="00CF2C9A" w:rsidRDefault="00CF2C9A" w:rsidP="0095013B">
      <w:pPr>
        <w:jc w:val="both"/>
        <w:rPr>
          <w:sz w:val="22"/>
          <w:szCs w:val="22"/>
        </w:rPr>
      </w:pPr>
      <w:r w:rsidRPr="00746943">
        <w:rPr>
          <w:sz w:val="22"/>
          <w:szCs w:val="22"/>
        </w:rPr>
        <w:t>ЗАО «ОФГ ИНВЕСТ»</w:t>
      </w:r>
      <w:r w:rsidRPr="00746943">
        <w:rPr>
          <w:sz w:val="22"/>
          <w:szCs w:val="22"/>
        </w:rPr>
        <w:tab/>
      </w:r>
      <w:r w:rsidR="0095013B">
        <w:rPr>
          <w:sz w:val="22"/>
          <w:szCs w:val="22"/>
        </w:rPr>
        <w:t xml:space="preserve">         </w:t>
      </w:r>
      <w:r w:rsidRPr="00746943">
        <w:rPr>
          <w:sz w:val="22"/>
          <w:szCs w:val="22"/>
        </w:rPr>
        <w:tab/>
      </w:r>
      <w:r w:rsidRPr="00746943">
        <w:rPr>
          <w:sz w:val="22"/>
          <w:szCs w:val="22"/>
        </w:rPr>
        <w:tab/>
      </w:r>
      <w:r w:rsidRPr="00746943">
        <w:rPr>
          <w:sz w:val="22"/>
          <w:szCs w:val="22"/>
        </w:rPr>
        <w:tab/>
      </w:r>
      <w:r w:rsidRPr="00746943">
        <w:rPr>
          <w:sz w:val="22"/>
          <w:szCs w:val="22"/>
        </w:rPr>
        <w:tab/>
      </w:r>
      <w:r w:rsidRPr="00746943">
        <w:rPr>
          <w:sz w:val="22"/>
          <w:szCs w:val="22"/>
        </w:rPr>
        <w:tab/>
      </w:r>
      <w:r w:rsidR="0095013B">
        <w:rPr>
          <w:sz w:val="22"/>
          <w:szCs w:val="22"/>
        </w:rPr>
        <w:t xml:space="preserve">              </w:t>
      </w:r>
      <w:r w:rsidR="00103737">
        <w:rPr>
          <w:sz w:val="22"/>
          <w:szCs w:val="22"/>
        </w:rPr>
        <w:t xml:space="preserve">           </w:t>
      </w:r>
      <w:r w:rsidR="0095013B">
        <w:rPr>
          <w:sz w:val="22"/>
          <w:szCs w:val="22"/>
        </w:rPr>
        <w:t xml:space="preserve">    </w:t>
      </w:r>
      <w:r w:rsidRPr="00746943">
        <w:rPr>
          <w:sz w:val="22"/>
          <w:szCs w:val="22"/>
        </w:rPr>
        <w:tab/>
      </w:r>
      <w:r w:rsidR="0095013B">
        <w:rPr>
          <w:sz w:val="22"/>
          <w:szCs w:val="22"/>
        </w:rPr>
        <w:t xml:space="preserve">    </w:t>
      </w:r>
      <w:r w:rsidR="00746943">
        <w:rPr>
          <w:sz w:val="22"/>
          <w:szCs w:val="22"/>
        </w:rPr>
        <w:t>Е.А.Малыхин</w:t>
      </w:r>
    </w:p>
    <w:p w:rsidR="007E4B67" w:rsidRDefault="007E4B6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103737" w:rsidRDefault="00103737" w:rsidP="007E4B67">
      <w:pPr>
        <w:jc w:val="both"/>
        <w:rPr>
          <w:sz w:val="22"/>
          <w:szCs w:val="22"/>
        </w:rPr>
      </w:pPr>
    </w:p>
    <w:p w:rsidR="00B27C16" w:rsidRDefault="00B27C16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Pr="00D877E3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  <w:r w:rsidRPr="00D877E3">
        <w:rPr>
          <w:spacing w:val="8"/>
          <w:sz w:val="16"/>
          <w:szCs w:val="16"/>
          <w:lang w:val="ru-RU"/>
        </w:rPr>
        <w:lastRenderedPageBreak/>
        <w:t xml:space="preserve">Приложение № 1 к Правилам Фонда </w:t>
      </w:r>
    </w:p>
    <w:p w:rsidR="007E4B67" w:rsidRPr="001A1A3F" w:rsidRDefault="007E4B67" w:rsidP="007E4B67">
      <w:pPr>
        <w:pStyle w:val="1"/>
        <w:spacing w:before="0"/>
        <w:jc w:val="center"/>
        <w:rPr>
          <w:sz w:val="20"/>
          <w:szCs w:val="20"/>
        </w:rPr>
      </w:pPr>
      <w:r w:rsidRPr="001A1A3F">
        <w:rPr>
          <w:sz w:val="20"/>
          <w:szCs w:val="20"/>
        </w:rPr>
        <w:t>Заявка на приобретение инвестиционных паев № __________</w:t>
      </w:r>
    </w:p>
    <w:p w:rsidR="007E4B67" w:rsidRDefault="007E4B67" w:rsidP="007E4B67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_________ Время:</w:t>
      </w:r>
      <w:r>
        <w:rPr>
          <w:b/>
          <w:bCs/>
        </w:rPr>
        <w:t>__________</w:t>
      </w:r>
      <w:r>
        <w:rPr>
          <w:b/>
          <w:bCs/>
          <w:lang w:val="ru-RU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D877E3" w:rsidRDefault="007E4B67" w:rsidP="001D5477">
            <w:pPr>
              <w:pStyle w:val="fieldname"/>
              <w:spacing w:before="0" w:after="0"/>
              <w:ind w:left="74"/>
              <w:rPr>
                <w:spacing w:val="10"/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D877E3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>
              <w:rPr>
                <w:lang w:val="ru-RU"/>
              </w:rPr>
              <w:t>Ф.И.</w:t>
            </w:r>
            <w:r w:rsidRPr="00A20102">
              <w:rPr>
                <w:lang w:val="ru-RU"/>
              </w:rPr>
              <w:t>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EB201D" w:rsidRDefault="007E4B67" w:rsidP="001D5477">
            <w:pPr>
              <w:ind w:left="75"/>
              <w:rPr>
                <w:sz w:val="20"/>
                <w:szCs w:val="20"/>
              </w:rPr>
            </w:pPr>
            <w:r w:rsidRPr="00EB201D">
              <w:rPr>
                <w:sz w:val="20"/>
                <w:szCs w:val="20"/>
              </w:rPr>
              <w:t> </w:t>
            </w: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D877E3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D877E3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9C69E2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rHeight w:val="381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613CDE">
              <w:rPr>
                <w:lang w:val="ru-RU"/>
              </w:rPr>
              <w:t>Номер лицевого счета</w:t>
            </w:r>
            <w:r>
              <w:rPr>
                <w:rStyle w:val="afa"/>
                <w:rFonts w:cs="Arial"/>
              </w:rPr>
              <w:footnoteReference w:customMarkFollows="1" w:id="1"/>
              <w:t>л1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A20102" w:rsidRDefault="007E4B67" w:rsidP="001D5477">
            <w:pPr>
              <w:ind w:left="75"/>
              <w:rPr>
                <w:sz w:val="20"/>
                <w:szCs w:val="20"/>
              </w:rPr>
            </w:pPr>
          </w:p>
        </w:tc>
      </w:tr>
    </w:tbl>
    <w:p w:rsidR="007E4B67" w:rsidRPr="00D877E3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4B67" w:rsidTr="001D5477">
        <w:trPr>
          <w:trHeight w:val="340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D877E3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D81301" w:rsidRDefault="007E4B67" w:rsidP="001D5477">
            <w:pPr>
              <w:pStyle w:val="fieldname"/>
              <w:spacing w:before="0" w:after="0"/>
              <w:ind w:left="-49"/>
              <w:jc w:val="left"/>
              <w:rPr>
                <w:spacing w:val="10"/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D877E3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D877E3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8"/>
          <w:szCs w:val="18"/>
          <w:lang w:eastAsia="en-US"/>
        </w:rPr>
      </w:pPr>
      <w:r w:rsidRPr="00D877E3">
        <w:rPr>
          <w:rFonts w:ascii="Arial" w:hAnsi="Arial" w:cs="Arial"/>
          <w:b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120" w:after="1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EB201D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</w:t>
            </w:r>
            <w:r w:rsidRPr="00EB201D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BB3EB1" w:rsidRDefault="007E4B67" w:rsidP="007E4B67">
      <w:pPr>
        <w:pStyle w:val="af7"/>
        <w:spacing w:before="120" w:after="120"/>
        <w:jc w:val="center"/>
        <w:rPr>
          <w:b/>
          <w:bCs/>
          <w:lang w:val="ru-RU"/>
        </w:rPr>
      </w:pPr>
      <w:r w:rsidRPr="00BB3EB1">
        <w:rPr>
          <w:b/>
          <w:bCs/>
          <w:lang w:val="ru-RU"/>
        </w:rPr>
        <w:t xml:space="preserve">Настоящая заявка носит безотзывный характер. С Правилами </w:t>
      </w:r>
      <w:r>
        <w:rPr>
          <w:b/>
          <w:bCs/>
          <w:lang w:val="ru-RU"/>
        </w:rPr>
        <w:t>Ф</w:t>
      </w:r>
      <w:r w:rsidRPr="00BB3EB1">
        <w:rPr>
          <w:b/>
          <w:bCs/>
          <w:lang w:val="ru-RU"/>
        </w:rPr>
        <w:t>онда ознакомлен.</w:t>
      </w:r>
    </w:p>
    <w:tbl>
      <w:tblPr>
        <w:tblpPr w:leftFromText="180" w:rightFromText="180" w:vertAnchor="text" w:horzAnchor="margin" w:tblpXSpec="center" w:tblpY="66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0441A3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7E4B67" w:rsidRPr="000441A3" w:rsidRDefault="007E4B67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 w:rsidRPr="00D81301"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  </w:t>
            </w:r>
            <w:r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</w:t>
            </w:r>
            <w:r w:rsidRPr="003116F4">
              <w:rPr>
                <w:b/>
                <w:bCs/>
                <w:sz w:val="12"/>
                <w:szCs w:val="12"/>
                <w:lang w:val="ru-RU"/>
              </w:rPr>
              <w:t xml:space="preserve">(или уполномоченного представителя)                      </w:t>
            </w:r>
            <w:r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7E4B67" w:rsidRPr="0042778F" w:rsidRDefault="007E4B67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7E4B67" w:rsidRDefault="007E4B67" w:rsidP="007E4B67">
      <w:pPr>
        <w:pStyle w:val="af7"/>
        <w:spacing w:before="0" w:after="0"/>
        <w:rPr>
          <w:lang w:val="ru-RU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Default="007E4B67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B27C16" w:rsidRDefault="00B27C16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B27C16" w:rsidRDefault="00B27C16" w:rsidP="007E4B67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7E4B67" w:rsidRPr="0050501F" w:rsidRDefault="007E4B67" w:rsidP="007E4B67">
      <w:pPr>
        <w:pStyle w:val="fieldcomment"/>
        <w:spacing w:before="0" w:after="0"/>
        <w:jc w:val="right"/>
        <w:rPr>
          <w:lang w:val="ru-RU"/>
        </w:rPr>
      </w:pPr>
      <w:r>
        <w:rPr>
          <w:spacing w:val="8"/>
          <w:sz w:val="16"/>
          <w:szCs w:val="16"/>
          <w:lang w:val="ru-RU"/>
        </w:rPr>
        <w:lastRenderedPageBreak/>
        <w:t>П</w:t>
      </w:r>
      <w:r w:rsidRPr="0050501F">
        <w:rPr>
          <w:spacing w:val="8"/>
          <w:sz w:val="16"/>
          <w:szCs w:val="16"/>
          <w:lang w:val="ru-RU"/>
        </w:rPr>
        <w:t>риложение № 2 к Правилам Фонда</w:t>
      </w:r>
    </w:p>
    <w:p w:rsidR="007E4B67" w:rsidRPr="0050501F" w:rsidRDefault="007E4B67" w:rsidP="007E4B67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 xml:space="preserve">Заявка на приобретение инвестиционных паев </w:t>
      </w:r>
    </w:p>
    <w:p w:rsidR="007E4B67" w:rsidRPr="0050501F" w:rsidRDefault="007E4B67" w:rsidP="007E4B67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>для номинальных держателей № __________</w:t>
      </w:r>
    </w:p>
    <w:p w:rsidR="007E4B67" w:rsidRDefault="007E4B67" w:rsidP="007E4B67">
      <w:pPr>
        <w:pStyle w:val="fielddata"/>
        <w:spacing w:before="0"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Дата: ___________ Время:___________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50501F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50501F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CE5B3F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7E4B67" w:rsidRPr="0050501F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113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50501F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50501F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7E4B67" w:rsidRPr="00572E5C" w:rsidRDefault="007E4B67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50501F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50501F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E02BB7" w:rsidRDefault="007E4B67" w:rsidP="007E4B67">
      <w:pPr>
        <w:pStyle w:val="af7"/>
        <w:spacing w:before="120" w:after="120"/>
        <w:jc w:val="center"/>
        <w:rPr>
          <w:b/>
          <w:bCs/>
          <w:sz w:val="14"/>
          <w:szCs w:val="14"/>
          <w:lang w:val="ru-RU"/>
        </w:rPr>
      </w:pPr>
      <w:r w:rsidRPr="00763BC4">
        <w:rPr>
          <w:b/>
          <w:bCs/>
          <w:sz w:val="14"/>
          <w:szCs w:val="14"/>
          <w:lang w:val="ru-RU"/>
        </w:rPr>
        <w:t>Прошу выда</w:t>
      </w:r>
      <w:r>
        <w:rPr>
          <w:b/>
          <w:bCs/>
          <w:sz w:val="14"/>
          <w:szCs w:val="14"/>
          <w:lang w:val="ru-RU"/>
        </w:rPr>
        <w:t>вать</w:t>
      </w:r>
      <w:r w:rsidRPr="00763BC4">
        <w:rPr>
          <w:b/>
          <w:bCs/>
          <w:sz w:val="14"/>
          <w:szCs w:val="14"/>
          <w:lang w:val="ru-RU"/>
        </w:rPr>
        <w:t xml:space="preserve"> инвестиционные паи </w:t>
      </w:r>
      <w:r>
        <w:rPr>
          <w:b/>
          <w:bCs/>
          <w:sz w:val="14"/>
          <w:szCs w:val="14"/>
          <w:lang w:val="ru-RU"/>
        </w:rPr>
        <w:t>Ф</w:t>
      </w:r>
      <w:r w:rsidRPr="00763BC4">
        <w:rPr>
          <w:b/>
          <w:bCs/>
          <w:sz w:val="14"/>
          <w:szCs w:val="14"/>
          <w:lang w:val="ru-RU"/>
        </w:rPr>
        <w:t xml:space="preserve">онда </w:t>
      </w:r>
      <w:r w:rsidRPr="00E02BB7">
        <w:rPr>
          <w:b/>
          <w:bCs/>
          <w:sz w:val="14"/>
          <w:szCs w:val="14"/>
          <w:lang w:val="ru-RU"/>
        </w:rPr>
        <w:t>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50501F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приобретаемых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7E4B67" w:rsidRPr="0050501F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Tr="001D5477">
        <w:trPr>
          <w:trHeight w:val="227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50501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50501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9C69E2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120" w:after="120"/>
        <w:jc w:val="center"/>
        <w:rPr>
          <w:b/>
          <w:bCs/>
          <w:lang w:val="ru-RU"/>
        </w:rPr>
      </w:pPr>
    </w:p>
    <w:p w:rsidR="007E4B67" w:rsidRPr="009B6C63" w:rsidRDefault="007E4B67" w:rsidP="007E4B67">
      <w:pPr>
        <w:pStyle w:val="af7"/>
        <w:spacing w:before="0" w:after="0"/>
        <w:jc w:val="center"/>
        <w:rPr>
          <w:b/>
          <w:bCs/>
          <w:lang w:val="ru-RU"/>
        </w:rPr>
      </w:pPr>
      <w:r w:rsidRPr="009B6C6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7E4B67" w:rsidRDefault="007E4B67" w:rsidP="007E4B67">
      <w:pPr>
        <w:pStyle w:val="fieldcomment"/>
        <w:jc w:val="right"/>
        <w:rPr>
          <w:lang w:val="ru-RU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0441A3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уполномоченного представителя</w:t>
            </w:r>
          </w:p>
          <w:p w:rsidR="007E4B67" w:rsidRPr="000441A3" w:rsidRDefault="007E4B67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7E4B67" w:rsidRPr="0042778F" w:rsidRDefault="007E4B67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Pr="000A3D2D" w:rsidRDefault="007E4B67" w:rsidP="007E4B67">
      <w:pPr>
        <w:pStyle w:val="fieldcomment"/>
        <w:jc w:val="right"/>
        <w:rPr>
          <w:sz w:val="16"/>
          <w:szCs w:val="16"/>
          <w:lang w:val="ru-RU"/>
        </w:rPr>
      </w:pPr>
      <w:r w:rsidRPr="000A3D2D">
        <w:rPr>
          <w:sz w:val="16"/>
          <w:szCs w:val="16"/>
          <w:lang w:val="ru-RU"/>
        </w:rPr>
        <w:lastRenderedPageBreak/>
        <w:t xml:space="preserve">Приложение № 3 к Правилам Фонда </w:t>
      </w:r>
    </w:p>
    <w:p w:rsidR="007E4B67" w:rsidRDefault="007E4B67" w:rsidP="007E4B67">
      <w:pPr>
        <w:pStyle w:val="1"/>
        <w:spacing w:before="0" w:after="0"/>
        <w:jc w:val="center"/>
      </w:pPr>
      <w:r w:rsidRPr="00203363">
        <w:rPr>
          <w:sz w:val="20"/>
          <w:szCs w:val="20"/>
        </w:rPr>
        <w:t xml:space="preserve">Заявка на погашение инвестиционных паев №____________ </w:t>
      </w:r>
    </w:p>
    <w:p w:rsidR="007E4B67" w:rsidRDefault="007E4B67" w:rsidP="007E4B67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CE5B3F" w:rsidRDefault="007E4B67" w:rsidP="001D5477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D877E3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4B67" w:rsidTr="001D5477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203363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0A3D2D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 w:rsidRPr="00FB1C5D">
              <w:rPr>
                <w:rStyle w:val="afa"/>
                <w:rFonts w:cs="Arial"/>
                <w:lang w:val="ru-RU"/>
              </w:rPr>
              <w:footnoteReference w:customMarkFollows="1" w:id="2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6E4633">
              <w:rPr>
                <w:rStyle w:val="fieldcomment1"/>
                <w:bCs w:val="0"/>
                <w:szCs w:val="9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375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7E4B67" w:rsidRPr="000C6341" w:rsidRDefault="007E4B67" w:rsidP="007E4B67">
      <w:pPr>
        <w:pStyle w:val="af7"/>
        <w:spacing w:before="375" w:after="375"/>
        <w:jc w:val="center"/>
        <w:rPr>
          <w:b/>
          <w:bCs/>
          <w:lang w:val="ru-RU"/>
        </w:rPr>
      </w:pPr>
      <w:r w:rsidRPr="000C6341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7E4B67" w:rsidRDefault="007E4B67" w:rsidP="007E4B67">
      <w:pPr>
        <w:rPr>
          <w:sz w:val="12"/>
          <w:szCs w:val="12"/>
        </w:rPr>
      </w:pPr>
    </w:p>
    <w:p w:rsidR="007E4B67" w:rsidRDefault="007E4B67" w:rsidP="007E4B67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0441A3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7E4B67" w:rsidRPr="000441A3" w:rsidRDefault="007E4B67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7E4B67" w:rsidRPr="0042778F" w:rsidRDefault="007E4B67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7E4B67" w:rsidRPr="00DA22B6" w:rsidRDefault="007E4B67" w:rsidP="007E4B67">
      <w:pPr>
        <w:jc w:val="right"/>
        <w:rPr>
          <w:rFonts w:ascii="Arial" w:hAnsi="Arial" w:cs="Arial"/>
          <w:sz w:val="16"/>
          <w:szCs w:val="16"/>
        </w:rPr>
      </w:pPr>
      <w:r>
        <w:br w:type="page"/>
      </w:r>
      <w:r w:rsidRPr="00DA22B6">
        <w:rPr>
          <w:rFonts w:ascii="Arial" w:hAnsi="Arial" w:cs="Arial"/>
          <w:sz w:val="16"/>
          <w:szCs w:val="16"/>
        </w:rPr>
        <w:lastRenderedPageBreak/>
        <w:t xml:space="preserve">Приложение № 4 к Правилам Фонда </w:t>
      </w:r>
    </w:p>
    <w:p w:rsidR="007E4B67" w:rsidRDefault="007E4B67" w:rsidP="007E4B67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Заявка на погашение инвестиционных паев</w:t>
      </w:r>
    </w:p>
    <w:p w:rsidR="007E4B67" w:rsidRPr="00960F94" w:rsidRDefault="007E4B67" w:rsidP="007E4B67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для номинальных держателей №</w:t>
      </w:r>
      <w:r>
        <w:rPr>
          <w:sz w:val="20"/>
          <w:szCs w:val="20"/>
        </w:rPr>
        <w:t xml:space="preserve"> ______________</w:t>
      </w:r>
    </w:p>
    <w:p w:rsidR="007E4B67" w:rsidRPr="00960F94" w:rsidRDefault="007E4B67" w:rsidP="007E4B67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CE5B3F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учредительными документами</w:t>
            </w:r>
            <w:r w:rsidRPr="000A3D2D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7E4B67" w:rsidRPr="00572E5C" w:rsidRDefault="007E4B67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0A3D2D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 w:rsidRPr="00FB1C5D">
              <w:rPr>
                <w:rStyle w:val="afa"/>
                <w:rFonts w:cs="Arial"/>
                <w:lang w:val="ru-RU"/>
              </w:rPr>
              <w:footnoteReference w:customMarkFollows="1" w:id="3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40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погашаемых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7E4B67" w:rsidRPr="000A3D2D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9C69E2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Является ли владельц налоговым резидентом РФ</w:t>
            </w:r>
          </w:p>
          <w:p w:rsidR="007E4B67" w:rsidRPr="001302E2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0A3D2D">
              <w:rPr>
                <w:rStyle w:val="fieldcomment1"/>
                <w:sz w:val="12"/>
                <w:szCs w:val="12"/>
              </w:rPr>
              <w:t>(да</w:t>
            </w:r>
            <w:r w:rsidRPr="000A3D2D">
              <w:rPr>
                <w:rStyle w:val="fieldcomment1"/>
                <w:sz w:val="12"/>
                <w:szCs w:val="12"/>
                <w:lang w:val="ru-RU"/>
              </w:rPr>
              <w:t>/</w:t>
            </w:r>
            <w:r w:rsidRPr="000A3D2D">
              <w:rPr>
                <w:rStyle w:val="fieldcomment1"/>
                <w:sz w:val="12"/>
                <w:szCs w:val="12"/>
              </w:rPr>
              <w:t>нет)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7E4B67" w:rsidRPr="00DA22B6" w:rsidRDefault="007E4B67" w:rsidP="007E4B67">
      <w:pPr>
        <w:rPr>
          <w:vanish/>
        </w:rPr>
      </w:pPr>
    </w:p>
    <w:tbl>
      <w:tblPr>
        <w:tblpPr w:leftFromText="180" w:rightFromText="180" w:vertAnchor="text" w:horzAnchor="margin" w:tblpXSpec="center" w:tblpY="388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7425D3" w:rsidRDefault="007E4B67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7E4B67" w:rsidRPr="007425D3" w:rsidRDefault="007E4B67" w:rsidP="001D5477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7425D3" w:rsidRDefault="007E4B67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7E4B67" w:rsidRPr="007425D3" w:rsidRDefault="007E4B67" w:rsidP="001D5477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7E4B67" w:rsidRPr="007425D3" w:rsidRDefault="007E4B67" w:rsidP="007E4B67">
      <w:pPr>
        <w:pStyle w:val="af7"/>
        <w:spacing w:before="120" w:after="0"/>
        <w:jc w:val="center"/>
        <w:rPr>
          <w:b/>
          <w:bCs/>
          <w:lang w:val="ru-RU"/>
        </w:rPr>
      </w:pPr>
      <w:r w:rsidRPr="007425D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7E4B67" w:rsidRDefault="007E4B67" w:rsidP="007E4B67">
      <w:pPr>
        <w:pStyle w:val="fieldcomment"/>
        <w:jc w:val="right"/>
        <w:rPr>
          <w:lang w:val="ru-RU"/>
        </w:rPr>
      </w:pPr>
    </w:p>
    <w:p w:rsidR="007E4B67" w:rsidRPr="000A3D2D" w:rsidRDefault="007E4B67" w:rsidP="007E4B67">
      <w:pPr>
        <w:pStyle w:val="fieldcomment"/>
        <w:jc w:val="right"/>
        <w:rPr>
          <w:sz w:val="16"/>
          <w:szCs w:val="16"/>
          <w:lang w:val="ru-RU"/>
        </w:rPr>
      </w:pPr>
      <w:r>
        <w:rPr>
          <w:lang w:val="ru-RU"/>
        </w:rPr>
        <w:br w:type="page"/>
      </w:r>
      <w:r w:rsidRPr="000A3D2D">
        <w:rPr>
          <w:sz w:val="16"/>
          <w:szCs w:val="16"/>
          <w:lang w:val="ru-RU"/>
        </w:rPr>
        <w:lastRenderedPageBreak/>
        <w:t xml:space="preserve">Приложение № 5 к Правилам Фонда </w:t>
      </w:r>
    </w:p>
    <w:p w:rsidR="007E4B67" w:rsidRDefault="007E4B67" w:rsidP="007E4B67">
      <w:pPr>
        <w:pStyle w:val="1"/>
        <w:spacing w:before="0" w:after="0"/>
        <w:jc w:val="center"/>
        <w:rPr>
          <w:b w:val="0"/>
          <w:bCs w:val="0"/>
        </w:rPr>
      </w:pPr>
      <w:r w:rsidRPr="005E5887">
        <w:rPr>
          <w:sz w:val="20"/>
          <w:szCs w:val="20"/>
        </w:rPr>
        <w:t>Заявка на обмен инвестиционных паев № _________________</w:t>
      </w:r>
    </w:p>
    <w:p w:rsidR="007E4B67" w:rsidRPr="005E5887" w:rsidRDefault="007E4B67" w:rsidP="007E4B67">
      <w:pPr>
        <w:pStyle w:val="1"/>
        <w:spacing w:before="0" w:after="0"/>
        <w:rPr>
          <w:sz w:val="16"/>
          <w:szCs w:val="16"/>
        </w:rPr>
      </w:pPr>
      <w:r w:rsidRPr="0099350F">
        <w:rPr>
          <w:bCs w:val="0"/>
          <w:sz w:val="16"/>
          <w:szCs w:val="16"/>
        </w:rPr>
        <w:t>Дата: __________ Время:__________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CE5B3F" w:rsidRDefault="007E4B67" w:rsidP="001D5477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99350F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4B67" w:rsidTr="001D5477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A3D2D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203363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 w:val="0"/>
                <w:bCs w:val="0"/>
                <w:sz w:val="12"/>
                <w:szCs w:val="12"/>
                <w:lang w:val="ru-RU"/>
              </w:rPr>
              <w:t>(</w:t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2B2597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7E4B67" w:rsidRPr="000A3D2D" w:rsidRDefault="007E4B67" w:rsidP="001D5477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375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7E4B67" w:rsidRPr="000C1675" w:rsidRDefault="007E4B67" w:rsidP="007E4B67">
      <w:pPr>
        <w:pStyle w:val="af7"/>
        <w:spacing w:before="375" w:after="150"/>
        <w:jc w:val="center"/>
        <w:rPr>
          <w:b/>
          <w:bCs/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7E4B67" w:rsidRDefault="007E4B67" w:rsidP="007E4B67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0441A3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7E4B67" w:rsidRPr="000441A3" w:rsidRDefault="007E4B67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 w:rsidRPr="000A3D2D"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Default="007E4B67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7E4B67" w:rsidRPr="0042778F" w:rsidRDefault="007E4B67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7E4B67" w:rsidRPr="002B2597" w:rsidRDefault="007E4B67" w:rsidP="007E4B67">
      <w:pPr>
        <w:pStyle w:val="fieldcomment"/>
        <w:jc w:val="right"/>
        <w:rPr>
          <w:sz w:val="16"/>
          <w:szCs w:val="16"/>
          <w:lang w:val="ru-RU"/>
        </w:rPr>
      </w:pPr>
      <w:r w:rsidRPr="003070C4">
        <w:rPr>
          <w:lang w:val="ru-RU"/>
        </w:rPr>
        <w:br w:type="page"/>
      </w:r>
      <w:r w:rsidRPr="002B2597">
        <w:rPr>
          <w:sz w:val="16"/>
          <w:szCs w:val="16"/>
          <w:lang w:val="ru-RU"/>
        </w:rPr>
        <w:t xml:space="preserve">Приложение № 6 к Правилам Фонда </w:t>
      </w:r>
    </w:p>
    <w:p w:rsidR="007E4B67" w:rsidRPr="002B2597" w:rsidRDefault="007E4B67" w:rsidP="007E4B67">
      <w:pPr>
        <w:pStyle w:val="1"/>
        <w:spacing w:before="0" w:after="0"/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Заявка на обмен инвестиционных паев для номинальных держателей № ________</w:t>
      </w:r>
    </w:p>
    <w:p w:rsidR="007E4B67" w:rsidRPr="00960F94" w:rsidRDefault="007E4B67" w:rsidP="007E4B67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CE5B3F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7E4B67" w:rsidRPr="000A3D2D" w:rsidRDefault="007E4B67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BA3EA1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047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A20102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047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2B2597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7E4B67" w:rsidRPr="002B2597" w:rsidRDefault="007E4B67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blCellSpacing w:w="0" w:type="dxa"/>
          <w:jc w:val="center"/>
        </w:trPr>
        <w:tc>
          <w:tcPr>
            <w:tcW w:w="2953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7E4B67" w:rsidRPr="00572E5C" w:rsidRDefault="007E4B67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572E5C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2B2597" w:rsidRDefault="007E4B67" w:rsidP="007E4B67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7E4B67" w:rsidRPr="002B2597" w:rsidRDefault="007E4B67" w:rsidP="001D5477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8C604B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8C604B" w:rsidRDefault="007E4B67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7E4B67" w:rsidRDefault="007E4B67" w:rsidP="007E4B67">
      <w:pPr>
        <w:pStyle w:val="af7"/>
        <w:spacing w:before="120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обмениваемых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spacing w:after="0"/>
              <w:ind w:left="75"/>
            </w:pPr>
          </w:p>
        </w:tc>
      </w:tr>
      <w:tr w:rsidR="007E4B67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0441A3" w:rsidRDefault="007E4B67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0441A3" w:rsidRDefault="007E4B67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7E4B67" w:rsidRPr="002B2597" w:rsidRDefault="007E4B67" w:rsidP="007E4B6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7E4B67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4B67" w:rsidRDefault="007E4B67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047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Default="007E4B67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4B67" w:rsidTr="001D5477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2B2597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4B67" w:rsidRPr="002B2597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4B67" w:rsidRPr="00CE5B3F" w:rsidRDefault="007E4B67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047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9C69E2" w:rsidRDefault="007E4B67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E4B67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4B67" w:rsidRPr="00763BC4" w:rsidRDefault="007E4B67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4B67" w:rsidRPr="00763BC4" w:rsidRDefault="007E4B67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7E4B67" w:rsidRPr="00852912" w:rsidRDefault="007E4B67" w:rsidP="007E4B67">
      <w:pPr>
        <w:pStyle w:val="af7"/>
        <w:spacing w:before="120" w:after="150"/>
        <w:jc w:val="center"/>
        <w:rPr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tbl>
      <w:tblPr>
        <w:tblpPr w:leftFromText="180" w:rightFromText="180" w:vertAnchor="text" w:horzAnchor="margin" w:tblpXSpec="center" w:tblpY="69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7E4B67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7425D3" w:rsidRDefault="007E4B67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7E4B67" w:rsidRPr="007425D3" w:rsidRDefault="007E4B67" w:rsidP="001D5477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7E4B67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4B67" w:rsidRPr="007425D3" w:rsidRDefault="007E4B67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7E4B67" w:rsidRPr="007425D3" w:rsidRDefault="007E4B67" w:rsidP="001D5477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7E4B67" w:rsidRPr="00852912" w:rsidRDefault="007E4B67" w:rsidP="007E4B67">
      <w:pPr>
        <w:pStyle w:val="fieldcomment"/>
        <w:rPr>
          <w:lang w:val="ru-RU"/>
        </w:rPr>
      </w:pPr>
    </w:p>
    <w:p w:rsidR="007E4B67" w:rsidRPr="004A4693" w:rsidRDefault="007E4B67" w:rsidP="007E4B67">
      <w:pPr>
        <w:ind w:firstLine="567"/>
        <w:jc w:val="both"/>
        <w:rPr>
          <w:sz w:val="22"/>
          <w:szCs w:val="22"/>
        </w:rPr>
      </w:pPr>
    </w:p>
    <w:p w:rsidR="007E4B67" w:rsidRPr="004A4693" w:rsidRDefault="007E4B67" w:rsidP="007E4B67">
      <w:pPr>
        <w:jc w:val="both"/>
        <w:rPr>
          <w:sz w:val="22"/>
          <w:szCs w:val="22"/>
        </w:rPr>
      </w:pPr>
    </w:p>
    <w:p w:rsidR="007E4B67" w:rsidRPr="00746943" w:rsidRDefault="007E4B67" w:rsidP="0095013B">
      <w:pPr>
        <w:jc w:val="both"/>
        <w:rPr>
          <w:sz w:val="22"/>
          <w:szCs w:val="22"/>
        </w:rPr>
      </w:pPr>
    </w:p>
    <w:sectPr w:rsidR="007E4B67" w:rsidRPr="00746943" w:rsidSect="00313ED2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FD" w:rsidRDefault="005F28FD">
      <w:r>
        <w:separator/>
      </w:r>
    </w:p>
  </w:endnote>
  <w:endnote w:type="continuationSeparator" w:id="0">
    <w:p w:rsidR="005F28FD" w:rsidRDefault="005F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10440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DB6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FD" w:rsidRDefault="005F28FD">
      <w:r>
        <w:separator/>
      </w:r>
    </w:p>
  </w:footnote>
  <w:footnote w:type="continuationSeparator" w:id="0">
    <w:p w:rsidR="005F28FD" w:rsidRDefault="005F28FD">
      <w:r>
        <w:continuationSeparator/>
      </w:r>
    </w:p>
  </w:footnote>
  <w:footnote w:id="1">
    <w:p w:rsidR="00000000" w:rsidRDefault="007E4B67" w:rsidP="007E4B67">
      <w:pPr>
        <w:pStyle w:val="af8"/>
      </w:pPr>
      <w:r>
        <w:rPr>
          <w:rStyle w:val="afa"/>
        </w:rPr>
        <w:t>л1</w:t>
      </w:r>
      <w:r>
        <w:t xml:space="preserve"> </w:t>
      </w:r>
      <w:r>
        <w:rPr>
          <w:noProof/>
        </w:rPr>
        <w:t xml:space="preserve"> </w:t>
      </w:r>
      <w:r w:rsidRPr="003116F4">
        <w:rPr>
          <w:rFonts w:ascii="Arial" w:hAnsi="Arial" w:cs="Arial"/>
          <w:b/>
          <w:bCs/>
          <w:sz w:val="12"/>
          <w:szCs w:val="12"/>
        </w:rPr>
        <w:t>может не указываться, если подано заявление об открытии лицевого счета и иные документы, необходимые для открытия лицевого счета.</w:t>
      </w:r>
    </w:p>
  </w:footnote>
  <w:footnote w:id="2">
    <w:p w:rsidR="00000000" w:rsidRDefault="007E4B67" w:rsidP="007E4B67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  <w:footnote w:id="3">
    <w:p w:rsidR="00000000" w:rsidRDefault="007E4B67" w:rsidP="007E4B67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2AB"/>
    <w:rsid w:val="00001948"/>
    <w:rsid w:val="000075AD"/>
    <w:rsid w:val="00010E10"/>
    <w:rsid w:val="00011284"/>
    <w:rsid w:val="000145AD"/>
    <w:rsid w:val="00014A7B"/>
    <w:rsid w:val="00014D91"/>
    <w:rsid w:val="00021296"/>
    <w:rsid w:val="00021D79"/>
    <w:rsid w:val="00024C3C"/>
    <w:rsid w:val="000252C0"/>
    <w:rsid w:val="00031285"/>
    <w:rsid w:val="00034AC6"/>
    <w:rsid w:val="00035718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7668"/>
    <w:rsid w:val="00057AAB"/>
    <w:rsid w:val="00062BFD"/>
    <w:rsid w:val="00065EB6"/>
    <w:rsid w:val="00066310"/>
    <w:rsid w:val="00066EC5"/>
    <w:rsid w:val="000677B9"/>
    <w:rsid w:val="00076A1E"/>
    <w:rsid w:val="00080588"/>
    <w:rsid w:val="00080BC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B09D4"/>
    <w:rsid w:val="000B0FDE"/>
    <w:rsid w:val="000B12ED"/>
    <w:rsid w:val="000B42FA"/>
    <w:rsid w:val="000B6EBE"/>
    <w:rsid w:val="000C1269"/>
    <w:rsid w:val="000C1675"/>
    <w:rsid w:val="000C589E"/>
    <w:rsid w:val="000C6341"/>
    <w:rsid w:val="000C75C3"/>
    <w:rsid w:val="000C7F1C"/>
    <w:rsid w:val="000D0400"/>
    <w:rsid w:val="000D3447"/>
    <w:rsid w:val="000D3C0E"/>
    <w:rsid w:val="000D3D99"/>
    <w:rsid w:val="000D548C"/>
    <w:rsid w:val="000D5568"/>
    <w:rsid w:val="000D71C6"/>
    <w:rsid w:val="000D73BB"/>
    <w:rsid w:val="000E2610"/>
    <w:rsid w:val="000E36AA"/>
    <w:rsid w:val="000E56F3"/>
    <w:rsid w:val="000E68F3"/>
    <w:rsid w:val="000E694F"/>
    <w:rsid w:val="000F17A0"/>
    <w:rsid w:val="000F3151"/>
    <w:rsid w:val="000F6889"/>
    <w:rsid w:val="00100BE0"/>
    <w:rsid w:val="0010328C"/>
    <w:rsid w:val="00103737"/>
    <w:rsid w:val="00112839"/>
    <w:rsid w:val="00112992"/>
    <w:rsid w:val="00114C61"/>
    <w:rsid w:val="00117E5E"/>
    <w:rsid w:val="001238C1"/>
    <w:rsid w:val="001302E2"/>
    <w:rsid w:val="00132396"/>
    <w:rsid w:val="00132A2C"/>
    <w:rsid w:val="00136F21"/>
    <w:rsid w:val="001377F3"/>
    <w:rsid w:val="00137A4F"/>
    <w:rsid w:val="00141F2D"/>
    <w:rsid w:val="001423A2"/>
    <w:rsid w:val="00145204"/>
    <w:rsid w:val="001454E7"/>
    <w:rsid w:val="0015759D"/>
    <w:rsid w:val="00162059"/>
    <w:rsid w:val="0016331F"/>
    <w:rsid w:val="001639E0"/>
    <w:rsid w:val="00164D9C"/>
    <w:rsid w:val="00167681"/>
    <w:rsid w:val="001678AE"/>
    <w:rsid w:val="00172114"/>
    <w:rsid w:val="00173E72"/>
    <w:rsid w:val="00175652"/>
    <w:rsid w:val="00175DE6"/>
    <w:rsid w:val="001764A6"/>
    <w:rsid w:val="0017692D"/>
    <w:rsid w:val="001779B2"/>
    <w:rsid w:val="00184C20"/>
    <w:rsid w:val="001855A2"/>
    <w:rsid w:val="001858B3"/>
    <w:rsid w:val="00186101"/>
    <w:rsid w:val="00190267"/>
    <w:rsid w:val="00192E67"/>
    <w:rsid w:val="00194F17"/>
    <w:rsid w:val="00195702"/>
    <w:rsid w:val="001957F1"/>
    <w:rsid w:val="00195808"/>
    <w:rsid w:val="001A1A3F"/>
    <w:rsid w:val="001A2D85"/>
    <w:rsid w:val="001A5248"/>
    <w:rsid w:val="001A5ED6"/>
    <w:rsid w:val="001B2C2C"/>
    <w:rsid w:val="001B3DA3"/>
    <w:rsid w:val="001B4C2C"/>
    <w:rsid w:val="001B5D8D"/>
    <w:rsid w:val="001C3A04"/>
    <w:rsid w:val="001C3AAD"/>
    <w:rsid w:val="001D2CE9"/>
    <w:rsid w:val="001D3452"/>
    <w:rsid w:val="001D4664"/>
    <w:rsid w:val="001D48BC"/>
    <w:rsid w:val="001D5477"/>
    <w:rsid w:val="001D627F"/>
    <w:rsid w:val="001E0339"/>
    <w:rsid w:val="001E085F"/>
    <w:rsid w:val="001E74B9"/>
    <w:rsid w:val="001F11D2"/>
    <w:rsid w:val="001F343C"/>
    <w:rsid w:val="001F5173"/>
    <w:rsid w:val="001F5248"/>
    <w:rsid w:val="001F63BC"/>
    <w:rsid w:val="00202A8A"/>
    <w:rsid w:val="00203363"/>
    <w:rsid w:val="00207DB6"/>
    <w:rsid w:val="00207E2F"/>
    <w:rsid w:val="00210DDF"/>
    <w:rsid w:val="00211C4A"/>
    <w:rsid w:val="0021340D"/>
    <w:rsid w:val="00213923"/>
    <w:rsid w:val="00215A82"/>
    <w:rsid w:val="00220846"/>
    <w:rsid w:val="00222FF7"/>
    <w:rsid w:val="00226ACA"/>
    <w:rsid w:val="002321F4"/>
    <w:rsid w:val="00233731"/>
    <w:rsid w:val="00237C1F"/>
    <w:rsid w:val="0025283D"/>
    <w:rsid w:val="00252975"/>
    <w:rsid w:val="002602E5"/>
    <w:rsid w:val="002620C4"/>
    <w:rsid w:val="00264778"/>
    <w:rsid w:val="00266CA0"/>
    <w:rsid w:val="00271213"/>
    <w:rsid w:val="00271AE5"/>
    <w:rsid w:val="002740C9"/>
    <w:rsid w:val="002749E9"/>
    <w:rsid w:val="0027547F"/>
    <w:rsid w:val="00276392"/>
    <w:rsid w:val="002804D8"/>
    <w:rsid w:val="00284FA9"/>
    <w:rsid w:val="0028764D"/>
    <w:rsid w:val="002945F5"/>
    <w:rsid w:val="0029699C"/>
    <w:rsid w:val="002A0FFA"/>
    <w:rsid w:val="002A18D6"/>
    <w:rsid w:val="002A41F5"/>
    <w:rsid w:val="002A6D7F"/>
    <w:rsid w:val="002B2597"/>
    <w:rsid w:val="002B6D99"/>
    <w:rsid w:val="002C03DB"/>
    <w:rsid w:val="002C10FC"/>
    <w:rsid w:val="002C1DAA"/>
    <w:rsid w:val="002C20D6"/>
    <w:rsid w:val="002C3101"/>
    <w:rsid w:val="002C608D"/>
    <w:rsid w:val="002C73D9"/>
    <w:rsid w:val="002C760F"/>
    <w:rsid w:val="002C7BFA"/>
    <w:rsid w:val="002D1D41"/>
    <w:rsid w:val="002D7275"/>
    <w:rsid w:val="002E1325"/>
    <w:rsid w:val="002E207B"/>
    <w:rsid w:val="002E2CE2"/>
    <w:rsid w:val="002E5912"/>
    <w:rsid w:val="002E5DF4"/>
    <w:rsid w:val="002E774F"/>
    <w:rsid w:val="002F03E3"/>
    <w:rsid w:val="002F14EE"/>
    <w:rsid w:val="0030048C"/>
    <w:rsid w:val="00301288"/>
    <w:rsid w:val="00301D48"/>
    <w:rsid w:val="003025F8"/>
    <w:rsid w:val="00306960"/>
    <w:rsid w:val="00306D9B"/>
    <w:rsid w:val="003070C4"/>
    <w:rsid w:val="00310440"/>
    <w:rsid w:val="003116F4"/>
    <w:rsid w:val="00312ED9"/>
    <w:rsid w:val="00313ED2"/>
    <w:rsid w:val="00314E04"/>
    <w:rsid w:val="003174A4"/>
    <w:rsid w:val="003207BA"/>
    <w:rsid w:val="0032524A"/>
    <w:rsid w:val="00325E5F"/>
    <w:rsid w:val="00326BA8"/>
    <w:rsid w:val="00331564"/>
    <w:rsid w:val="00333977"/>
    <w:rsid w:val="00343C6D"/>
    <w:rsid w:val="003471D3"/>
    <w:rsid w:val="00351A48"/>
    <w:rsid w:val="003553C6"/>
    <w:rsid w:val="003579EF"/>
    <w:rsid w:val="00360795"/>
    <w:rsid w:val="0036426B"/>
    <w:rsid w:val="00365AE2"/>
    <w:rsid w:val="00366A58"/>
    <w:rsid w:val="003676E3"/>
    <w:rsid w:val="003755E9"/>
    <w:rsid w:val="003761D4"/>
    <w:rsid w:val="003802C2"/>
    <w:rsid w:val="00380E7C"/>
    <w:rsid w:val="0038387B"/>
    <w:rsid w:val="003A5301"/>
    <w:rsid w:val="003B1EE5"/>
    <w:rsid w:val="003B7132"/>
    <w:rsid w:val="003B73D7"/>
    <w:rsid w:val="003C23E0"/>
    <w:rsid w:val="003C5F4A"/>
    <w:rsid w:val="003D0296"/>
    <w:rsid w:val="003D05A6"/>
    <w:rsid w:val="003D1095"/>
    <w:rsid w:val="003D2808"/>
    <w:rsid w:val="003D2F54"/>
    <w:rsid w:val="003D5894"/>
    <w:rsid w:val="003D649B"/>
    <w:rsid w:val="003E1906"/>
    <w:rsid w:val="003E6BDC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7CDE"/>
    <w:rsid w:val="00417DC6"/>
    <w:rsid w:val="00420273"/>
    <w:rsid w:val="00420978"/>
    <w:rsid w:val="00421696"/>
    <w:rsid w:val="00422243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0F20"/>
    <w:rsid w:val="0044585E"/>
    <w:rsid w:val="00445A9E"/>
    <w:rsid w:val="00446332"/>
    <w:rsid w:val="00450E28"/>
    <w:rsid w:val="00451212"/>
    <w:rsid w:val="00451CFB"/>
    <w:rsid w:val="00452C1E"/>
    <w:rsid w:val="00456988"/>
    <w:rsid w:val="00460188"/>
    <w:rsid w:val="00461D7E"/>
    <w:rsid w:val="00464FDD"/>
    <w:rsid w:val="0046618B"/>
    <w:rsid w:val="00466971"/>
    <w:rsid w:val="00470497"/>
    <w:rsid w:val="0047185F"/>
    <w:rsid w:val="00472A38"/>
    <w:rsid w:val="00472CC3"/>
    <w:rsid w:val="00472E39"/>
    <w:rsid w:val="004810A2"/>
    <w:rsid w:val="004816FA"/>
    <w:rsid w:val="0048750E"/>
    <w:rsid w:val="00490B81"/>
    <w:rsid w:val="0049790D"/>
    <w:rsid w:val="004A11DB"/>
    <w:rsid w:val="004A2E9F"/>
    <w:rsid w:val="004A4693"/>
    <w:rsid w:val="004B11E3"/>
    <w:rsid w:val="004B4154"/>
    <w:rsid w:val="004B4E12"/>
    <w:rsid w:val="004B5AD2"/>
    <w:rsid w:val="004B6AF0"/>
    <w:rsid w:val="004B6B69"/>
    <w:rsid w:val="004B7624"/>
    <w:rsid w:val="004B7E07"/>
    <w:rsid w:val="004C2514"/>
    <w:rsid w:val="004C6040"/>
    <w:rsid w:val="004D282D"/>
    <w:rsid w:val="004E1FD2"/>
    <w:rsid w:val="004E2B93"/>
    <w:rsid w:val="004E4065"/>
    <w:rsid w:val="004F21EB"/>
    <w:rsid w:val="00502F54"/>
    <w:rsid w:val="00503C99"/>
    <w:rsid w:val="00503EE7"/>
    <w:rsid w:val="00504E6B"/>
    <w:rsid w:val="0050501F"/>
    <w:rsid w:val="00505BE3"/>
    <w:rsid w:val="00511DEA"/>
    <w:rsid w:val="0051520A"/>
    <w:rsid w:val="00523A88"/>
    <w:rsid w:val="00524B5A"/>
    <w:rsid w:val="005342B9"/>
    <w:rsid w:val="00534F8E"/>
    <w:rsid w:val="00542885"/>
    <w:rsid w:val="005438B9"/>
    <w:rsid w:val="00547782"/>
    <w:rsid w:val="005571E1"/>
    <w:rsid w:val="00564B84"/>
    <w:rsid w:val="0056602F"/>
    <w:rsid w:val="00567655"/>
    <w:rsid w:val="00570CE3"/>
    <w:rsid w:val="00572E5C"/>
    <w:rsid w:val="00573274"/>
    <w:rsid w:val="00573344"/>
    <w:rsid w:val="0057369C"/>
    <w:rsid w:val="00573BB8"/>
    <w:rsid w:val="00575A25"/>
    <w:rsid w:val="005836EF"/>
    <w:rsid w:val="00584AF1"/>
    <w:rsid w:val="00587D87"/>
    <w:rsid w:val="00590095"/>
    <w:rsid w:val="0059359D"/>
    <w:rsid w:val="00593B1D"/>
    <w:rsid w:val="00595364"/>
    <w:rsid w:val="005A0A82"/>
    <w:rsid w:val="005A0DA9"/>
    <w:rsid w:val="005A2D2D"/>
    <w:rsid w:val="005A4147"/>
    <w:rsid w:val="005A49D8"/>
    <w:rsid w:val="005A6816"/>
    <w:rsid w:val="005A6F9B"/>
    <w:rsid w:val="005B0D66"/>
    <w:rsid w:val="005B1C0C"/>
    <w:rsid w:val="005C1267"/>
    <w:rsid w:val="005C4D1F"/>
    <w:rsid w:val="005D0EAB"/>
    <w:rsid w:val="005D5FCE"/>
    <w:rsid w:val="005D616B"/>
    <w:rsid w:val="005D7453"/>
    <w:rsid w:val="005E0B8A"/>
    <w:rsid w:val="005E4425"/>
    <w:rsid w:val="005E5887"/>
    <w:rsid w:val="005F1F95"/>
    <w:rsid w:val="005F28FD"/>
    <w:rsid w:val="005F3EA9"/>
    <w:rsid w:val="005F5E93"/>
    <w:rsid w:val="006075EE"/>
    <w:rsid w:val="0061015B"/>
    <w:rsid w:val="00613CDE"/>
    <w:rsid w:val="00614FA0"/>
    <w:rsid w:val="006158FB"/>
    <w:rsid w:val="00615FE1"/>
    <w:rsid w:val="00617AEA"/>
    <w:rsid w:val="00617CCF"/>
    <w:rsid w:val="006206CE"/>
    <w:rsid w:val="00622217"/>
    <w:rsid w:val="006229EA"/>
    <w:rsid w:val="006243AC"/>
    <w:rsid w:val="00624B9B"/>
    <w:rsid w:val="00627193"/>
    <w:rsid w:val="00627A9E"/>
    <w:rsid w:val="0063032A"/>
    <w:rsid w:val="0063184D"/>
    <w:rsid w:val="00636E59"/>
    <w:rsid w:val="00637321"/>
    <w:rsid w:val="00640B06"/>
    <w:rsid w:val="0064674A"/>
    <w:rsid w:val="00646900"/>
    <w:rsid w:val="0065141A"/>
    <w:rsid w:val="006551A4"/>
    <w:rsid w:val="00656CEB"/>
    <w:rsid w:val="00656EB5"/>
    <w:rsid w:val="0065741B"/>
    <w:rsid w:val="0065789C"/>
    <w:rsid w:val="006669BC"/>
    <w:rsid w:val="0067025B"/>
    <w:rsid w:val="00670DFF"/>
    <w:rsid w:val="00672EDC"/>
    <w:rsid w:val="00675529"/>
    <w:rsid w:val="0067563F"/>
    <w:rsid w:val="00680219"/>
    <w:rsid w:val="0068095D"/>
    <w:rsid w:val="006813A9"/>
    <w:rsid w:val="00687121"/>
    <w:rsid w:val="00687D7D"/>
    <w:rsid w:val="00694379"/>
    <w:rsid w:val="006A0083"/>
    <w:rsid w:val="006A2887"/>
    <w:rsid w:val="006A6621"/>
    <w:rsid w:val="006A7FB5"/>
    <w:rsid w:val="006B0066"/>
    <w:rsid w:val="006B03A2"/>
    <w:rsid w:val="006B5C87"/>
    <w:rsid w:val="006C005C"/>
    <w:rsid w:val="006C59CA"/>
    <w:rsid w:val="006C67FB"/>
    <w:rsid w:val="006D6B9D"/>
    <w:rsid w:val="006E071B"/>
    <w:rsid w:val="006E3D95"/>
    <w:rsid w:val="006E4633"/>
    <w:rsid w:val="006E4929"/>
    <w:rsid w:val="006E78E9"/>
    <w:rsid w:val="006E7D77"/>
    <w:rsid w:val="006F4B2C"/>
    <w:rsid w:val="006F7257"/>
    <w:rsid w:val="00700C35"/>
    <w:rsid w:val="00701B8A"/>
    <w:rsid w:val="00701F0F"/>
    <w:rsid w:val="007052D8"/>
    <w:rsid w:val="007110D3"/>
    <w:rsid w:val="007136D9"/>
    <w:rsid w:val="007139FD"/>
    <w:rsid w:val="0071699C"/>
    <w:rsid w:val="007173F4"/>
    <w:rsid w:val="00722E9B"/>
    <w:rsid w:val="00724007"/>
    <w:rsid w:val="007362C0"/>
    <w:rsid w:val="00737D55"/>
    <w:rsid w:val="00741242"/>
    <w:rsid w:val="00741D2B"/>
    <w:rsid w:val="0074256D"/>
    <w:rsid w:val="007425D3"/>
    <w:rsid w:val="00743532"/>
    <w:rsid w:val="00743C5F"/>
    <w:rsid w:val="00746943"/>
    <w:rsid w:val="007470C8"/>
    <w:rsid w:val="00747E3B"/>
    <w:rsid w:val="007500EE"/>
    <w:rsid w:val="00751236"/>
    <w:rsid w:val="00751EAE"/>
    <w:rsid w:val="007537CC"/>
    <w:rsid w:val="0075438E"/>
    <w:rsid w:val="007557C3"/>
    <w:rsid w:val="007603B8"/>
    <w:rsid w:val="007618C7"/>
    <w:rsid w:val="007637F0"/>
    <w:rsid w:val="00763BC4"/>
    <w:rsid w:val="00770031"/>
    <w:rsid w:val="00772D52"/>
    <w:rsid w:val="00773EAE"/>
    <w:rsid w:val="00774BB0"/>
    <w:rsid w:val="007773BF"/>
    <w:rsid w:val="0078046F"/>
    <w:rsid w:val="007826C1"/>
    <w:rsid w:val="007830D3"/>
    <w:rsid w:val="007840CE"/>
    <w:rsid w:val="00786AD6"/>
    <w:rsid w:val="0079404B"/>
    <w:rsid w:val="007A0224"/>
    <w:rsid w:val="007A1E90"/>
    <w:rsid w:val="007A61D2"/>
    <w:rsid w:val="007A6A53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145"/>
    <w:rsid w:val="007D5506"/>
    <w:rsid w:val="007D5788"/>
    <w:rsid w:val="007E00FD"/>
    <w:rsid w:val="007E333F"/>
    <w:rsid w:val="007E47BC"/>
    <w:rsid w:val="007E4B67"/>
    <w:rsid w:val="007F49F6"/>
    <w:rsid w:val="007F4B20"/>
    <w:rsid w:val="007F539E"/>
    <w:rsid w:val="007F6A51"/>
    <w:rsid w:val="007F76BD"/>
    <w:rsid w:val="0080076A"/>
    <w:rsid w:val="008008BC"/>
    <w:rsid w:val="00800D66"/>
    <w:rsid w:val="0080323D"/>
    <w:rsid w:val="0080446C"/>
    <w:rsid w:val="008052C7"/>
    <w:rsid w:val="00806ABB"/>
    <w:rsid w:val="008102A8"/>
    <w:rsid w:val="00811889"/>
    <w:rsid w:val="00812296"/>
    <w:rsid w:val="0081461C"/>
    <w:rsid w:val="00814AFA"/>
    <w:rsid w:val="00815BBA"/>
    <w:rsid w:val="00816289"/>
    <w:rsid w:val="0082001E"/>
    <w:rsid w:val="00822F90"/>
    <w:rsid w:val="008233E6"/>
    <w:rsid w:val="008272F6"/>
    <w:rsid w:val="00827366"/>
    <w:rsid w:val="00837A55"/>
    <w:rsid w:val="00840DC5"/>
    <w:rsid w:val="00841305"/>
    <w:rsid w:val="00844B2E"/>
    <w:rsid w:val="00844C8B"/>
    <w:rsid w:val="00847201"/>
    <w:rsid w:val="00850348"/>
    <w:rsid w:val="00852912"/>
    <w:rsid w:val="008541CB"/>
    <w:rsid w:val="008548E7"/>
    <w:rsid w:val="008549C1"/>
    <w:rsid w:val="0085561B"/>
    <w:rsid w:val="008556ED"/>
    <w:rsid w:val="00857B6B"/>
    <w:rsid w:val="008631B7"/>
    <w:rsid w:val="0087177F"/>
    <w:rsid w:val="008724E1"/>
    <w:rsid w:val="00874193"/>
    <w:rsid w:val="00875000"/>
    <w:rsid w:val="008757A2"/>
    <w:rsid w:val="00877F52"/>
    <w:rsid w:val="008819D6"/>
    <w:rsid w:val="00882361"/>
    <w:rsid w:val="008829E7"/>
    <w:rsid w:val="00883E3C"/>
    <w:rsid w:val="008843EF"/>
    <w:rsid w:val="00886F7A"/>
    <w:rsid w:val="008912D7"/>
    <w:rsid w:val="008935E3"/>
    <w:rsid w:val="00896CD3"/>
    <w:rsid w:val="008A4297"/>
    <w:rsid w:val="008A5D6C"/>
    <w:rsid w:val="008A5E7C"/>
    <w:rsid w:val="008B0B84"/>
    <w:rsid w:val="008B33F2"/>
    <w:rsid w:val="008B6680"/>
    <w:rsid w:val="008B6AE8"/>
    <w:rsid w:val="008C23E0"/>
    <w:rsid w:val="008C409B"/>
    <w:rsid w:val="008C604B"/>
    <w:rsid w:val="008C7E90"/>
    <w:rsid w:val="008D232A"/>
    <w:rsid w:val="008D4938"/>
    <w:rsid w:val="008D5399"/>
    <w:rsid w:val="008D65DD"/>
    <w:rsid w:val="008D6B1F"/>
    <w:rsid w:val="008D773B"/>
    <w:rsid w:val="008E0BF8"/>
    <w:rsid w:val="008E12CF"/>
    <w:rsid w:val="008E1C9B"/>
    <w:rsid w:val="008E2B12"/>
    <w:rsid w:val="008E2DF9"/>
    <w:rsid w:val="008E396A"/>
    <w:rsid w:val="008E3EE4"/>
    <w:rsid w:val="008E45D5"/>
    <w:rsid w:val="008E55EE"/>
    <w:rsid w:val="008F23A7"/>
    <w:rsid w:val="008F2A27"/>
    <w:rsid w:val="008F2BE5"/>
    <w:rsid w:val="008F2E2C"/>
    <w:rsid w:val="008F40BA"/>
    <w:rsid w:val="008F40D0"/>
    <w:rsid w:val="008F46F2"/>
    <w:rsid w:val="008F5345"/>
    <w:rsid w:val="00901095"/>
    <w:rsid w:val="00905F9D"/>
    <w:rsid w:val="00906177"/>
    <w:rsid w:val="00906D8E"/>
    <w:rsid w:val="00907F2F"/>
    <w:rsid w:val="00911D5C"/>
    <w:rsid w:val="00920373"/>
    <w:rsid w:val="00927F7F"/>
    <w:rsid w:val="0093206F"/>
    <w:rsid w:val="00934018"/>
    <w:rsid w:val="009353B8"/>
    <w:rsid w:val="009413C2"/>
    <w:rsid w:val="009438C0"/>
    <w:rsid w:val="00943F17"/>
    <w:rsid w:val="00945433"/>
    <w:rsid w:val="0095013B"/>
    <w:rsid w:val="00951AB7"/>
    <w:rsid w:val="00952E47"/>
    <w:rsid w:val="009559E6"/>
    <w:rsid w:val="00960F94"/>
    <w:rsid w:val="00962517"/>
    <w:rsid w:val="009631C1"/>
    <w:rsid w:val="00964AAD"/>
    <w:rsid w:val="00966895"/>
    <w:rsid w:val="00975362"/>
    <w:rsid w:val="00975F62"/>
    <w:rsid w:val="00981133"/>
    <w:rsid w:val="00981434"/>
    <w:rsid w:val="00981B2C"/>
    <w:rsid w:val="00987485"/>
    <w:rsid w:val="00987BA8"/>
    <w:rsid w:val="00991B52"/>
    <w:rsid w:val="0099350F"/>
    <w:rsid w:val="00993DCC"/>
    <w:rsid w:val="009A126B"/>
    <w:rsid w:val="009A64EF"/>
    <w:rsid w:val="009B0D11"/>
    <w:rsid w:val="009B1ACD"/>
    <w:rsid w:val="009B37AB"/>
    <w:rsid w:val="009B44CD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E73"/>
    <w:rsid w:val="009E28F7"/>
    <w:rsid w:val="009E2D3F"/>
    <w:rsid w:val="009E5D57"/>
    <w:rsid w:val="009F0D7F"/>
    <w:rsid w:val="009F1FA3"/>
    <w:rsid w:val="009F4089"/>
    <w:rsid w:val="009F46B2"/>
    <w:rsid w:val="009F6388"/>
    <w:rsid w:val="009F7872"/>
    <w:rsid w:val="00A013CE"/>
    <w:rsid w:val="00A04F6F"/>
    <w:rsid w:val="00A0518F"/>
    <w:rsid w:val="00A06B6C"/>
    <w:rsid w:val="00A1073E"/>
    <w:rsid w:val="00A11F75"/>
    <w:rsid w:val="00A12EA5"/>
    <w:rsid w:val="00A15405"/>
    <w:rsid w:val="00A161E4"/>
    <w:rsid w:val="00A20102"/>
    <w:rsid w:val="00A23D2F"/>
    <w:rsid w:val="00A23DB8"/>
    <w:rsid w:val="00A278B0"/>
    <w:rsid w:val="00A27CFD"/>
    <w:rsid w:val="00A308C6"/>
    <w:rsid w:val="00A369B3"/>
    <w:rsid w:val="00A37C46"/>
    <w:rsid w:val="00A402D4"/>
    <w:rsid w:val="00A44FEC"/>
    <w:rsid w:val="00A4594D"/>
    <w:rsid w:val="00A46C9E"/>
    <w:rsid w:val="00A52253"/>
    <w:rsid w:val="00A5260D"/>
    <w:rsid w:val="00A623A2"/>
    <w:rsid w:val="00A6648F"/>
    <w:rsid w:val="00A72370"/>
    <w:rsid w:val="00A749E1"/>
    <w:rsid w:val="00A75672"/>
    <w:rsid w:val="00A77588"/>
    <w:rsid w:val="00A8087B"/>
    <w:rsid w:val="00A80C3A"/>
    <w:rsid w:val="00A83A8C"/>
    <w:rsid w:val="00A855FE"/>
    <w:rsid w:val="00A85D72"/>
    <w:rsid w:val="00A90D35"/>
    <w:rsid w:val="00A9530A"/>
    <w:rsid w:val="00AA4B38"/>
    <w:rsid w:val="00AA5A60"/>
    <w:rsid w:val="00AA5DD5"/>
    <w:rsid w:val="00AB4527"/>
    <w:rsid w:val="00AC23F2"/>
    <w:rsid w:val="00AC7AF1"/>
    <w:rsid w:val="00AD18AB"/>
    <w:rsid w:val="00AD218E"/>
    <w:rsid w:val="00AF1797"/>
    <w:rsid w:val="00AF20EC"/>
    <w:rsid w:val="00AF21F2"/>
    <w:rsid w:val="00AF255A"/>
    <w:rsid w:val="00AF3257"/>
    <w:rsid w:val="00AF5767"/>
    <w:rsid w:val="00AF6159"/>
    <w:rsid w:val="00AF71F6"/>
    <w:rsid w:val="00B009BA"/>
    <w:rsid w:val="00B01C5B"/>
    <w:rsid w:val="00B04E0C"/>
    <w:rsid w:val="00B056E0"/>
    <w:rsid w:val="00B14F77"/>
    <w:rsid w:val="00B157FD"/>
    <w:rsid w:val="00B174DC"/>
    <w:rsid w:val="00B223AC"/>
    <w:rsid w:val="00B257B2"/>
    <w:rsid w:val="00B25A40"/>
    <w:rsid w:val="00B267C4"/>
    <w:rsid w:val="00B27C16"/>
    <w:rsid w:val="00B3072F"/>
    <w:rsid w:val="00B338C2"/>
    <w:rsid w:val="00B33CD8"/>
    <w:rsid w:val="00B33D27"/>
    <w:rsid w:val="00B3696B"/>
    <w:rsid w:val="00B37BEF"/>
    <w:rsid w:val="00B4081B"/>
    <w:rsid w:val="00B4081F"/>
    <w:rsid w:val="00B5130B"/>
    <w:rsid w:val="00B5192A"/>
    <w:rsid w:val="00B5472D"/>
    <w:rsid w:val="00B60DE3"/>
    <w:rsid w:val="00B6183D"/>
    <w:rsid w:val="00B664C7"/>
    <w:rsid w:val="00B70D8B"/>
    <w:rsid w:val="00B7224A"/>
    <w:rsid w:val="00B7606C"/>
    <w:rsid w:val="00B766D8"/>
    <w:rsid w:val="00B766F6"/>
    <w:rsid w:val="00B768C3"/>
    <w:rsid w:val="00B820A5"/>
    <w:rsid w:val="00B8346D"/>
    <w:rsid w:val="00B9229C"/>
    <w:rsid w:val="00B953D4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EB1"/>
    <w:rsid w:val="00BB3F4E"/>
    <w:rsid w:val="00BB4E38"/>
    <w:rsid w:val="00BB63E0"/>
    <w:rsid w:val="00BB74DC"/>
    <w:rsid w:val="00BC1259"/>
    <w:rsid w:val="00BD55C1"/>
    <w:rsid w:val="00BE2D96"/>
    <w:rsid w:val="00BE2E8B"/>
    <w:rsid w:val="00BE33D3"/>
    <w:rsid w:val="00BE4302"/>
    <w:rsid w:val="00BE71E4"/>
    <w:rsid w:val="00BF00B1"/>
    <w:rsid w:val="00BF0738"/>
    <w:rsid w:val="00BF281C"/>
    <w:rsid w:val="00BF3B8B"/>
    <w:rsid w:val="00BF751E"/>
    <w:rsid w:val="00BF7921"/>
    <w:rsid w:val="00C00CD4"/>
    <w:rsid w:val="00C012BB"/>
    <w:rsid w:val="00C01439"/>
    <w:rsid w:val="00C038DA"/>
    <w:rsid w:val="00C061FB"/>
    <w:rsid w:val="00C06A27"/>
    <w:rsid w:val="00C06C3C"/>
    <w:rsid w:val="00C076F5"/>
    <w:rsid w:val="00C07C50"/>
    <w:rsid w:val="00C10D67"/>
    <w:rsid w:val="00C113E5"/>
    <w:rsid w:val="00C13A1A"/>
    <w:rsid w:val="00C14810"/>
    <w:rsid w:val="00C17AD3"/>
    <w:rsid w:val="00C20BF4"/>
    <w:rsid w:val="00C21224"/>
    <w:rsid w:val="00C2292F"/>
    <w:rsid w:val="00C25AB2"/>
    <w:rsid w:val="00C2609E"/>
    <w:rsid w:val="00C316BE"/>
    <w:rsid w:val="00C41ECE"/>
    <w:rsid w:val="00C55C0D"/>
    <w:rsid w:val="00C55E50"/>
    <w:rsid w:val="00C5620D"/>
    <w:rsid w:val="00C569A2"/>
    <w:rsid w:val="00C61A7C"/>
    <w:rsid w:val="00C643F9"/>
    <w:rsid w:val="00C645BC"/>
    <w:rsid w:val="00C64A0E"/>
    <w:rsid w:val="00C676DA"/>
    <w:rsid w:val="00C67C6C"/>
    <w:rsid w:val="00C708D1"/>
    <w:rsid w:val="00C713D2"/>
    <w:rsid w:val="00C719AC"/>
    <w:rsid w:val="00C7534A"/>
    <w:rsid w:val="00C77582"/>
    <w:rsid w:val="00C83DD6"/>
    <w:rsid w:val="00C854A2"/>
    <w:rsid w:val="00C85E32"/>
    <w:rsid w:val="00C86283"/>
    <w:rsid w:val="00C9110D"/>
    <w:rsid w:val="00C91BC5"/>
    <w:rsid w:val="00C94E48"/>
    <w:rsid w:val="00CA0EDC"/>
    <w:rsid w:val="00CA17BE"/>
    <w:rsid w:val="00CA4C43"/>
    <w:rsid w:val="00CB0623"/>
    <w:rsid w:val="00CB1A21"/>
    <w:rsid w:val="00CB639C"/>
    <w:rsid w:val="00CB6F7F"/>
    <w:rsid w:val="00CC12BF"/>
    <w:rsid w:val="00CC2812"/>
    <w:rsid w:val="00CC52B0"/>
    <w:rsid w:val="00CC5EF3"/>
    <w:rsid w:val="00CC6B58"/>
    <w:rsid w:val="00CD482D"/>
    <w:rsid w:val="00CD5BB3"/>
    <w:rsid w:val="00CE51D3"/>
    <w:rsid w:val="00CE5B3F"/>
    <w:rsid w:val="00CE7EAE"/>
    <w:rsid w:val="00CF030E"/>
    <w:rsid w:val="00CF2C92"/>
    <w:rsid w:val="00CF2C9A"/>
    <w:rsid w:val="00CF384D"/>
    <w:rsid w:val="00D00690"/>
    <w:rsid w:val="00D040D8"/>
    <w:rsid w:val="00D06A87"/>
    <w:rsid w:val="00D07A3F"/>
    <w:rsid w:val="00D11006"/>
    <w:rsid w:val="00D11BE1"/>
    <w:rsid w:val="00D2287C"/>
    <w:rsid w:val="00D238C2"/>
    <w:rsid w:val="00D2395C"/>
    <w:rsid w:val="00D270D7"/>
    <w:rsid w:val="00D27EDD"/>
    <w:rsid w:val="00D3121E"/>
    <w:rsid w:val="00D317FA"/>
    <w:rsid w:val="00D34F24"/>
    <w:rsid w:val="00D35DF0"/>
    <w:rsid w:val="00D36943"/>
    <w:rsid w:val="00D37B99"/>
    <w:rsid w:val="00D41D15"/>
    <w:rsid w:val="00D41E67"/>
    <w:rsid w:val="00D41F34"/>
    <w:rsid w:val="00D42B57"/>
    <w:rsid w:val="00D45023"/>
    <w:rsid w:val="00D45793"/>
    <w:rsid w:val="00D476BB"/>
    <w:rsid w:val="00D5141D"/>
    <w:rsid w:val="00D52B0E"/>
    <w:rsid w:val="00D54BD4"/>
    <w:rsid w:val="00D56963"/>
    <w:rsid w:val="00D64BB2"/>
    <w:rsid w:val="00D74993"/>
    <w:rsid w:val="00D762C5"/>
    <w:rsid w:val="00D76CFA"/>
    <w:rsid w:val="00D77440"/>
    <w:rsid w:val="00D77E15"/>
    <w:rsid w:val="00D81301"/>
    <w:rsid w:val="00D8165C"/>
    <w:rsid w:val="00D84369"/>
    <w:rsid w:val="00D8473E"/>
    <w:rsid w:val="00D877E3"/>
    <w:rsid w:val="00D920DF"/>
    <w:rsid w:val="00D94C27"/>
    <w:rsid w:val="00DA0CB9"/>
    <w:rsid w:val="00DA22B6"/>
    <w:rsid w:val="00DA6CA5"/>
    <w:rsid w:val="00DB1763"/>
    <w:rsid w:val="00DB3EA3"/>
    <w:rsid w:val="00DB435E"/>
    <w:rsid w:val="00DB475C"/>
    <w:rsid w:val="00DC78E5"/>
    <w:rsid w:val="00DD06BF"/>
    <w:rsid w:val="00DD0DCB"/>
    <w:rsid w:val="00DD1165"/>
    <w:rsid w:val="00DD2EB4"/>
    <w:rsid w:val="00DF328D"/>
    <w:rsid w:val="00DF57D0"/>
    <w:rsid w:val="00DF7AD3"/>
    <w:rsid w:val="00E007FF"/>
    <w:rsid w:val="00E0138F"/>
    <w:rsid w:val="00E02BB7"/>
    <w:rsid w:val="00E05D33"/>
    <w:rsid w:val="00E06881"/>
    <w:rsid w:val="00E07637"/>
    <w:rsid w:val="00E10F9B"/>
    <w:rsid w:val="00E1212A"/>
    <w:rsid w:val="00E15ED3"/>
    <w:rsid w:val="00E209A2"/>
    <w:rsid w:val="00E21BC7"/>
    <w:rsid w:val="00E23D41"/>
    <w:rsid w:val="00E243E1"/>
    <w:rsid w:val="00E2682B"/>
    <w:rsid w:val="00E26B15"/>
    <w:rsid w:val="00E30F11"/>
    <w:rsid w:val="00E356A2"/>
    <w:rsid w:val="00E36957"/>
    <w:rsid w:val="00E36ED5"/>
    <w:rsid w:val="00E37A12"/>
    <w:rsid w:val="00E40535"/>
    <w:rsid w:val="00E50207"/>
    <w:rsid w:val="00E56F7F"/>
    <w:rsid w:val="00E5724F"/>
    <w:rsid w:val="00E57B84"/>
    <w:rsid w:val="00E66A37"/>
    <w:rsid w:val="00E67823"/>
    <w:rsid w:val="00E74FC6"/>
    <w:rsid w:val="00E75E9B"/>
    <w:rsid w:val="00E767DF"/>
    <w:rsid w:val="00E800BD"/>
    <w:rsid w:val="00E81370"/>
    <w:rsid w:val="00E8165E"/>
    <w:rsid w:val="00E82B5F"/>
    <w:rsid w:val="00E840FC"/>
    <w:rsid w:val="00E8655C"/>
    <w:rsid w:val="00E9163A"/>
    <w:rsid w:val="00E941ED"/>
    <w:rsid w:val="00EA330C"/>
    <w:rsid w:val="00EA412B"/>
    <w:rsid w:val="00EA5DDB"/>
    <w:rsid w:val="00EB201D"/>
    <w:rsid w:val="00EB23DD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6D0F"/>
    <w:rsid w:val="00ED6DD6"/>
    <w:rsid w:val="00ED76F0"/>
    <w:rsid w:val="00EE1ACE"/>
    <w:rsid w:val="00EF0579"/>
    <w:rsid w:val="00EF0849"/>
    <w:rsid w:val="00EF0B8E"/>
    <w:rsid w:val="00EF29FF"/>
    <w:rsid w:val="00F02799"/>
    <w:rsid w:val="00F02EC6"/>
    <w:rsid w:val="00F10746"/>
    <w:rsid w:val="00F11A5B"/>
    <w:rsid w:val="00F12E10"/>
    <w:rsid w:val="00F12EE8"/>
    <w:rsid w:val="00F16693"/>
    <w:rsid w:val="00F2166B"/>
    <w:rsid w:val="00F21A7F"/>
    <w:rsid w:val="00F2209B"/>
    <w:rsid w:val="00F22610"/>
    <w:rsid w:val="00F24725"/>
    <w:rsid w:val="00F3084A"/>
    <w:rsid w:val="00F33CF5"/>
    <w:rsid w:val="00F40B20"/>
    <w:rsid w:val="00F41F0F"/>
    <w:rsid w:val="00F52AC8"/>
    <w:rsid w:val="00F52B07"/>
    <w:rsid w:val="00F53900"/>
    <w:rsid w:val="00F55C3A"/>
    <w:rsid w:val="00F56F2E"/>
    <w:rsid w:val="00F5703A"/>
    <w:rsid w:val="00F570A8"/>
    <w:rsid w:val="00F62704"/>
    <w:rsid w:val="00F63DF0"/>
    <w:rsid w:val="00F6418B"/>
    <w:rsid w:val="00F64438"/>
    <w:rsid w:val="00F6492A"/>
    <w:rsid w:val="00F67A85"/>
    <w:rsid w:val="00F7019C"/>
    <w:rsid w:val="00F70AC9"/>
    <w:rsid w:val="00F74D1D"/>
    <w:rsid w:val="00F75238"/>
    <w:rsid w:val="00F75A91"/>
    <w:rsid w:val="00F86716"/>
    <w:rsid w:val="00F950F5"/>
    <w:rsid w:val="00F970DB"/>
    <w:rsid w:val="00FA1273"/>
    <w:rsid w:val="00FA520E"/>
    <w:rsid w:val="00FA6160"/>
    <w:rsid w:val="00FA6571"/>
    <w:rsid w:val="00FB1C5D"/>
    <w:rsid w:val="00FB1E09"/>
    <w:rsid w:val="00FB3487"/>
    <w:rsid w:val="00FB37CB"/>
    <w:rsid w:val="00FC2011"/>
    <w:rsid w:val="00FC2A6D"/>
    <w:rsid w:val="00FC2D76"/>
    <w:rsid w:val="00FC5A41"/>
    <w:rsid w:val="00FC6CCF"/>
    <w:rsid w:val="00FD0968"/>
    <w:rsid w:val="00FD1632"/>
    <w:rsid w:val="00FD25DA"/>
    <w:rsid w:val="00FD2F78"/>
    <w:rsid w:val="00FD2FD4"/>
    <w:rsid w:val="00FD5E4C"/>
    <w:rsid w:val="00FE0364"/>
    <w:rsid w:val="00FE1437"/>
    <w:rsid w:val="00FE2123"/>
    <w:rsid w:val="00FE6FBB"/>
    <w:rsid w:val="00FE73BB"/>
    <w:rsid w:val="00FF0085"/>
    <w:rsid w:val="00FF1999"/>
    <w:rsid w:val="00FF300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4B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Char Char1"/>
    <w:link w:val="Style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4B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pPr>
      <w:spacing w:after="120"/>
      <w:jc w:val="both"/>
    </w:p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link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b/>
      <w:bCs/>
    </w:rPr>
  </w:style>
  <w:style w:type="paragraph" w:customStyle="1" w:styleId="consnormal0">
    <w:name w:val="consnormal"/>
    <w:basedOn w:val="a"/>
    <w:uiPriority w:val="99"/>
    <w:pPr>
      <w:ind w:firstLine="720"/>
    </w:pPr>
    <w:rPr>
      <w:rFonts w:ascii="Consultant" w:hAnsi="Consultant" w:cs="Consultant"/>
      <w:sz w:val="16"/>
      <w:szCs w:val="16"/>
    </w:rPr>
  </w:style>
  <w:style w:type="paragraph" w:customStyle="1" w:styleId="af4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7E4B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4B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4B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4B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4B67"/>
    <w:rPr>
      <w:sz w:val="9"/>
    </w:rPr>
  </w:style>
  <w:style w:type="paragraph" w:styleId="af8">
    <w:name w:val="footnote text"/>
    <w:basedOn w:val="a"/>
    <w:link w:val="af9"/>
    <w:uiPriority w:val="99"/>
    <w:rsid w:val="007E4B67"/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locked/>
    <w:rsid w:val="007E4B67"/>
    <w:rPr>
      <w:rFonts w:cs="Times New Roman"/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7E4B67"/>
    <w:rPr>
      <w:rFonts w:cs="Times New Roman"/>
      <w:vertAlign w:val="superscript"/>
    </w:rPr>
  </w:style>
  <w:style w:type="character" w:customStyle="1" w:styleId="61">
    <w:name w:val="Заголовок 6 Знак1"/>
    <w:basedOn w:val="a0"/>
    <w:uiPriority w:val="99"/>
    <w:semiHidden/>
    <w:locked/>
    <w:rsid w:val="00F67A85"/>
    <w:rPr>
      <w:rFonts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2014-09-01T20:00:00+00:00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0A51-3EDE-4E69-8DE3-B7F3564F0D59}"/>
</file>

<file path=customXml/itemProps2.xml><?xml version="1.0" encoding="utf-8"?>
<ds:datastoreItem xmlns:ds="http://schemas.openxmlformats.org/officeDocument/2006/customXml" ds:itemID="{6A61DEC4-57DB-4B3E-A1EA-9E4306A405F6}"/>
</file>

<file path=customXml/itemProps3.xml><?xml version="1.0" encoding="utf-8"?>
<ds:datastoreItem xmlns:ds="http://schemas.openxmlformats.org/officeDocument/2006/customXml" ds:itemID="{5E414A88-65B0-4A65-85D9-A8DF47507965}"/>
</file>

<file path=customXml/itemProps4.xml><?xml version="1.0" encoding="utf-8"?>
<ds:datastoreItem xmlns:ds="http://schemas.openxmlformats.org/officeDocument/2006/customXml" ds:itemID="{917BBC2D-EBB4-4DEC-8919-702406AC9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6618</Words>
  <Characters>37726</Characters>
  <Application>Microsoft Office Word</Application>
  <DocSecurity>4</DocSecurity>
  <Lines>314</Lines>
  <Paragraphs>88</Paragraphs>
  <ScaleCrop>false</ScaleCrop>
  <Company/>
  <LinksUpToDate>false</LinksUpToDate>
  <CharactersWithSpaces>44256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malyhina</dc:creator>
  <cp:keywords/>
  <dc:description/>
  <cp:lastModifiedBy>malyhina</cp:lastModifiedBy>
  <cp:revision>2</cp:revision>
  <cp:lastPrinted>2009-08-21T13:55:00Z</cp:lastPrinted>
  <dcterms:created xsi:type="dcterms:W3CDTF">2014-09-04T06:40:00Z</dcterms:created>
  <dcterms:modified xsi:type="dcterms:W3CDTF">2014-09-04T06:40:00Z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_ReviewingToolsShownOnce">
    <vt:lpwstr/>
  </property>
  <property fmtid="{D5CDD505-2E9C-101B-9397-08002B2CF9AE}" pid="5" name="ContentTypeId">
    <vt:lpwstr>0x0101000A208CA240C4E143B0AB8415F7D7A4C9</vt:lpwstr>
  </property>
  <property fmtid="{D5CDD505-2E9C-101B-9397-08002B2CF9AE}" pid="6" name="ContentType">
    <vt:lpwstr>Документ</vt:lpwstr>
  </property>
</Properties>
</file>