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3" w:rsidRPr="007E4006" w:rsidRDefault="00082243" w:rsidP="00D274BB">
      <w:pPr>
        <w:spacing w:line="240" w:lineRule="auto"/>
        <w:jc w:val="right"/>
        <w:rPr>
          <w:rFonts w:ascii="Times New Roman" w:hAnsi="Times New Roman"/>
          <w:sz w:val="20"/>
        </w:rPr>
      </w:pPr>
      <w:r w:rsidRPr="007E4006">
        <w:rPr>
          <w:rFonts w:ascii="Times New Roman" w:hAnsi="Times New Roman"/>
          <w:sz w:val="20"/>
        </w:rPr>
        <w:t xml:space="preserve">Утверждены </w:t>
      </w:r>
    </w:p>
    <w:p w:rsidR="00082243" w:rsidRPr="007E4006" w:rsidRDefault="00851918" w:rsidP="00D274BB">
      <w:pPr>
        <w:spacing w:line="240" w:lineRule="auto"/>
        <w:jc w:val="right"/>
        <w:rPr>
          <w:rFonts w:ascii="Times New Roman" w:hAnsi="Times New Roman"/>
          <w:sz w:val="20"/>
        </w:rPr>
      </w:pPr>
      <w:r w:rsidRPr="007E4006">
        <w:rPr>
          <w:rFonts w:ascii="Times New Roman" w:hAnsi="Times New Roman"/>
          <w:sz w:val="20"/>
        </w:rPr>
        <w:t>п</w:t>
      </w:r>
      <w:r w:rsidR="00082243" w:rsidRPr="007E4006">
        <w:rPr>
          <w:rFonts w:ascii="Times New Roman" w:hAnsi="Times New Roman"/>
          <w:sz w:val="20"/>
        </w:rPr>
        <w:t xml:space="preserve">риказом Генерального директора </w:t>
      </w:r>
    </w:p>
    <w:p w:rsidR="00082243" w:rsidRPr="007E4006" w:rsidRDefault="00082243" w:rsidP="00D274BB">
      <w:pPr>
        <w:spacing w:line="240" w:lineRule="auto"/>
        <w:jc w:val="right"/>
        <w:rPr>
          <w:rFonts w:ascii="Times New Roman" w:hAnsi="Times New Roman"/>
          <w:sz w:val="20"/>
        </w:rPr>
      </w:pPr>
      <w:r w:rsidRPr="007E4006">
        <w:rPr>
          <w:rFonts w:ascii="Times New Roman" w:hAnsi="Times New Roman"/>
          <w:sz w:val="20"/>
        </w:rPr>
        <w:t xml:space="preserve">АО «УК </w:t>
      </w:r>
      <w:r w:rsidR="00F42538" w:rsidRPr="007E4006">
        <w:rPr>
          <w:rFonts w:ascii="Times New Roman" w:hAnsi="Times New Roman"/>
          <w:sz w:val="20"/>
        </w:rPr>
        <w:t>УРАЛСИБ</w:t>
      </w:r>
      <w:r w:rsidRPr="007E4006">
        <w:rPr>
          <w:rFonts w:ascii="Times New Roman" w:hAnsi="Times New Roman"/>
          <w:sz w:val="20"/>
        </w:rPr>
        <w:t>»</w:t>
      </w:r>
    </w:p>
    <w:p w:rsidR="00082243" w:rsidRPr="00177EB6" w:rsidRDefault="003155D3" w:rsidP="00D274BB">
      <w:pPr>
        <w:spacing w:line="240" w:lineRule="auto"/>
        <w:jc w:val="right"/>
        <w:rPr>
          <w:rFonts w:ascii="Times New Roman" w:hAnsi="Times New Roman"/>
          <w:b/>
          <w:sz w:val="24"/>
          <w:szCs w:val="24"/>
        </w:rPr>
      </w:pPr>
      <w:r>
        <w:rPr>
          <w:rFonts w:ascii="Times New Roman" w:hAnsi="Times New Roman"/>
          <w:sz w:val="20"/>
        </w:rPr>
        <w:t>от 2</w:t>
      </w:r>
      <w:r w:rsidR="005A0009">
        <w:rPr>
          <w:rFonts w:ascii="Times New Roman" w:hAnsi="Times New Roman"/>
          <w:sz w:val="20"/>
        </w:rPr>
        <w:t>7</w:t>
      </w:r>
      <w:r>
        <w:rPr>
          <w:rFonts w:ascii="Times New Roman" w:hAnsi="Times New Roman"/>
          <w:sz w:val="20"/>
        </w:rPr>
        <w:t>.1</w:t>
      </w:r>
      <w:r w:rsidR="005A0009">
        <w:rPr>
          <w:rFonts w:ascii="Times New Roman" w:hAnsi="Times New Roman"/>
          <w:sz w:val="20"/>
        </w:rPr>
        <w:t>1</w:t>
      </w:r>
      <w:r>
        <w:rPr>
          <w:rFonts w:ascii="Times New Roman" w:hAnsi="Times New Roman"/>
          <w:sz w:val="20"/>
        </w:rPr>
        <w:t>.2017 № 1</w:t>
      </w:r>
      <w:r w:rsidR="005A0009">
        <w:rPr>
          <w:rFonts w:ascii="Times New Roman" w:hAnsi="Times New Roman"/>
          <w:sz w:val="20"/>
        </w:rPr>
        <w:t>68</w:t>
      </w:r>
      <w:r>
        <w:rPr>
          <w:rFonts w:ascii="Times New Roman" w:hAnsi="Times New Roman"/>
          <w:sz w:val="20"/>
        </w:rPr>
        <w:t>/ПИФ</w:t>
      </w:r>
    </w:p>
    <w:p w:rsidR="00082243" w:rsidRPr="00D274BB" w:rsidRDefault="00082243" w:rsidP="00D274BB">
      <w:pPr>
        <w:spacing w:line="240" w:lineRule="auto"/>
        <w:jc w:val="right"/>
        <w:rPr>
          <w:rFonts w:ascii="Times New Roman" w:hAnsi="Times New Roman"/>
          <w:b/>
          <w:sz w:val="24"/>
          <w:szCs w:val="24"/>
        </w:rPr>
      </w:pPr>
    </w:p>
    <w:p w:rsidR="001D0FE9" w:rsidRPr="007E4006" w:rsidRDefault="00115C9F" w:rsidP="00D274BB">
      <w:pPr>
        <w:pStyle w:val="ConsPlusNormal"/>
        <w:ind w:right="-159" w:firstLine="540"/>
        <w:jc w:val="center"/>
        <w:rPr>
          <w:rFonts w:ascii="Times New Roman" w:hAnsi="Times New Roman" w:cs="Times New Roman"/>
          <w:b/>
          <w:sz w:val="22"/>
          <w:szCs w:val="22"/>
        </w:rPr>
      </w:pPr>
      <w:r w:rsidRPr="007E4006">
        <w:rPr>
          <w:rFonts w:ascii="Times New Roman" w:hAnsi="Times New Roman" w:cs="Times New Roman"/>
          <w:b/>
          <w:sz w:val="22"/>
          <w:szCs w:val="22"/>
        </w:rPr>
        <w:t>Изменения и дополнения</w:t>
      </w:r>
      <w:r w:rsidR="00A61034" w:rsidRPr="007E4006">
        <w:rPr>
          <w:rFonts w:ascii="Times New Roman" w:hAnsi="Times New Roman" w:cs="Times New Roman"/>
          <w:b/>
          <w:sz w:val="22"/>
          <w:szCs w:val="22"/>
        </w:rPr>
        <w:t xml:space="preserve"> </w:t>
      </w:r>
      <w:r w:rsidRPr="007E4006">
        <w:rPr>
          <w:rFonts w:ascii="Times New Roman" w:hAnsi="Times New Roman" w:cs="Times New Roman"/>
          <w:b/>
          <w:sz w:val="22"/>
          <w:szCs w:val="22"/>
        </w:rPr>
        <w:t>в Правила доверительного управления Открытым паевым инвестиционным фондом</w:t>
      </w:r>
    </w:p>
    <w:p w:rsidR="00115C9F" w:rsidRPr="007E4006" w:rsidRDefault="00115C9F" w:rsidP="00D274BB">
      <w:pPr>
        <w:pStyle w:val="ConsPlusNormal"/>
        <w:ind w:right="-159" w:firstLine="540"/>
        <w:jc w:val="center"/>
        <w:rPr>
          <w:rFonts w:ascii="Times New Roman" w:hAnsi="Times New Roman" w:cs="Times New Roman"/>
          <w:b/>
          <w:sz w:val="22"/>
          <w:szCs w:val="22"/>
        </w:rPr>
      </w:pPr>
      <w:r w:rsidRPr="007E4006">
        <w:rPr>
          <w:rFonts w:ascii="Times New Roman" w:hAnsi="Times New Roman" w:cs="Times New Roman"/>
          <w:b/>
          <w:sz w:val="22"/>
          <w:szCs w:val="22"/>
        </w:rPr>
        <w:t xml:space="preserve"> </w:t>
      </w:r>
      <w:r w:rsidR="003871D3" w:rsidRPr="007E4006">
        <w:rPr>
          <w:rFonts w:ascii="Times New Roman" w:hAnsi="Times New Roman" w:cs="Times New Roman"/>
          <w:b/>
          <w:sz w:val="22"/>
          <w:szCs w:val="22"/>
        </w:rPr>
        <w:t>облигаций</w:t>
      </w:r>
      <w:r w:rsidR="001D0FE9" w:rsidRPr="007E4006">
        <w:rPr>
          <w:rFonts w:ascii="Times New Roman" w:hAnsi="Times New Roman" w:cs="Times New Roman"/>
          <w:b/>
          <w:sz w:val="22"/>
          <w:szCs w:val="22"/>
        </w:rPr>
        <w:t xml:space="preserve"> «УРАЛСИБ </w:t>
      </w:r>
      <w:r w:rsidR="003871D3" w:rsidRPr="007E4006">
        <w:rPr>
          <w:rFonts w:ascii="Times New Roman" w:hAnsi="Times New Roman" w:cs="Times New Roman"/>
          <w:b/>
          <w:sz w:val="22"/>
          <w:szCs w:val="22"/>
        </w:rPr>
        <w:t>Еврооблигации</w:t>
      </w:r>
      <w:r w:rsidR="001D0FE9" w:rsidRPr="007E4006">
        <w:rPr>
          <w:rFonts w:ascii="Times New Roman" w:hAnsi="Times New Roman" w:cs="Times New Roman"/>
          <w:b/>
          <w:sz w:val="22"/>
          <w:szCs w:val="22"/>
        </w:rPr>
        <w:t>»</w:t>
      </w:r>
      <w:r w:rsidR="003871D3" w:rsidRPr="007E4006">
        <w:rPr>
          <w:rFonts w:ascii="Times New Roman" w:hAnsi="Times New Roman" w:cs="Times New Roman"/>
          <w:b/>
          <w:sz w:val="22"/>
          <w:szCs w:val="22"/>
        </w:rPr>
        <w:t xml:space="preserve"> № </w:t>
      </w:r>
      <w:r w:rsidR="008368C8" w:rsidRPr="007E4006">
        <w:rPr>
          <w:rFonts w:ascii="Times New Roman" w:hAnsi="Times New Roman" w:cs="Times New Roman"/>
          <w:b/>
          <w:sz w:val="22"/>
          <w:szCs w:val="22"/>
        </w:rPr>
        <w:t>10</w:t>
      </w:r>
    </w:p>
    <w:p w:rsidR="00115C9F" w:rsidRPr="007E4006" w:rsidRDefault="00115C9F" w:rsidP="00D274BB">
      <w:pPr>
        <w:pStyle w:val="ConsPlusNormal"/>
        <w:ind w:right="-159" w:firstLine="0"/>
        <w:jc w:val="center"/>
        <w:rPr>
          <w:rFonts w:ascii="Times New Roman" w:hAnsi="Times New Roman" w:cs="Times New Roman"/>
          <w:b/>
          <w:sz w:val="22"/>
          <w:szCs w:val="22"/>
        </w:rPr>
      </w:pPr>
      <w:r w:rsidRPr="007E4006">
        <w:rPr>
          <w:rFonts w:ascii="Times New Roman" w:hAnsi="Times New Roman" w:cs="Times New Roman"/>
          <w:b/>
          <w:sz w:val="22"/>
          <w:szCs w:val="22"/>
        </w:rPr>
        <w:t>(Правила зарегистрированы</w:t>
      </w:r>
      <w:r w:rsidR="00936334" w:rsidRPr="007E4006">
        <w:rPr>
          <w:rFonts w:ascii="Times New Roman" w:hAnsi="Times New Roman" w:cs="Times New Roman"/>
          <w:b/>
          <w:sz w:val="22"/>
          <w:szCs w:val="22"/>
        </w:rPr>
        <w:t xml:space="preserve"> </w:t>
      </w:r>
      <w:r w:rsidR="003871D3" w:rsidRPr="007E4006">
        <w:rPr>
          <w:rFonts w:ascii="Times New Roman" w:hAnsi="Times New Roman" w:cs="Times New Roman"/>
          <w:b/>
          <w:sz w:val="22"/>
          <w:szCs w:val="22"/>
        </w:rPr>
        <w:t>ФСФР России за № 2314 от 21.02.2012</w:t>
      </w:r>
      <w:r w:rsidRPr="007E4006">
        <w:rPr>
          <w:rFonts w:ascii="Times New Roman" w:hAnsi="Times New Roman" w:cs="Times New Roman"/>
          <w:b/>
          <w:sz w:val="22"/>
          <w:szCs w:val="22"/>
        </w:rPr>
        <w:t>)</w:t>
      </w:r>
    </w:p>
    <w:p w:rsidR="0024601A" w:rsidRPr="00D274BB" w:rsidRDefault="0024601A" w:rsidP="00D274BB">
      <w:pPr>
        <w:pStyle w:val="ConsPlusNormal"/>
        <w:ind w:firstLine="0"/>
        <w:jc w:val="center"/>
        <w:rPr>
          <w:rFonts w:ascii="Times New Roman" w:hAnsi="Times New Roman" w:cs="Times New Roman"/>
          <w:b/>
          <w:sz w:val="24"/>
          <w:szCs w:val="24"/>
        </w:rPr>
      </w:pPr>
    </w:p>
    <w:tbl>
      <w:tblPr>
        <w:tblStyle w:val="a3"/>
        <w:tblW w:w="0" w:type="auto"/>
        <w:tblLook w:val="04A0"/>
      </w:tblPr>
      <w:tblGrid>
        <w:gridCol w:w="4785"/>
        <w:gridCol w:w="4785"/>
      </w:tblGrid>
      <w:tr w:rsidR="006D4385" w:rsidRPr="007E4006" w:rsidTr="00430423">
        <w:tc>
          <w:tcPr>
            <w:tcW w:w="4785" w:type="dxa"/>
          </w:tcPr>
          <w:p w:rsidR="006D4385" w:rsidRPr="007E4006" w:rsidRDefault="006D4385" w:rsidP="00430423">
            <w:pPr>
              <w:widowControl w:val="0"/>
              <w:autoSpaceDE w:val="0"/>
              <w:autoSpaceDN w:val="0"/>
              <w:adjustRightInd w:val="0"/>
              <w:spacing w:line="240" w:lineRule="auto"/>
              <w:jc w:val="center"/>
              <w:rPr>
                <w:rFonts w:ascii="Times New Roman" w:hAnsi="Times New Roman"/>
                <w:b/>
                <w:sz w:val="20"/>
              </w:rPr>
            </w:pPr>
            <w:r w:rsidRPr="007E4006">
              <w:rPr>
                <w:rFonts w:ascii="Times New Roman" w:hAnsi="Times New Roman"/>
                <w:b/>
                <w:sz w:val="20"/>
              </w:rPr>
              <w:t>Старая редакция</w:t>
            </w:r>
          </w:p>
        </w:tc>
        <w:tc>
          <w:tcPr>
            <w:tcW w:w="4785" w:type="dxa"/>
          </w:tcPr>
          <w:p w:rsidR="006D4385" w:rsidRPr="007E4006" w:rsidRDefault="006D4385" w:rsidP="00430423">
            <w:pPr>
              <w:widowControl w:val="0"/>
              <w:autoSpaceDE w:val="0"/>
              <w:autoSpaceDN w:val="0"/>
              <w:adjustRightInd w:val="0"/>
              <w:spacing w:line="240" w:lineRule="auto"/>
              <w:jc w:val="center"/>
              <w:rPr>
                <w:rFonts w:ascii="Times New Roman" w:hAnsi="Times New Roman"/>
                <w:b/>
                <w:sz w:val="20"/>
              </w:rPr>
            </w:pPr>
            <w:r w:rsidRPr="007E4006">
              <w:rPr>
                <w:rFonts w:ascii="Times New Roman" w:hAnsi="Times New Roman"/>
                <w:b/>
                <w:sz w:val="20"/>
              </w:rPr>
              <w:t>Новая редакция</w:t>
            </w:r>
          </w:p>
        </w:tc>
      </w:tr>
      <w:tr w:rsidR="006D4385" w:rsidRPr="007E4006" w:rsidTr="00430423">
        <w:tc>
          <w:tcPr>
            <w:tcW w:w="4785" w:type="dxa"/>
          </w:tcPr>
          <w:p w:rsidR="006D4385" w:rsidRPr="00E72722"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 Полное название паевого инвестиционного фонда (далее - фонд): Открытый паевой инвестиционный фонд облигаций «УРАЛСИБ Еврооблигации».</w:t>
            </w:r>
          </w:p>
        </w:tc>
        <w:tc>
          <w:tcPr>
            <w:tcW w:w="4785" w:type="dxa"/>
          </w:tcPr>
          <w:p w:rsidR="006D4385"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1. Полное название паевого инвестиционного фонда (далее - фонд): Открытый паевой инвестиционный фонд рыночных финансовых инструментов «УРАЛСИБ Еврооблигации».</w:t>
            </w:r>
          </w:p>
        </w:tc>
      </w:tr>
      <w:tr w:rsidR="00927214" w:rsidRPr="007E4006" w:rsidTr="00430423">
        <w:tc>
          <w:tcPr>
            <w:tcW w:w="4785" w:type="dxa"/>
          </w:tcPr>
          <w:p w:rsidR="00927214"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 Краткое название фонда: ОПИФ облигаций «УРАЛСИБ Еврооблигации».</w:t>
            </w:r>
          </w:p>
        </w:tc>
        <w:tc>
          <w:tcPr>
            <w:tcW w:w="4785" w:type="dxa"/>
          </w:tcPr>
          <w:p w:rsidR="00927214"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2. Краткое название фонда: ОПИФ рыночных финансовых инструментов «УРАЛСИБ Еврооблигации».</w:t>
            </w:r>
          </w:p>
        </w:tc>
      </w:tr>
      <w:tr w:rsidR="00927214" w:rsidRPr="007E4006" w:rsidTr="00430423">
        <w:tc>
          <w:tcPr>
            <w:tcW w:w="4785" w:type="dxa"/>
          </w:tcPr>
          <w:p w:rsidR="00927214"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785" w:type="dxa"/>
          </w:tcPr>
          <w:p w:rsidR="00927214" w:rsidRPr="007E4006" w:rsidRDefault="007E4006" w:rsidP="007E4006">
            <w:pPr>
              <w:pStyle w:val="a4"/>
              <w:spacing w:before="0" w:after="0"/>
              <w:ind w:firstLine="602"/>
              <w:jc w:val="both"/>
              <w:rPr>
                <w:rFonts w:ascii="Times New Roman" w:hAnsi="Times New Roman" w:cs="Times New Roman"/>
                <w:sz w:val="20"/>
                <w:szCs w:val="20"/>
              </w:rPr>
            </w:pPr>
            <w:r w:rsidRPr="007E4006">
              <w:rPr>
                <w:rFonts w:ascii="Times New Roman" w:hAnsi="Times New Roman" w:cs="Times New Roman"/>
                <w:sz w:val="20"/>
                <w:szCs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927214" w:rsidRPr="007E4006" w:rsidTr="00430423">
        <w:tc>
          <w:tcPr>
            <w:tcW w:w="4785" w:type="dxa"/>
          </w:tcPr>
          <w:p w:rsidR="00927214"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8. Место нахождения специализированного депозитария: 119048, г. Москва, ул. Ефремова, д. 8.</w:t>
            </w:r>
          </w:p>
        </w:tc>
        <w:tc>
          <w:tcPr>
            <w:tcW w:w="4785" w:type="dxa"/>
          </w:tcPr>
          <w:p w:rsidR="00927214"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927214" w:rsidRPr="007E4006" w:rsidTr="00430423">
        <w:tc>
          <w:tcPr>
            <w:tcW w:w="4785" w:type="dxa"/>
          </w:tcPr>
          <w:p w:rsidR="00927214"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9. Лицензия специализированного депозитария  от 17 июля 2000 года № 22-000-1-00007, предоставленная Федеральной службой по финансовым рынкам.</w:t>
            </w:r>
          </w:p>
        </w:tc>
        <w:tc>
          <w:tcPr>
            <w:tcW w:w="4785" w:type="dxa"/>
          </w:tcPr>
          <w:p w:rsidR="00927214"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9. Лицензия специализированного депозитария  от 11 марта 2009 года № 22-000-0-00086, предоставленная ФСФР России.</w:t>
            </w:r>
          </w:p>
        </w:tc>
      </w:tr>
      <w:tr w:rsidR="00927214" w:rsidRPr="007E4006" w:rsidTr="00430423">
        <w:tc>
          <w:tcPr>
            <w:tcW w:w="4785" w:type="dxa"/>
          </w:tcPr>
          <w:p w:rsidR="00111B8C" w:rsidRPr="00111B8C" w:rsidRDefault="00111B8C" w:rsidP="00111B8C">
            <w:pPr>
              <w:autoSpaceDE w:val="0"/>
              <w:autoSpaceDN w:val="0"/>
              <w:adjustRightInd w:val="0"/>
              <w:spacing w:line="240" w:lineRule="auto"/>
              <w:ind w:firstLine="567"/>
              <w:rPr>
                <w:rFonts w:ascii="Times New Roman" w:hAnsi="Times New Roman"/>
                <w:i/>
                <w:sz w:val="20"/>
              </w:rPr>
            </w:pPr>
            <w:r w:rsidRPr="00111B8C">
              <w:rPr>
                <w:rFonts w:ascii="Times New Roman" w:hAnsi="Times New Roman"/>
                <w:sz w:val="20"/>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111B8C">
              <w:rPr>
                <w:rFonts w:ascii="Times New Roman" w:hAnsi="Times New Roman"/>
                <w:i/>
                <w:sz w:val="20"/>
              </w:rPr>
              <w: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 сумма величин открытой длинной позиции по всем фьючерсным и опционным контрактам не превышает:</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сумму денежных средств, включая иностранную валюту, составляющих активы Фонда, на банковских счетах;</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w:t>
            </w:r>
            <w:r w:rsidRPr="00111B8C">
              <w:rPr>
                <w:rFonts w:ascii="Times New Roman" w:hAnsi="Times New Roman"/>
                <w:sz w:val="20"/>
              </w:rPr>
              <w:lastRenderedPageBreak/>
              <w:t>«Стандарт энд Пурс» (Standard &amp; Poor's) либо не ниже уровня «Baa3» по классификации рейтингового агентства «Мудис Инвесторс Сервис» (Moody's Investors Service);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927214"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785" w:type="dxa"/>
          </w:tcPr>
          <w:p w:rsidR="007E4006" w:rsidRPr="007E4006" w:rsidRDefault="007E4006" w:rsidP="007E4006">
            <w:pPr>
              <w:autoSpaceDE w:val="0"/>
              <w:autoSpaceDN w:val="0"/>
              <w:adjustRightInd w:val="0"/>
              <w:spacing w:line="240" w:lineRule="auto"/>
              <w:ind w:firstLine="602"/>
              <w:rPr>
                <w:rFonts w:ascii="Times New Roman" w:hAnsi="Times New Roman"/>
                <w:i/>
                <w:sz w:val="20"/>
              </w:rPr>
            </w:pPr>
            <w:r w:rsidRPr="007E4006">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7E4006">
              <w:rPr>
                <w:rFonts w:ascii="Times New Roman" w:hAnsi="Times New Roman"/>
                <w:i/>
                <w:sz w:val="20"/>
              </w:rPr>
              <w:t>.</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2) сумма величин открытой длинной позиции по всем фьючерсным и опционным контрактам не превышает:</w:t>
            </w:r>
          </w:p>
          <w:p w:rsidR="007E4006" w:rsidRPr="007E4006" w:rsidRDefault="007E4006" w:rsidP="007E4006">
            <w:pPr>
              <w:pStyle w:val="af4"/>
              <w:numPr>
                <w:ilvl w:val="0"/>
                <w:numId w:val="25"/>
              </w:numPr>
              <w:autoSpaceDE w:val="0"/>
              <w:autoSpaceDN w:val="0"/>
              <w:adjustRightInd w:val="0"/>
              <w:spacing w:after="0" w:line="240" w:lineRule="auto"/>
              <w:ind w:left="0" w:firstLine="602"/>
              <w:jc w:val="both"/>
              <w:rPr>
                <w:rFonts w:ascii="Times New Roman" w:hAnsi="Times New Roman"/>
                <w:sz w:val="20"/>
                <w:szCs w:val="20"/>
              </w:rPr>
            </w:pPr>
            <w:r w:rsidRPr="007E4006">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7E4006" w:rsidRPr="007E4006" w:rsidRDefault="007E4006" w:rsidP="007E4006">
            <w:pPr>
              <w:pStyle w:val="af4"/>
              <w:numPr>
                <w:ilvl w:val="0"/>
                <w:numId w:val="25"/>
              </w:numPr>
              <w:autoSpaceDE w:val="0"/>
              <w:autoSpaceDN w:val="0"/>
              <w:adjustRightInd w:val="0"/>
              <w:spacing w:after="0" w:line="240" w:lineRule="auto"/>
              <w:ind w:left="0" w:firstLine="602"/>
              <w:jc w:val="both"/>
              <w:rPr>
                <w:rFonts w:ascii="Times New Roman" w:hAnsi="Times New Roman"/>
                <w:sz w:val="20"/>
                <w:szCs w:val="20"/>
              </w:rPr>
            </w:pPr>
            <w:r w:rsidRPr="007E4006">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7E4006" w:rsidRPr="007E4006" w:rsidRDefault="007E4006" w:rsidP="007E4006">
            <w:pPr>
              <w:pStyle w:val="af4"/>
              <w:numPr>
                <w:ilvl w:val="0"/>
                <w:numId w:val="25"/>
              </w:numPr>
              <w:autoSpaceDE w:val="0"/>
              <w:autoSpaceDN w:val="0"/>
              <w:adjustRightInd w:val="0"/>
              <w:spacing w:after="0" w:line="240" w:lineRule="auto"/>
              <w:ind w:left="0" w:firstLine="602"/>
              <w:jc w:val="both"/>
              <w:rPr>
                <w:rFonts w:ascii="Times New Roman" w:hAnsi="Times New Roman"/>
                <w:sz w:val="20"/>
                <w:szCs w:val="20"/>
              </w:rPr>
            </w:pPr>
            <w:r w:rsidRPr="007E4006">
              <w:rPr>
                <w:rFonts w:ascii="Times New Roman" w:hAnsi="Times New Roman"/>
                <w:sz w:val="20"/>
                <w:szCs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w:t>
            </w:r>
            <w:r w:rsidRPr="007E4006">
              <w:rPr>
                <w:rFonts w:ascii="Times New Roman" w:hAnsi="Times New Roman"/>
                <w:sz w:val="20"/>
                <w:szCs w:val="20"/>
              </w:rPr>
              <w:lastRenderedPageBreak/>
              <w:t>«Стандарт энд Пурс» (Standard &amp; Poor's) либо не ниже уровня «Baa3» по классификации рейтингового агентства «Мудис Инвесторс Сервис» (Moody's Investors Service); и</w:t>
            </w:r>
          </w:p>
          <w:p w:rsidR="007E4006" w:rsidRPr="007E4006" w:rsidRDefault="007E4006" w:rsidP="007E4006">
            <w:pPr>
              <w:pStyle w:val="af4"/>
              <w:numPr>
                <w:ilvl w:val="0"/>
                <w:numId w:val="25"/>
              </w:numPr>
              <w:autoSpaceDE w:val="0"/>
              <w:autoSpaceDN w:val="0"/>
              <w:adjustRightInd w:val="0"/>
              <w:spacing w:after="0" w:line="240" w:lineRule="auto"/>
              <w:ind w:left="0" w:firstLine="602"/>
              <w:jc w:val="both"/>
              <w:rPr>
                <w:rFonts w:ascii="Times New Roman" w:hAnsi="Times New Roman"/>
                <w:sz w:val="20"/>
                <w:szCs w:val="20"/>
              </w:rPr>
            </w:pPr>
            <w:r w:rsidRPr="007E4006">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E4006" w:rsidRPr="007E4006" w:rsidRDefault="007E4006" w:rsidP="007E4006">
            <w:pPr>
              <w:pStyle w:val="af4"/>
              <w:numPr>
                <w:ilvl w:val="0"/>
                <w:numId w:val="25"/>
              </w:numPr>
              <w:autoSpaceDE w:val="0"/>
              <w:autoSpaceDN w:val="0"/>
              <w:adjustRightInd w:val="0"/>
              <w:spacing w:after="0" w:line="240" w:lineRule="auto"/>
              <w:ind w:left="0" w:firstLine="602"/>
              <w:jc w:val="both"/>
              <w:rPr>
                <w:rFonts w:ascii="Times New Roman" w:hAnsi="Times New Roman"/>
                <w:sz w:val="20"/>
                <w:szCs w:val="20"/>
              </w:rPr>
            </w:pPr>
            <w:r w:rsidRPr="007E4006">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927214"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7E4006" w:rsidRPr="007E4006" w:rsidTr="00430423">
        <w:tc>
          <w:tcPr>
            <w:tcW w:w="4785" w:type="dxa"/>
          </w:tcPr>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lastRenderedPageBreak/>
              <w:t>22. Объекты инвестирования, их состав и описание.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22.1. Имущество, составляющее фонд, может быть инвестировано 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 денежные средства, в том числе иностранная валюта, на счетах и во вкладах в кредитных организациях;</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 долговые инструменты;</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этом в целях настоящих Правил под долговыми инструментами понимаются: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б) биржевые облигации российских хозяйственных обществ;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д) российские и иностранные депозитарные расписки на ценные бумаги, предусмотренные подпунктами а) – г) настоящего пункта.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3) полностью оплаченные акции российских открытых акционерных обществ, за исключением акций акционерных инвестиционных фондов (далее </w:t>
            </w:r>
            <w:r w:rsidRPr="00111B8C">
              <w:rPr>
                <w:rFonts w:ascii="Times New Roman" w:hAnsi="Times New Roman"/>
                <w:sz w:val="20"/>
              </w:rPr>
              <w:lastRenderedPageBreak/>
              <w:t>- акции российских открытых акционерных обществ);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4) полностью оплаченные акции иностранных акционерных обществ;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22.6 настоящих правил, - значение «C», пятая буква - значение «S».</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7) имущественные права из фьючерсных и опционных договоров (контрактов), базовым активом которых является имущество (индекс), предусмотренное пунктом 22.7 настоящих Правил.</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22.2. Имущество, составляющее фонд, может быть инвестировано в облигации, эмитентами которых могут быть:</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федеральные органы исполнительной власти Российской Федерации;</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органы исполнительной власти субъектов Российской Федерации;</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российские органы местного самоуправления;</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иностранные органы государственной власти;</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международные финансовые организации;</w:t>
            </w:r>
          </w:p>
          <w:p w:rsidR="00111B8C" w:rsidRPr="00111B8C" w:rsidRDefault="00111B8C" w:rsidP="00111B8C">
            <w:pPr>
              <w:numPr>
                <w:ilvl w:val="0"/>
                <w:numId w:val="9"/>
              </w:numPr>
              <w:autoSpaceDE w:val="0"/>
              <w:autoSpaceDN w:val="0"/>
              <w:adjustRightInd w:val="0"/>
              <w:spacing w:line="240" w:lineRule="auto"/>
              <w:ind w:left="0" w:firstLine="567"/>
              <w:rPr>
                <w:rFonts w:ascii="Times New Roman" w:hAnsi="Times New Roman"/>
                <w:sz w:val="20"/>
              </w:rPr>
            </w:pPr>
            <w:r w:rsidRPr="00111B8C">
              <w:rPr>
                <w:rFonts w:ascii="Times New Roman" w:hAnsi="Times New Roman"/>
                <w:sz w:val="20"/>
              </w:rPr>
              <w:t>российские и иностранные юридические лица.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22.3. Лица, обязанные по:</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w:t>
            </w:r>
          </w:p>
          <w:p w:rsidR="00111B8C" w:rsidRPr="00111B8C" w:rsidRDefault="00111B8C" w:rsidP="00111B8C">
            <w:pPr>
              <w:pStyle w:val="a4"/>
              <w:spacing w:before="0" w:after="0"/>
              <w:ind w:firstLine="567"/>
              <w:jc w:val="both"/>
              <w:rPr>
                <w:rFonts w:ascii="Times New Roman" w:hAnsi="Times New Roman" w:cs="Times New Roman"/>
                <w:sz w:val="20"/>
                <w:szCs w:val="20"/>
              </w:rPr>
            </w:pPr>
            <w:r w:rsidRPr="00111B8C">
              <w:rPr>
                <w:rFonts w:ascii="Times New Roman" w:hAnsi="Times New Roman" w:cs="Times New Roman"/>
                <w:sz w:val="20"/>
                <w:szCs w:val="20"/>
              </w:rPr>
              <w:t xml:space="preserve">ценным бумагам иностранных государств,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Европейском Союзе, Организации экономического сотрудничества и развития и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w:t>
            </w:r>
            <w:r w:rsidRPr="00111B8C">
              <w:rPr>
                <w:rFonts w:ascii="Times New Roman" w:hAnsi="Times New Roman" w:cs="Times New Roman"/>
                <w:sz w:val="20"/>
                <w:szCs w:val="20"/>
              </w:rPr>
              <w:lastRenderedPageBreak/>
              <w:t>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111B8C" w:rsidRPr="00111B8C" w:rsidRDefault="00111B8C" w:rsidP="00111B8C">
            <w:pPr>
              <w:pStyle w:val="a4"/>
              <w:spacing w:before="0" w:after="0"/>
              <w:ind w:firstLine="567"/>
              <w:jc w:val="both"/>
              <w:rPr>
                <w:rFonts w:ascii="Times New Roman" w:hAnsi="Times New Roman" w:cs="Times New Roman"/>
                <w:sz w:val="20"/>
                <w:szCs w:val="20"/>
              </w:rPr>
            </w:pPr>
            <w:r w:rsidRPr="00111B8C">
              <w:rPr>
                <w:rFonts w:ascii="Times New Roman" w:hAnsi="Times New Roman" w:cs="Times New Roman"/>
                <w:sz w:val="20"/>
                <w:szCs w:val="20"/>
              </w:rPr>
              <w:t>22.4. Имущество, составляющее Фонд, может быть инвестировано в ценные бумаги, как включенные, так и не включенные в котировальные списки фондовых бирж.</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Ценные бумаги, составляющие фонд, могут быть как допущены, так и не допущены к торгам организаторов торговли на рынке ценных бумаг.</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Государственные ценные бумаги субъектов Российской Федерации и муниципальные ценные бумаги могут входить в состав активов фонда, если они допущены к торгам организатора торговли на рынке ценных бумаг.</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22.5.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22.6. В состав активов фонда могут входить акции иностранных акционерных обществ, облигации иностранных коммерческих организаций, паи (акции) иностранных инвестиционных фондов и иностранные депозитарные расписки, если указанные ценные бумаги прошли процедуру листинга на одной из следующих фондовых бирж:</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 Американская фондовая биржа (American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 Гонконгская фондовая биржа (Hong Kong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lang w:val="en-US"/>
              </w:rPr>
            </w:pPr>
            <w:r w:rsidRPr="00111B8C">
              <w:rPr>
                <w:rFonts w:ascii="Times New Roman" w:hAnsi="Times New Roman"/>
                <w:sz w:val="20"/>
                <w:lang w:val="en-US"/>
              </w:rPr>
              <w:t>3) </w:t>
            </w:r>
            <w:r w:rsidRPr="00111B8C">
              <w:rPr>
                <w:rFonts w:ascii="Times New Roman" w:hAnsi="Times New Roman"/>
                <w:sz w:val="20"/>
              </w:rPr>
              <w:t>Евронекст</w:t>
            </w:r>
            <w:r w:rsidRPr="00111B8C">
              <w:rPr>
                <w:rFonts w:ascii="Times New Roman" w:hAnsi="Times New Roman"/>
                <w:sz w:val="20"/>
                <w:lang w:val="en-US"/>
              </w:rPr>
              <w:t xml:space="preserve"> (Euronext Amsterdam, Euronext Brussels, Euronext Lisbon, Euronext Paris);</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4) Закрытое акционерное общество «Фондовая биржа ММВБ»;</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5) Ирландская фондовая биржа (Irish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6) Испанская фондовая биржа (BME Spanish Exchanges);</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7) Итальянская фондовая биржа (Borsa Italiana);</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8) Корейская биржа (Korea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9) Лондонская фондовая биржа (London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10) Люксембургская фондовая биржа (Luxembourg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11) Насдак (Nasdaq);</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12) Немецкая фондовая биржа (Deutsche Borse);</w:t>
            </w:r>
          </w:p>
          <w:p w:rsidR="00111B8C" w:rsidRPr="00111B8C" w:rsidRDefault="00111B8C" w:rsidP="00111B8C">
            <w:pPr>
              <w:autoSpaceDE w:val="0"/>
              <w:autoSpaceDN w:val="0"/>
              <w:adjustRightInd w:val="0"/>
              <w:spacing w:line="240" w:lineRule="auto"/>
              <w:ind w:firstLine="567"/>
              <w:rPr>
                <w:rFonts w:ascii="Times New Roman" w:hAnsi="Times New Roman"/>
                <w:sz w:val="20"/>
                <w:lang w:val="en-US"/>
              </w:rPr>
            </w:pPr>
            <w:r w:rsidRPr="00111B8C">
              <w:rPr>
                <w:rFonts w:ascii="Times New Roman" w:hAnsi="Times New Roman"/>
                <w:sz w:val="20"/>
                <w:lang w:val="en-US"/>
              </w:rPr>
              <w:t xml:space="preserve">13) </w:t>
            </w:r>
            <w:r w:rsidRPr="00111B8C">
              <w:rPr>
                <w:rFonts w:ascii="Times New Roman" w:hAnsi="Times New Roman"/>
                <w:sz w:val="20"/>
              </w:rPr>
              <w:t>Нью</w:t>
            </w:r>
            <w:r w:rsidRPr="00111B8C">
              <w:rPr>
                <w:rFonts w:ascii="Times New Roman" w:hAnsi="Times New Roman"/>
                <w:sz w:val="20"/>
                <w:lang w:val="en-US"/>
              </w:rPr>
              <w:t>-</w:t>
            </w:r>
            <w:r w:rsidRPr="00111B8C">
              <w:rPr>
                <w:rFonts w:ascii="Times New Roman" w:hAnsi="Times New Roman"/>
                <w:sz w:val="20"/>
              </w:rPr>
              <w:t>Йоркская</w:t>
            </w:r>
            <w:r w:rsidRPr="00111B8C">
              <w:rPr>
                <w:rFonts w:ascii="Times New Roman" w:hAnsi="Times New Roman"/>
                <w:sz w:val="20"/>
                <w:lang w:val="en-US"/>
              </w:rPr>
              <w:t xml:space="preserve"> </w:t>
            </w:r>
            <w:r w:rsidRPr="00111B8C">
              <w:rPr>
                <w:rFonts w:ascii="Times New Roman" w:hAnsi="Times New Roman"/>
                <w:sz w:val="20"/>
              </w:rPr>
              <w:t>фондовая</w:t>
            </w:r>
            <w:r w:rsidRPr="00111B8C">
              <w:rPr>
                <w:rFonts w:ascii="Times New Roman" w:hAnsi="Times New Roman"/>
                <w:sz w:val="20"/>
                <w:lang w:val="en-US"/>
              </w:rPr>
              <w:t xml:space="preserve"> </w:t>
            </w:r>
            <w:r w:rsidRPr="00111B8C">
              <w:rPr>
                <w:rFonts w:ascii="Times New Roman" w:hAnsi="Times New Roman"/>
                <w:sz w:val="20"/>
              </w:rPr>
              <w:t>биржа</w:t>
            </w:r>
            <w:r w:rsidRPr="00111B8C">
              <w:rPr>
                <w:rFonts w:ascii="Times New Roman" w:hAnsi="Times New Roman"/>
                <w:sz w:val="20"/>
                <w:lang w:val="en-US"/>
              </w:rPr>
              <w:t xml:space="preserve"> (New York 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lang w:val="en-US"/>
              </w:rPr>
            </w:pPr>
            <w:r w:rsidRPr="00111B8C">
              <w:rPr>
                <w:rFonts w:ascii="Times New Roman" w:hAnsi="Times New Roman"/>
                <w:sz w:val="20"/>
                <w:lang w:val="en-US"/>
              </w:rPr>
              <w:t xml:space="preserve">14) </w:t>
            </w:r>
            <w:r w:rsidRPr="00111B8C">
              <w:rPr>
                <w:rFonts w:ascii="Times New Roman" w:hAnsi="Times New Roman"/>
                <w:sz w:val="20"/>
              </w:rPr>
              <w:t>Токийская</w:t>
            </w:r>
            <w:r w:rsidRPr="00111B8C">
              <w:rPr>
                <w:rFonts w:ascii="Times New Roman" w:hAnsi="Times New Roman"/>
                <w:sz w:val="20"/>
                <w:lang w:val="en-US"/>
              </w:rPr>
              <w:t xml:space="preserve"> </w:t>
            </w:r>
            <w:r w:rsidRPr="00111B8C">
              <w:rPr>
                <w:rFonts w:ascii="Times New Roman" w:hAnsi="Times New Roman"/>
                <w:sz w:val="20"/>
              </w:rPr>
              <w:t>фондовая</w:t>
            </w:r>
            <w:r w:rsidRPr="00111B8C">
              <w:rPr>
                <w:rFonts w:ascii="Times New Roman" w:hAnsi="Times New Roman"/>
                <w:sz w:val="20"/>
                <w:lang w:val="en-US"/>
              </w:rPr>
              <w:t xml:space="preserve"> </w:t>
            </w:r>
            <w:r w:rsidRPr="00111B8C">
              <w:rPr>
                <w:rFonts w:ascii="Times New Roman" w:hAnsi="Times New Roman"/>
                <w:sz w:val="20"/>
              </w:rPr>
              <w:t>биржа</w:t>
            </w:r>
            <w:r w:rsidRPr="00111B8C">
              <w:rPr>
                <w:rFonts w:ascii="Times New Roman" w:hAnsi="Times New Roman"/>
                <w:sz w:val="20"/>
                <w:lang w:val="en-US"/>
              </w:rPr>
              <w:t xml:space="preserve"> (Tokyo Stock Exchange Group);</w:t>
            </w:r>
          </w:p>
          <w:p w:rsidR="00111B8C" w:rsidRPr="00111B8C" w:rsidRDefault="00111B8C" w:rsidP="00111B8C">
            <w:pPr>
              <w:autoSpaceDE w:val="0"/>
              <w:autoSpaceDN w:val="0"/>
              <w:adjustRightInd w:val="0"/>
              <w:spacing w:line="240" w:lineRule="auto"/>
              <w:ind w:firstLine="567"/>
              <w:rPr>
                <w:rFonts w:ascii="Times New Roman" w:hAnsi="Times New Roman"/>
                <w:sz w:val="20"/>
                <w:lang w:val="en-US"/>
              </w:rPr>
            </w:pPr>
            <w:r w:rsidRPr="00111B8C">
              <w:rPr>
                <w:rFonts w:ascii="Times New Roman" w:hAnsi="Times New Roman"/>
                <w:sz w:val="20"/>
                <w:lang w:val="en-US"/>
              </w:rPr>
              <w:t xml:space="preserve">15) </w:t>
            </w:r>
            <w:r w:rsidRPr="00111B8C">
              <w:rPr>
                <w:rFonts w:ascii="Times New Roman" w:hAnsi="Times New Roman"/>
                <w:sz w:val="20"/>
              </w:rPr>
              <w:t>Фондовая</w:t>
            </w:r>
            <w:r w:rsidRPr="00111B8C">
              <w:rPr>
                <w:rFonts w:ascii="Times New Roman" w:hAnsi="Times New Roman"/>
                <w:sz w:val="20"/>
                <w:lang w:val="en-US"/>
              </w:rPr>
              <w:t xml:space="preserve"> </w:t>
            </w:r>
            <w:r w:rsidRPr="00111B8C">
              <w:rPr>
                <w:rFonts w:ascii="Times New Roman" w:hAnsi="Times New Roman"/>
                <w:sz w:val="20"/>
              </w:rPr>
              <w:t>биржа</w:t>
            </w:r>
            <w:r w:rsidRPr="00111B8C">
              <w:rPr>
                <w:rFonts w:ascii="Times New Roman" w:hAnsi="Times New Roman"/>
                <w:sz w:val="20"/>
                <w:lang w:val="en-US"/>
              </w:rPr>
              <w:t xml:space="preserve"> </w:t>
            </w:r>
            <w:r w:rsidRPr="00111B8C">
              <w:rPr>
                <w:rFonts w:ascii="Times New Roman" w:hAnsi="Times New Roman"/>
                <w:sz w:val="20"/>
              </w:rPr>
              <w:t>Торонто</w:t>
            </w:r>
            <w:r w:rsidRPr="00111B8C">
              <w:rPr>
                <w:rFonts w:ascii="Times New Roman" w:hAnsi="Times New Roman"/>
                <w:sz w:val="20"/>
                <w:lang w:val="en-US"/>
              </w:rPr>
              <w:t xml:space="preserve"> (Toronto Stock Exchange, TSX Group);</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16) Фондовая биржа Швейцарии (Swiss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17) Шанхайская фондовая биржа (Shanghai </w:t>
            </w:r>
            <w:r w:rsidRPr="00111B8C">
              <w:rPr>
                <w:rFonts w:ascii="Times New Roman" w:hAnsi="Times New Roman"/>
                <w:sz w:val="20"/>
              </w:rPr>
              <w:lastRenderedPageBreak/>
              <w:t>Stock Exchange).</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Указанное требование не распространяется на: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ценные бумаги, которые в соответствии с личным законом иностранного эмитента не предназначены для публичного обращения;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паи (акции) иностранных инвестиционных фондов открытого типа.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22.7. Под базовым активом фьючерсных и опционных договоров (контрактов), указанных в подпункте 7 пункта 22.1 настоящих Правил понимаются: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а) индексы, рассчитанные фондовыми биржами только по соответствующему виду ценных бумаг (облигациям), предусмотренных пунктом 22.1 настоящих Правил.</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б) имущество, указанное в подпунктах 1,2,3 и 4 пункта 22.1. настоящих Правил.</w:t>
            </w:r>
          </w:p>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785" w:type="dxa"/>
          </w:tcPr>
          <w:p w:rsidR="00E72722" w:rsidRPr="00056478" w:rsidRDefault="00E72722" w:rsidP="00056478">
            <w:pPr>
              <w:autoSpaceDE w:val="0"/>
              <w:autoSpaceDN w:val="0"/>
              <w:adjustRightInd w:val="0"/>
              <w:spacing w:line="240" w:lineRule="auto"/>
              <w:ind w:firstLine="567"/>
              <w:rPr>
                <w:rFonts w:ascii="Times New Roman" w:hAnsi="Times New Roman"/>
                <w:sz w:val="20"/>
              </w:rPr>
            </w:pPr>
            <w:r w:rsidRPr="00056478">
              <w:rPr>
                <w:rFonts w:ascii="Times New Roman" w:hAnsi="Times New Roman"/>
                <w:sz w:val="20"/>
              </w:rPr>
              <w:lastRenderedPageBreak/>
              <w:t>22. Объекты инвестирования, их состав и описание.</w:t>
            </w:r>
          </w:p>
          <w:p w:rsidR="00E72722" w:rsidRPr="00056478" w:rsidRDefault="00E72722" w:rsidP="00056478">
            <w:pPr>
              <w:spacing w:line="240" w:lineRule="auto"/>
              <w:ind w:firstLine="540"/>
              <w:rPr>
                <w:rFonts w:ascii="Times New Roman" w:hAnsi="Times New Roman"/>
                <w:sz w:val="20"/>
              </w:rPr>
            </w:pPr>
            <w:r w:rsidRPr="00056478">
              <w:rPr>
                <w:rFonts w:ascii="Times New Roman" w:hAnsi="Times New Roman"/>
                <w:sz w:val="20"/>
              </w:rPr>
              <w:t>22.1. Имущество, составляющее фонд, может быть инвестировано в:</w:t>
            </w:r>
          </w:p>
          <w:p w:rsidR="00056478" w:rsidRPr="00056478" w:rsidRDefault="00056478" w:rsidP="00056478">
            <w:pPr>
              <w:autoSpaceDE w:val="0"/>
              <w:autoSpaceDN w:val="0"/>
              <w:adjustRightInd w:val="0"/>
              <w:spacing w:line="240" w:lineRule="auto"/>
              <w:ind w:firstLine="567"/>
              <w:rPr>
                <w:rFonts w:ascii="Times New Roman" w:hAnsi="Times New Roman"/>
                <w:sz w:val="20"/>
              </w:rPr>
            </w:pPr>
            <w:r w:rsidRPr="00056478">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FD1AEA" w:rsidRPr="007D3405" w:rsidRDefault="00FD1AEA" w:rsidP="00FD1AEA">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3) Паи (акции) иностранных инвестиционных фондов, открытого и закрытого типа, при этом:</w:t>
            </w:r>
          </w:p>
          <w:p w:rsidR="00FD1AEA" w:rsidRPr="007D3405" w:rsidRDefault="00FD1AEA" w:rsidP="00FD1AEA">
            <w:pPr>
              <w:pStyle w:val="af4"/>
              <w:numPr>
                <w:ilvl w:val="0"/>
                <w:numId w:val="27"/>
              </w:numPr>
              <w:spacing w:after="0" w:line="240" w:lineRule="auto"/>
              <w:jc w:val="both"/>
              <w:rPr>
                <w:rFonts w:ascii="Times New Roman" w:hAnsi="Times New Roman"/>
                <w:sz w:val="20"/>
                <w:szCs w:val="20"/>
              </w:rPr>
            </w:pPr>
            <w:r w:rsidRPr="007D3405">
              <w:rPr>
                <w:rFonts w:ascii="Times New Roman" w:hAnsi="Times New Roman"/>
                <w:sz w:val="20"/>
                <w:szCs w:val="20"/>
              </w:rPr>
              <w:t xml:space="preserve">в случае использования стандарта ISO 10962:2001, присвоенный указанным </w:t>
            </w:r>
            <w:r w:rsidRPr="007D3405">
              <w:rPr>
                <w:rFonts w:ascii="Times New Roman" w:hAnsi="Times New Roman"/>
                <w:sz w:val="20"/>
                <w:szCs w:val="20"/>
              </w:rPr>
              <w:lastRenderedPageBreak/>
              <w:t>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056478" w:rsidRPr="00056478" w:rsidRDefault="00FD1AEA" w:rsidP="00FD1AEA">
            <w:pPr>
              <w:pStyle w:val="af4"/>
              <w:numPr>
                <w:ilvl w:val="0"/>
                <w:numId w:val="27"/>
              </w:numPr>
              <w:spacing w:after="0" w:line="240" w:lineRule="auto"/>
              <w:jc w:val="both"/>
              <w:rPr>
                <w:rFonts w:ascii="Times New Roman" w:hAnsi="Times New Roman"/>
                <w:sz w:val="20"/>
                <w:szCs w:val="20"/>
              </w:rPr>
            </w:pPr>
            <w:r w:rsidRPr="007D3405">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7D3405">
              <w:rPr>
                <w:rFonts w:ascii="Times New Roman" w:hAnsi="Times New Roman"/>
                <w:sz w:val="20"/>
                <w:szCs w:val="20"/>
                <w:lang w:val="en-US"/>
              </w:rPr>
              <w:t>I</w:t>
            </w:r>
            <w:r w:rsidRPr="007D3405">
              <w:rPr>
                <w:rFonts w:ascii="Times New Roman" w:hAnsi="Times New Roman"/>
                <w:sz w:val="20"/>
                <w:szCs w:val="20"/>
              </w:rPr>
              <w:t>», или «</w:t>
            </w:r>
            <w:r w:rsidRPr="007D3405">
              <w:rPr>
                <w:rFonts w:ascii="Times New Roman" w:hAnsi="Times New Roman"/>
                <w:sz w:val="20"/>
                <w:szCs w:val="20"/>
                <w:lang w:val="en-US"/>
              </w:rPr>
              <w:t>E</w:t>
            </w:r>
            <w:r w:rsidRPr="007D3405">
              <w:rPr>
                <w:rFonts w:ascii="Times New Roman" w:hAnsi="Times New Roman"/>
                <w:sz w:val="20"/>
                <w:szCs w:val="20"/>
              </w:rPr>
              <w:t>», или «</w:t>
            </w:r>
            <w:r w:rsidRPr="007D3405">
              <w:rPr>
                <w:rFonts w:ascii="Times New Roman" w:hAnsi="Times New Roman"/>
                <w:sz w:val="20"/>
                <w:szCs w:val="20"/>
                <w:lang w:val="en-US"/>
              </w:rPr>
              <w:t>B</w:t>
            </w:r>
            <w:r w:rsidRPr="007D3405">
              <w:rPr>
                <w:rFonts w:ascii="Times New Roman" w:hAnsi="Times New Roman"/>
                <w:sz w:val="20"/>
                <w:szCs w:val="20"/>
              </w:rPr>
              <w:t>», или «</w:t>
            </w:r>
            <w:r w:rsidRPr="007D3405">
              <w:rPr>
                <w:rFonts w:ascii="Times New Roman" w:hAnsi="Times New Roman"/>
                <w:sz w:val="20"/>
                <w:szCs w:val="20"/>
                <w:lang w:val="en-US"/>
              </w:rPr>
              <w:t>F</w:t>
            </w:r>
            <w:r w:rsidRPr="007D3405">
              <w:rPr>
                <w:rFonts w:ascii="Times New Roman" w:hAnsi="Times New Roman"/>
                <w:sz w:val="20"/>
                <w:szCs w:val="20"/>
              </w:rPr>
              <w:t>», третья буква – значение «О» либо «C», пятая буква – значение «B», или «E», или «V», или «L», или «С», или «D», или «F»</w:t>
            </w:r>
            <w:r w:rsidR="00056478" w:rsidRPr="00056478">
              <w:rPr>
                <w:rFonts w:ascii="Times New Roman" w:hAnsi="Times New Roman"/>
                <w:sz w:val="20"/>
                <w:szCs w:val="20"/>
              </w:rPr>
              <w:t>.</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5) Полностью оплаченные акции иностранных акционерных обществ.</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6) Долговые инструменты.</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056478"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E72722" w:rsidRPr="00056478" w:rsidRDefault="00056478"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E72722" w:rsidRPr="00056478">
              <w:rPr>
                <w:rFonts w:ascii="Times New Roman" w:hAnsi="Times New Roman"/>
                <w:sz w:val="20"/>
              </w:rPr>
              <w:t>.</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22.2. В целях применения настоящих Правил под долговыми инструментами понимаются: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а) облигации российских эмитентов;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б) биржевые облигации российских эмитентов;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г) облигации иностранных эмитентов и международных финансовых организаций.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 российские органы государственной власти;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 иностранные органы государственной власти;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 органы местного самоуправления;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 международные финансовые организации; </w:t>
            </w:r>
          </w:p>
          <w:p w:rsidR="00E72722" w:rsidRPr="00056478" w:rsidRDefault="00E72722" w:rsidP="00056478">
            <w:pPr>
              <w:spacing w:line="240" w:lineRule="auto"/>
              <w:ind w:firstLine="567"/>
              <w:rPr>
                <w:rFonts w:ascii="Times New Roman" w:hAnsi="Times New Roman"/>
                <w:sz w:val="20"/>
              </w:rPr>
            </w:pPr>
            <w:r w:rsidRPr="00056478">
              <w:rPr>
                <w:rFonts w:ascii="Times New Roman" w:hAnsi="Times New Roman"/>
                <w:sz w:val="20"/>
              </w:rPr>
              <w:t xml:space="preserve">- российские юридические лица; </w:t>
            </w:r>
          </w:p>
          <w:p w:rsidR="00E72722" w:rsidRPr="00056478" w:rsidRDefault="00E72722"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 иностранные юридические лица.</w:t>
            </w:r>
          </w:p>
          <w:p w:rsidR="00E72722" w:rsidRPr="00056478" w:rsidRDefault="00E72722" w:rsidP="00056478">
            <w:pPr>
              <w:autoSpaceDE w:val="0"/>
              <w:autoSpaceDN w:val="0"/>
              <w:adjustRightInd w:val="0"/>
              <w:spacing w:line="240" w:lineRule="auto"/>
              <w:ind w:firstLine="540"/>
              <w:rPr>
                <w:rFonts w:ascii="Times New Roman" w:hAnsi="Times New Roman"/>
                <w:sz w:val="20"/>
              </w:rPr>
            </w:pPr>
            <w:r w:rsidRPr="00056478">
              <w:rPr>
                <w:rFonts w:ascii="Times New Roman" w:hAnsi="Times New Roman"/>
                <w:sz w:val="20"/>
              </w:rPr>
              <w:t>22.4. В активы фонда могут приобретаться обыкновенные и привилегированные акции.</w:t>
            </w:r>
          </w:p>
          <w:p w:rsidR="00FD1AEA" w:rsidRPr="007D3405" w:rsidRDefault="00FD1AEA" w:rsidP="00FD1AEA">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22.5. Лица, обязанные по:</w:t>
            </w:r>
          </w:p>
          <w:p w:rsidR="00FD1AEA" w:rsidRPr="007D3405" w:rsidRDefault="00FD1AEA" w:rsidP="00FD1AEA">
            <w:pPr>
              <w:spacing w:line="240" w:lineRule="auto"/>
              <w:ind w:firstLine="567"/>
              <w:rPr>
                <w:rFonts w:ascii="Times New Roman" w:hAnsi="Times New Roman"/>
                <w:sz w:val="20"/>
              </w:rPr>
            </w:pPr>
            <w:r w:rsidRPr="007D3405">
              <w:rPr>
                <w:rFonts w:ascii="Times New Roman" w:hAnsi="Times New Roman"/>
                <w:sz w:val="20"/>
              </w:rPr>
              <w:t xml:space="preserve">- государственным ценным бумагам Российской Федерации, государственным ценным бумагам субъектов Российской Федерации, </w:t>
            </w:r>
            <w:r w:rsidRPr="007D3405">
              <w:rPr>
                <w:rFonts w:ascii="Times New Roman" w:hAnsi="Times New Roman"/>
                <w:sz w:val="20"/>
              </w:rPr>
              <w:lastRenderedPageBreak/>
              <w:t xml:space="preserve">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E72722" w:rsidRPr="00056478" w:rsidRDefault="00FD1AEA" w:rsidP="00FD1AEA">
            <w:pPr>
              <w:spacing w:line="240" w:lineRule="auto"/>
              <w:ind w:firstLine="567"/>
              <w:rPr>
                <w:rFonts w:ascii="Times New Roman" w:hAnsi="Times New Roman"/>
                <w:sz w:val="20"/>
              </w:rPr>
            </w:pPr>
            <w:r w:rsidRPr="007D3405">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E72722" w:rsidRPr="00056478">
              <w:rPr>
                <w:rFonts w:ascii="Times New Roman" w:hAnsi="Times New Roman"/>
                <w:sz w:val="20"/>
              </w:rPr>
              <w:t xml:space="preserve">. </w:t>
            </w:r>
          </w:p>
          <w:p w:rsidR="007E4006" w:rsidRPr="00056478" w:rsidRDefault="00E72722" w:rsidP="00056478">
            <w:pPr>
              <w:widowControl w:val="0"/>
              <w:autoSpaceDE w:val="0"/>
              <w:autoSpaceDN w:val="0"/>
              <w:adjustRightInd w:val="0"/>
              <w:spacing w:line="240" w:lineRule="auto"/>
              <w:ind w:firstLine="602"/>
              <w:rPr>
                <w:rFonts w:ascii="Times New Roman" w:hAnsi="Times New Roman"/>
                <w:sz w:val="20"/>
              </w:rPr>
            </w:pPr>
            <w:r w:rsidRPr="00056478">
              <w:rPr>
                <w:rFonts w:ascii="Times New Roman" w:hAnsi="Times New Roman"/>
                <w:sz w:val="20"/>
              </w:rPr>
              <w:t xml:space="preserve">22.6. </w:t>
            </w:r>
            <w:r w:rsidR="00056478" w:rsidRPr="00056478">
              <w:rPr>
                <w:rFonts w:ascii="Times New Roman" w:hAnsi="Times New Roman"/>
                <w:sz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7E4006" w:rsidRPr="00056478">
              <w:rPr>
                <w:rFonts w:ascii="Times New Roman" w:hAnsi="Times New Roman"/>
                <w:sz w:val="20"/>
              </w:rPr>
              <w:t>.</w:t>
            </w:r>
          </w:p>
          <w:p w:rsidR="00056478" w:rsidRPr="00056478" w:rsidRDefault="00FD1AEA" w:rsidP="00056478">
            <w:pPr>
              <w:widowControl w:val="0"/>
              <w:autoSpaceDE w:val="0"/>
              <w:autoSpaceDN w:val="0"/>
              <w:adjustRightInd w:val="0"/>
              <w:spacing w:line="240" w:lineRule="auto"/>
              <w:ind w:firstLine="602"/>
              <w:rPr>
                <w:rFonts w:ascii="Times New Roman" w:hAnsi="Times New Roman"/>
                <w:sz w:val="20"/>
              </w:rPr>
            </w:pPr>
            <w:r w:rsidRPr="007D3405">
              <w:rPr>
                <w:rFonts w:ascii="Times New Roman" w:hAnsi="Times New Roman"/>
                <w:sz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w:t>
            </w:r>
            <w:r w:rsidRPr="007D3405">
              <w:rPr>
                <w:rFonts w:ascii="Times New Roman" w:hAnsi="Times New Roman"/>
                <w:sz w:val="20"/>
              </w:rPr>
              <w:lastRenderedPageBreak/>
              <w:t>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Pr>
                <w:rFonts w:ascii="Times New Roman" w:hAnsi="Times New Roman"/>
                <w:sz w:val="20"/>
              </w:rPr>
              <w:t>.</w:t>
            </w:r>
          </w:p>
        </w:tc>
      </w:tr>
      <w:tr w:rsidR="007E4006" w:rsidRPr="007E4006" w:rsidTr="00430423">
        <w:tc>
          <w:tcPr>
            <w:tcW w:w="4785" w:type="dxa"/>
          </w:tcPr>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lastRenderedPageBreak/>
              <w:t>23. Структура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23.1. Структура активов фонда должна одновременно соответствовать следующим требованиям:</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5) количество инвестиционных паев паевого инвестиционного фонда или акций акционерного инвестиционного фонда или паев (акций) </w:t>
            </w:r>
            <w:r w:rsidRPr="00111B8C">
              <w:rPr>
                <w:rFonts w:ascii="Times New Roman" w:hAnsi="Times New Roman"/>
                <w:sz w:val="20"/>
              </w:rPr>
              <w:lastRenderedPageBreak/>
              <w:t>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6) оценочная стоимость неликвидных ценных бумаг может составлять не более 10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22.6. настоящих Правил;</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Данные требования применяются к структуре активов фонда до даты возникновения основания прекращения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Сумма величин открытой длинной позиции, </w:t>
            </w:r>
            <w:r w:rsidRPr="00111B8C">
              <w:rPr>
                <w:rFonts w:ascii="Times New Roman" w:hAnsi="Times New Roman"/>
                <w:sz w:val="20"/>
              </w:rPr>
              <w:lastRenderedPageBreak/>
              <w:t>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23.3.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а) ценная бумага включена в котировальные списки «А» или «Б» российской фондовой биржи;</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22.6 настоящих Правил, превышает 1 миллион долларов США для облигаций, акций (паев) иностранных инвестиционных фондов и депозитарных расписок;</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г) ценная бумага удостоверяет право ее владельца не реже чем один раз в 14 дней требовать от лица, обязанного по этой ценной бумаге, ее </w:t>
            </w:r>
            <w:r w:rsidRPr="00111B8C">
              <w:rPr>
                <w:rFonts w:ascii="Times New Roman" w:hAnsi="Times New Roman"/>
                <w:sz w:val="20"/>
              </w:rPr>
              <w:lastRenderedPageBreak/>
              <w:t>погашения и выплаты денежных средств, в срок, не превышающий 30 дней с даты направления соответствующего требования;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785" w:type="dxa"/>
          </w:tcPr>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lastRenderedPageBreak/>
              <w:t>23. Структура активов фонда.</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23.1. Структура активов фонда должна одновременно соответствовать следующим требованиям:</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w:t>
            </w:r>
            <w:r w:rsidRPr="00AB1C9C">
              <w:rPr>
                <w:rFonts w:ascii="Times New Roman" w:hAnsi="Times New Roman"/>
                <w:sz w:val="20"/>
              </w:rPr>
              <w:lastRenderedPageBreak/>
              <w:t xml:space="preserve">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w:t>
            </w:r>
            <w:r w:rsidRPr="00AB1C9C">
              <w:rPr>
                <w:rFonts w:ascii="Times New Roman" w:hAnsi="Times New Roman"/>
                <w:sz w:val="20"/>
              </w:rPr>
              <w:lastRenderedPageBreak/>
              <w:t xml:space="preserve">стоимости чистых активов фонда.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AB1C9C" w:rsidRPr="00AB1C9C" w:rsidRDefault="00AB1C9C" w:rsidP="00AB1C9C">
            <w:pPr>
              <w:spacing w:line="240" w:lineRule="auto"/>
              <w:ind w:firstLine="567"/>
              <w:rPr>
                <w:rFonts w:ascii="Times New Roman" w:hAnsi="Times New Roman"/>
                <w:sz w:val="20"/>
              </w:rPr>
            </w:pPr>
            <w:r w:rsidRPr="00AB1C9C">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7E4006" w:rsidRPr="00AB1C9C" w:rsidRDefault="00AB1C9C" w:rsidP="00AB1C9C">
            <w:pPr>
              <w:spacing w:line="240" w:lineRule="auto"/>
              <w:ind w:firstLine="602"/>
              <w:rPr>
                <w:rFonts w:ascii="Times New Roman" w:hAnsi="Times New Roman"/>
                <w:sz w:val="20"/>
              </w:rPr>
            </w:pPr>
            <w:r w:rsidRPr="00AB1C9C">
              <w:rPr>
                <w:rFonts w:ascii="Times New Roman" w:hAnsi="Times New Roman"/>
                <w:sz w:val="20"/>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w:t>
            </w:r>
            <w:r w:rsidR="007E4006" w:rsidRPr="00AB1C9C">
              <w:rPr>
                <w:rFonts w:ascii="Times New Roman" w:hAnsi="Times New Roman"/>
                <w:sz w:val="20"/>
              </w:rPr>
              <w:t xml:space="preserve">.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1. S&amp;P/ASX-200 (Австралия).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2. ATX (Австрия).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 BEL20 (Бельгия).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lastRenderedPageBreak/>
              <w:t>4. Ibovespa (Бразилия).</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5. Budapest SE (Венгрия).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6. FTSE 100 (Великобритания).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7. Hang Seng (Гонконг).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8. DAX (Германия).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9. OMX Copenhagen 20 (Дания).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10. TA 25 (</w:t>
            </w:r>
            <w:r w:rsidRPr="00AB1C9C">
              <w:rPr>
                <w:rFonts w:ascii="Times New Roman" w:hAnsi="Times New Roman"/>
                <w:sz w:val="20"/>
              </w:rPr>
              <w:t>Израиль</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11. BSE Sensex (</w:t>
            </w:r>
            <w:r w:rsidRPr="00AB1C9C">
              <w:rPr>
                <w:rFonts w:ascii="Times New Roman" w:hAnsi="Times New Roman"/>
                <w:sz w:val="20"/>
              </w:rPr>
              <w:t>Индия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12. ISEQ 20 (</w:t>
            </w:r>
            <w:r w:rsidRPr="00AB1C9C">
              <w:rPr>
                <w:rFonts w:ascii="Times New Roman" w:hAnsi="Times New Roman"/>
                <w:sz w:val="20"/>
              </w:rPr>
              <w:t>Ирландия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13. ICEX (</w:t>
            </w:r>
            <w:r w:rsidRPr="00AB1C9C">
              <w:rPr>
                <w:rFonts w:ascii="Times New Roman" w:hAnsi="Times New Roman"/>
                <w:sz w:val="20"/>
              </w:rPr>
              <w:t>Исландия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14. IBEX 35 (</w:t>
            </w:r>
            <w:r w:rsidRPr="00AB1C9C">
              <w:rPr>
                <w:rFonts w:ascii="Times New Roman" w:hAnsi="Times New Roman"/>
                <w:sz w:val="20"/>
              </w:rPr>
              <w:t>Испания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15. FTSE MIB (</w:t>
            </w:r>
            <w:r w:rsidRPr="00AB1C9C">
              <w:rPr>
                <w:rFonts w:ascii="Times New Roman" w:hAnsi="Times New Roman"/>
                <w:sz w:val="20"/>
              </w:rPr>
              <w:t>Италия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16. S&amp;P/TSX (</w:t>
            </w:r>
            <w:r w:rsidRPr="00AB1C9C">
              <w:rPr>
                <w:rFonts w:ascii="Times New Roman" w:hAnsi="Times New Roman"/>
                <w:sz w:val="20"/>
              </w:rPr>
              <w:t>Канада</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17. SSE Composite Index (</w:t>
            </w:r>
            <w:r w:rsidRPr="00AB1C9C">
              <w:rPr>
                <w:rFonts w:ascii="Times New Roman" w:hAnsi="Times New Roman"/>
                <w:sz w:val="20"/>
              </w:rPr>
              <w:t>Китай</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18. LuxX Index (</w:t>
            </w:r>
            <w:r w:rsidRPr="00AB1C9C">
              <w:rPr>
                <w:rFonts w:ascii="Times New Roman" w:hAnsi="Times New Roman"/>
                <w:sz w:val="20"/>
              </w:rPr>
              <w:t>Люксембург</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19. IPC (</w:t>
            </w:r>
            <w:r w:rsidRPr="00AB1C9C">
              <w:rPr>
                <w:rFonts w:ascii="Times New Roman" w:hAnsi="Times New Roman"/>
                <w:sz w:val="20"/>
              </w:rPr>
              <w:t>Мексика</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20. AEX Index (</w:t>
            </w:r>
            <w:r w:rsidRPr="00AB1C9C">
              <w:rPr>
                <w:rFonts w:ascii="Times New Roman" w:hAnsi="Times New Roman"/>
                <w:sz w:val="20"/>
              </w:rPr>
              <w:t>Нидерланды</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21. DJ New Zealand (</w:t>
            </w:r>
            <w:r w:rsidRPr="00AB1C9C">
              <w:rPr>
                <w:rFonts w:ascii="Times New Roman" w:hAnsi="Times New Roman"/>
                <w:sz w:val="20"/>
              </w:rPr>
              <w:t>Новая</w:t>
            </w:r>
            <w:r w:rsidRPr="00AB1C9C">
              <w:rPr>
                <w:rFonts w:ascii="Times New Roman" w:hAnsi="Times New Roman"/>
                <w:sz w:val="20"/>
                <w:lang w:val="en-US"/>
              </w:rPr>
              <w:t xml:space="preserve"> </w:t>
            </w:r>
            <w:r w:rsidRPr="00AB1C9C">
              <w:rPr>
                <w:rFonts w:ascii="Times New Roman" w:hAnsi="Times New Roman"/>
                <w:sz w:val="20"/>
              </w:rPr>
              <w:t>Зеландия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22. OBX (</w:t>
            </w:r>
            <w:r w:rsidRPr="00AB1C9C">
              <w:rPr>
                <w:rFonts w:ascii="Times New Roman" w:hAnsi="Times New Roman"/>
                <w:sz w:val="20"/>
              </w:rPr>
              <w:t>Норвегия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23. WIG (</w:t>
            </w:r>
            <w:r w:rsidRPr="00AB1C9C">
              <w:rPr>
                <w:rFonts w:ascii="Times New Roman" w:hAnsi="Times New Roman"/>
                <w:sz w:val="20"/>
              </w:rPr>
              <w:t>Польша</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24. PSI 20 (</w:t>
            </w:r>
            <w:r w:rsidRPr="00AB1C9C">
              <w:rPr>
                <w:rFonts w:ascii="Times New Roman" w:hAnsi="Times New Roman"/>
                <w:sz w:val="20"/>
              </w:rPr>
              <w:t>Португалия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25. ММВБ (Россия).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26. РТС (Россия).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27. SAX (Словакия).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28. Blue-Chip SBITOP (</w:t>
            </w:r>
            <w:r w:rsidRPr="00AB1C9C">
              <w:rPr>
                <w:rFonts w:ascii="Times New Roman" w:hAnsi="Times New Roman"/>
                <w:sz w:val="20"/>
              </w:rPr>
              <w:t>Словения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29. Dow Jones (</w:t>
            </w:r>
            <w:r w:rsidRPr="00AB1C9C">
              <w:rPr>
                <w:rFonts w:ascii="Times New Roman" w:hAnsi="Times New Roman"/>
                <w:sz w:val="20"/>
              </w:rPr>
              <w:t>США</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30. S&amp;P 500 (</w:t>
            </w:r>
            <w:r w:rsidRPr="00AB1C9C">
              <w:rPr>
                <w:rFonts w:ascii="Times New Roman" w:hAnsi="Times New Roman"/>
                <w:sz w:val="20"/>
              </w:rPr>
              <w:t>США</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31. BIST 100 (</w:t>
            </w:r>
            <w:r w:rsidRPr="00AB1C9C">
              <w:rPr>
                <w:rFonts w:ascii="Times New Roman" w:hAnsi="Times New Roman"/>
                <w:sz w:val="20"/>
              </w:rPr>
              <w:t>Турция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32. OMX Helsinki 25 (</w:t>
            </w:r>
            <w:r w:rsidRPr="00AB1C9C">
              <w:rPr>
                <w:rFonts w:ascii="Times New Roman" w:hAnsi="Times New Roman"/>
                <w:sz w:val="20"/>
              </w:rPr>
              <w:t>Финляндия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33. CAC 40 (Франция).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34. PX Index (Чешская республика).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35. IPSA (Чили).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36. SMI (Швейцария).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37. </w:t>
            </w:r>
            <w:r w:rsidRPr="00AB1C9C">
              <w:rPr>
                <w:rFonts w:ascii="Times New Roman" w:hAnsi="Times New Roman"/>
                <w:sz w:val="20"/>
                <w:lang w:val="en-US"/>
              </w:rPr>
              <w:t>OMXS</w:t>
            </w:r>
            <w:r w:rsidRPr="00AB1C9C">
              <w:rPr>
                <w:rFonts w:ascii="Times New Roman" w:hAnsi="Times New Roman"/>
                <w:sz w:val="20"/>
              </w:rPr>
              <w:t xml:space="preserve">30 (Швеция).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38. Tallinn SE General (</w:t>
            </w:r>
            <w:r w:rsidRPr="00AB1C9C">
              <w:rPr>
                <w:rFonts w:ascii="Times New Roman" w:hAnsi="Times New Roman"/>
                <w:sz w:val="20"/>
              </w:rPr>
              <w:t>Эстония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39. FTSE/JSE Top40 (</w:t>
            </w:r>
            <w:r w:rsidRPr="00AB1C9C">
              <w:rPr>
                <w:rFonts w:ascii="Times New Roman" w:hAnsi="Times New Roman"/>
                <w:sz w:val="20"/>
              </w:rPr>
              <w:t>ЮАР</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40. KOSPI (</w:t>
            </w:r>
            <w:r w:rsidRPr="00AB1C9C">
              <w:rPr>
                <w:rFonts w:ascii="Times New Roman" w:hAnsi="Times New Roman"/>
                <w:sz w:val="20"/>
              </w:rPr>
              <w:t>Южная</w:t>
            </w:r>
            <w:r w:rsidRPr="00AB1C9C">
              <w:rPr>
                <w:rFonts w:ascii="Times New Roman" w:hAnsi="Times New Roman"/>
                <w:sz w:val="20"/>
                <w:lang w:val="en-US"/>
              </w:rPr>
              <w:t xml:space="preserve"> </w:t>
            </w:r>
            <w:r w:rsidRPr="00AB1C9C">
              <w:rPr>
                <w:rFonts w:ascii="Times New Roman" w:hAnsi="Times New Roman"/>
                <w:sz w:val="20"/>
              </w:rPr>
              <w:t>Корея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lang w:val="en-US"/>
              </w:rPr>
            </w:pPr>
            <w:r w:rsidRPr="00AB1C9C">
              <w:rPr>
                <w:rFonts w:ascii="Times New Roman" w:hAnsi="Times New Roman"/>
                <w:sz w:val="20"/>
                <w:lang w:val="en-US"/>
              </w:rPr>
              <w:t>41. Nikkei 225 (</w:t>
            </w:r>
            <w:r w:rsidRPr="00AB1C9C">
              <w:rPr>
                <w:rFonts w:ascii="Times New Roman" w:hAnsi="Times New Roman"/>
                <w:sz w:val="20"/>
              </w:rPr>
              <w:t>Япония</w:t>
            </w:r>
            <w:r w:rsidRPr="00AB1C9C">
              <w:rPr>
                <w:rFonts w:ascii="Times New Roman" w:hAnsi="Times New Roman"/>
                <w:sz w:val="20"/>
                <w:lang w:val="en-US"/>
              </w:rPr>
              <w:t xml:space="preserve">)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 пять процентов;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 </w:t>
            </w:r>
            <w:r w:rsidR="00AB1C9C" w:rsidRPr="00AB1C9C">
              <w:rPr>
                <w:rFonts w:ascii="Times New Roman" w:hAnsi="Times New Roman"/>
                <w:sz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Pr="00AB1C9C">
              <w:rPr>
                <w:rFonts w:ascii="Times New Roman" w:hAnsi="Times New Roman"/>
                <w:sz w:val="20"/>
              </w:rPr>
              <w:t xml:space="preserve">.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Для целей настоящего подпункта учитываются денежные средства, распоряжение которыми не ограничено на основании решения </w:t>
            </w:r>
            <w:r w:rsidRPr="00AB1C9C">
              <w:rPr>
                <w:rFonts w:ascii="Times New Roman" w:hAnsi="Times New Roman"/>
                <w:sz w:val="20"/>
              </w:rPr>
              <w:lastRenderedPageBreak/>
              <w:t xml:space="preserve">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7E4006" w:rsidRPr="00AB1C9C" w:rsidRDefault="007E4006" w:rsidP="00AB1C9C">
            <w:pPr>
              <w:spacing w:line="240" w:lineRule="auto"/>
              <w:ind w:firstLine="602"/>
              <w:rPr>
                <w:rFonts w:ascii="Times New Roman" w:hAnsi="Times New Roman"/>
                <w:sz w:val="20"/>
              </w:rPr>
            </w:pPr>
            <w:r w:rsidRPr="00AB1C9C">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7E4006" w:rsidRPr="00AB1C9C" w:rsidRDefault="007E4006" w:rsidP="00AB1C9C">
            <w:pPr>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 xml:space="preserve">Если базовым активом указанных фьючерсных и опционных договоров (контрактов) является индекс, рассчитываемый на основании </w:t>
            </w:r>
            <w:r w:rsidRPr="00AB1C9C">
              <w:rPr>
                <w:rFonts w:ascii="Times New Roman" w:hAnsi="Times New Roman"/>
                <w:sz w:val="20"/>
              </w:rPr>
              <w:lastRenderedPageBreak/>
              <w:t>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7E4006" w:rsidRPr="00AB1C9C" w:rsidRDefault="007E4006" w:rsidP="00AB1C9C">
            <w:pPr>
              <w:widowControl w:val="0"/>
              <w:autoSpaceDE w:val="0"/>
              <w:autoSpaceDN w:val="0"/>
              <w:adjustRightInd w:val="0"/>
              <w:spacing w:line="240" w:lineRule="auto"/>
              <w:ind w:firstLine="602"/>
              <w:rPr>
                <w:rFonts w:ascii="Times New Roman" w:hAnsi="Times New Roman"/>
                <w:sz w:val="20"/>
              </w:rPr>
            </w:pPr>
            <w:r w:rsidRPr="00AB1C9C">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7E4006" w:rsidRPr="007E4006" w:rsidTr="00430423">
        <w:tc>
          <w:tcPr>
            <w:tcW w:w="4785" w:type="dxa"/>
          </w:tcPr>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lastRenderedPageBreak/>
              <w:t>66.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0,5% (Ноль целых пять десятых процента) от расчетной стоимости одного инвестиционного пая;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785" w:type="dxa"/>
          </w:tcPr>
          <w:p w:rsidR="001C7AB9" w:rsidRPr="001C7AB9" w:rsidRDefault="007E4006" w:rsidP="001C7AB9">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 xml:space="preserve">66. </w:t>
            </w:r>
            <w:r w:rsidR="001C7AB9" w:rsidRPr="001C7AB9">
              <w:rPr>
                <w:rFonts w:ascii="Times New Roman" w:hAnsi="Times New Roman"/>
                <w:sz w:val="20"/>
              </w:rPr>
              <w:t>При подаче физическими лицами заявки на приобретение инвестиционных паев в управляющую компанию надбавка, на которую увеличивается расчетная стоимость пая, не взимается.</w:t>
            </w:r>
          </w:p>
          <w:p w:rsidR="001C7AB9" w:rsidRPr="001C7AB9" w:rsidRDefault="001C7AB9" w:rsidP="001C7AB9">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352E01" w:rsidRPr="001C7AB9" w:rsidRDefault="001C7AB9" w:rsidP="001C7AB9">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3 000 000 (Три миллиона) рублей и более, надбавка, на которую увеличивается расчетная стоимость пая, не взимается</w:t>
            </w:r>
            <w:r w:rsidR="00352E01" w:rsidRPr="001C7AB9">
              <w:rPr>
                <w:rFonts w:ascii="Times New Roman" w:hAnsi="Times New Roman"/>
                <w:sz w:val="20"/>
              </w:rPr>
              <w:t>.</w:t>
            </w:r>
          </w:p>
          <w:p w:rsidR="00352E01" w:rsidRPr="001C7AB9" w:rsidRDefault="00352E01" w:rsidP="00352E01">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При подаче физическими лицами заявки на приобретение инвестиционных паев агенту надбавка, на которую увеличивается расчетная стоимость пая, не взимается.</w:t>
            </w:r>
          </w:p>
          <w:p w:rsidR="00352E01" w:rsidRPr="001C7AB9" w:rsidRDefault="00352E01" w:rsidP="00352E01">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При подаче юридическими лицами (за исключением доверительного управляющего) заявки на приобретение инвестиционных паев агенту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352E01" w:rsidRPr="001C7AB9" w:rsidRDefault="00352E01" w:rsidP="00352E01">
            <w:pPr>
              <w:autoSpaceDE w:val="0"/>
              <w:autoSpaceDN w:val="0"/>
              <w:adjustRightInd w:val="0"/>
              <w:spacing w:line="240" w:lineRule="auto"/>
              <w:ind w:firstLine="539"/>
              <w:rPr>
                <w:rFonts w:ascii="Times New Roman" w:hAnsi="Times New Roman"/>
                <w:sz w:val="20"/>
              </w:rPr>
            </w:pPr>
            <w:r w:rsidRPr="001C7AB9">
              <w:rPr>
                <w:rFonts w:ascii="Times New Roman" w:hAnsi="Times New Roman"/>
                <w:sz w:val="20"/>
              </w:rPr>
              <w:t>При подаче юридическими лицами (за исключением доверительного управляющего) заявки на приобретение инвестиционных паев агенту на сумму 3 000 000 (Три миллиона) рублей и более, надбавка, на которую увеличивается расчетная стоимость пая, не взимается.</w:t>
            </w:r>
          </w:p>
          <w:p w:rsidR="007E4006" w:rsidRPr="001C7AB9" w:rsidRDefault="00352E01" w:rsidP="00352E01">
            <w:pPr>
              <w:widowControl w:val="0"/>
              <w:autoSpaceDE w:val="0"/>
              <w:autoSpaceDN w:val="0"/>
              <w:adjustRightInd w:val="0"/>
              <w:spacing w:line="240" w:lineRule="auto"/>
              <w:ind w:firstLine="602"/>
              <w:rPr>
                <w:rFonts w:ascii="Times New Roman" w:hAnsi="Times New Roman"/>
                <w:sz w:val="20"/>
              </w:rPr>
            </w:pPr>
            <w:r w:rsidRPr="001C7AB9">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r w:rsidR="007E4006" w:rsidRPr="001C7AB9">
              <w:rPr>
                <w:rFonts w:ascii="Times New Roman" w:hAnsi="Times New Roman"/>
                <w:sz w:val="20"/>
              </w:rPr>
              <w:t>.</w:t>
            </w:r>
          </w:p>
        </w:tc>
      </w:tr>
      <w:tr w:rsidR="007E4006" w:rsidRPr="007E4006" w:rsidTr="00430423">
        <w:tc>
          <w:tcPr>
            <w:tcW w:w="4785" w:type="dxa"/>
          </w:tcPr>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 xml:space="preserve">При погашении физическими лицами </w:t>
            </w:r>
            <w:r w:rsidRPr="00111B8C">
              <w:rPr>
                <w:rFonts w:ascii="Times New Roman" w:hAnsi="Times New Roman"/>
                <w:i/>
                <w:sz w:val="20"/>
                <w:u w:val="single"/>
              </w:rPr>
              <w:lastRenderedPageBreak/>
              <w:t>инвестиционных паев на сумму менее 3 000 000 (Трех миллионов) рублей</w:t>
            </w:r>
            <w:r w:rsidRPr="00111B8C">
              <w:rPr>
                <w:rFonts w:ascii="Times New Roman" w:hAnsi="Times New Roman"/>
                <w:sz w:val="20"/>
              </w:rPr>
              <w: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физическими лицами инвестиционных паев на сумму более 3 000 000 (Трех миллионов) рублей:</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11B8C">
              <w:rPr>
                <w:rFonts w:ascii="Times New Roman" w:hAnsi="Times New Roman"/>
                <w:sz w:val="20"/>
              </w:rPr>
              <w: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физическими лицами инвестиционных паев</w:t>
            </w:r>
            <w:r w:rsidRPr="00111B8C">
              <w:rPr>
                <w:rFonts w:ascii="Times New Roman" w:hAnsi="Times New Roman"/>
                <w:sz w:val="20"/>
              </w:rPr>
              <w: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- 1,5% (Одна целая пять десятых процента) от </w:t>
            </w:r>
            <w:r w:rsidRPr="00111B8C">
              <w:rPr>
                <w:rFonts w:ascii="Times New Roman" w:hAnsi="Times New Roman"/>
                <w:sz w:val="20"/>
              </w:rPr>
              <w:lastRenderedPageBreak/>
              <w:t>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11B8C">
              <w:rPr>
                <w:rFonts w:ascii="Times New Roman" w:hAnsi="Times New Roman"/>
                <w:sz w:val="20"/>
              </w:rPr>
              <w:t>:</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- 0% (Ноль процентов) от расчетной стоимости одного инвестиционного пая.</w:t>
            </w:r>
          </w:p>
          <w:p w:rsidR="00111B8C" w:rsidRPr="00111B8C" w:rsidRDefault="00111B8C" w:rsidP="00111B8C">
            <w:pPr>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При подаче заявок на погашение номинальными держателями или доверительными управляющими скидка не взимается.</w:t>
            </w:r>
          </w:p>
          <w:p w:rsidR="00111B8C"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 xml:space="preserve">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w:t>
            </w:r>
            <w:r w:rsidRPr="00111B8C">
              <w:rPr>
                <w:rFonts w:ascii="Times New Roman" w:hAnsi="Times New Roman"/>
                <w:sz w:val="20"/>
              </w:rPr>
              <w:lastRenderedPageBreak/>
              <w:t>применения скидок согласно условиям настоящего пункта.</w:t>
            </w:r>
          </w:p>
        </w:tc>
        <w:tc>
          <w:tcPr>
            <w:tcW w:w="4785" w:type="dxa"/>
          </w:tcPr>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lastRenderedPageBreak/>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 xml:space="preserve">При погашении физическими лицами </w:t>
            </w:r>
            <w:r w:rsidRPr="007E4006">
              <w:rPr>
                <w:rFonts w:ascii="Times New Roman" w:hAnsi="Times New Roman"/>
                <w:i/>
                <w:sz w:val="20"/>
                <w:u w:val="single"/>
              </w:rPr>
              <w:lastRenderedPageBreak/>
              <w:t>инвестиционных паев на сумму менее 3 000 000 (Трех миллионов) рублей</w:t>
            </w:r>
            <w:r w:rsidRPr="007E4006">
              <w:rPr>
                <w:rFonts w:ascii="Times New Roman" w:hAnsi="Times New Roman"/>
                <w:sz w:val="20"/>
              </w:rPr>
              <w:t>:</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7E4006">
              <w:rPr>
                <w:rFonts w:ascii="Times New Roman" w:hAnsi="Times New Roman"/>
                <w:sz w:val="20"/>
              </w:rPr>
              <w:t>:</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xml:space="preserve">- 0%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w:t>
            </w:r>
            <w:r w:rsidRPr="007E4006">
              <w:rPr>
                <w:rFonts w:ascii="Times New Roman" w:hAnsi="Times New Roman"/>
                <w:sz w:val="20"/>
              </w:rPr>
              <w:lastRenderedPageBreak/>
              <w:t>день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При погашении физическими лицами инвестиционных паев</w:t>
            </w:r>
            <w:r w:rsidRPr="007E4006">
              <w:rPr>
                <w:rFonts w:ascii="Times New Roman" w:hAnsi="Times New Roman"/>
                <w:sz w:val="20"/>
              </w:rPr>
              <w:t>:</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7E4006">
              <w:rPr>
                <w:rFonts w:ascii="Times New Roman" w:hAnsi="Times New Roman"/>
                <w:sz w:val="20"/>
              </w:rPr>
              <w:t>:</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i/>
                <w:sz w:val="20"/>
                <w:u w:val="single"/>
              </w:rPr>
              <w:t xml:space="preserve">При погашении юридическими лицами (за </w:t>
            </w:r>
            <w:r w:rsidRPr="007E4006">
              <w:rPr>
                <w:rFonts w:ascii="Times New Roman" w:hAnsi="Times New Roman"/>
                <w:i/>
                <w:sz w:val="20"/>
                <w:u w:val="single"/>
              </w:rPr>
              <w:lastRenderedPageBreak/>
              <w:t>исключением номинальных держателей и доверительных управляющих) инвестиционных паев на сумму 3 000 000 (Три миллиона) рублей и более:</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- 0% (Ноль процентов) от расчетной стоимости одного инвестиционного пая.</w:t>
            </w:r>
          </w:p>
          <w:p w:rsidR="007E4006" w:rsidRPr="007E4006" w:rsidRDefault="007E4006" w:rsidP="007E4006">
            <w:pPr>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7E4006"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Период владения, пре</w:t>
            </w:r>
            <w:r w:rsidR="004031A5">
              <w:rPr>
                <w:rFonts w:ascii="Times New Roman" w:hAnsi="Times New Roman"/>
                <w:sz w:val="20"/>
              </w:rPr>
              <w:t>дусмотренный настоящим пунктом П</w:t>
            </w:r>
            <w:r w:rsidRPr="007E4006">
              <w:rPr>
                <w:rFonts w:ascii="Times New Roman" w:hAnsi="Times New Roman"/>
                <w:sz w:val="20"/>
              </w:rPr>
              <w:t>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4031A5">
              <w:rPr>
                <w:rFonts w:ascii="Times New Roman" w:hAnsi="Times New Roman"/>
                <w:sz w:val="20"/>
              </w:rPr>
              <w:t>,</w:t>
            </w:r>
            <w:r w:rsidRPr="007E4006">
              <w:rPr>
                <w:rFonts w:ascii="Times New Roman" w:hAnsi="Times New Roman"/>
                <w:sz w:val="20"/>
              </w:rPr>
              <w:t xml:space="preserve"> в отношении которых подана заявка на погашение</w:t>
            </w:r>
            <w:r w:rsidR="004031A5">
              <w:rPr>
                <w:rFonts w:ascii="Times New Roman" w:hAnsi="Times New Roman"/>
                <w:sz w:val="20"/>
              </w:rPr>
              <w:t>,</w:t>
            </w:r>
            <w:r w:rsidRPr="007E4006">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7E4006"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7E4006" w:rsidRPr="007E4006" w:rsidTr="00430423">
        <w:tc>
          <w:tcPr>
            <w:tcW w:w="4785" w:type="dxa"/>
          </w:tcPr>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lastRenderedPageBreak/>
              <w:t>85. Инвестиционные паи могут обмениваться на инвестиционные паи:</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акций «УРАЛСИБ Первый»;</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смешанных инвестиций «УРАЛСИБ Профессиональный»;</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акций «УРАЛСИБ Природные ресурсы»;</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акций «УРАЛСИБ Глобальные инновации»;</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акций «УРАЛСИБ</w:t>
            </w:r>
            <w:r w:rsidRPr="00111B8C" w:rsidDel="00946217">
              <w:rPr>
                <w:rFonts w:ascii="Times New Roman" w:hAnsi="Times New Roman"/>
                <w:sz w:val="20"/>
              </w:rPr>
              <w:t xml:space="preserve"> </w:t>
            </w:r>
            <w:r w:rsidRPr="00111B8C">
              <w:rPr>
                <w:rFonts w:ascii="Times New Roman" w:hAnsi="Times New Roman"/>
                <w:sz w:val="20"/>
              </w:rPr>
              <w:t>Энергетическая перспектива»;</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облигаций «УРАЛСИБ Консервативный»;</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фондов «УРАЛСИБ</w:t>
            </w:r>
            <w:r w:rsidRPr="00111B8C" w:rsidDel="00946217">
              <w:rPr>
                <w:rFonts w:ascii="Times New Roman" w:hAnsi="Times New Roman"/>
                <w:sz w:val="20"/>
              </w:rPr>
              <w:t xml:space="preserve"> </w:t>
            </w:r>
            <w:r w:rsidRPr="00111B8C">
              <w:rPr>
                <w:rFonts w:ascii="Times New Roman" w:hAnsi="Times New Roman"/>
                <w:sz w:val="20"/>
              </w:rPr>
              <w:t>Золото»;</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акций «УРАЛСИБ Акции роста»;</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фондов «УРАЛСИБ Акционерные рынки развитых стран»;</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фондов «УРАЛСИБ Долговые рынки развивающихся стран»;</w:t>
            </w:r>
          </w:p>
          <w:p w:rsidR="00111B8C" w:rsidRPr="00111B8C" w:rsidRDefault="00111B8C" w:rsidP="00111B8C">
            <w:pPr>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фондов «УРАЛСИБ Долговые рынки развитых стран»;</w:t>
            </w:r>
          </w:p>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Открытого паевого инвестиционного фонда фондов «УРАЛСИБ Глобал Реал Эстейт».</w:t>
            </w:r>
          </w:p>
        </w:tc>
        <w:tc>
          <w:tcPr>
            <w:tcW w:w="4785" w:type="dxa"/>
          </w:tcPr>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85. Инвестиционные паи могут обмениваться на инвестиционные паи:</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Первый»;</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Профессиональный»;</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Природные ресурсы»;</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Глобальные инновации»;</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w:t>
            </w:r>
            <w:r w:rsidRPr="007E4006" w:rsidDel="00946217">
              <w:rPr>
                <w:rFonts w:ascii="Times New Roman" w:hAnsi="Times New Roman"/>
                <w:sz w:val="20"/>
              </w:rPr>
              <w:t xml:space="preserve"> </w:t>
            </w:r>
            <w:r w:rsidRPr="007E4006">
              <w:rPr>
                <w:rFonts w:ascii="Times New Roman" w:hAnsi="Times New Roman"/>
                <w:sz w:val="20"/>
              </w:rPr>
              <w:t>Энергетическая перспектива»;</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Консервативный»;</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w:t>
            </w:r>
            <w:r w:rsidRPr="007E4006" w:rsidDel="00946217">
              <w:rPr>
                <w:rFonts w:ascii="Times New Roman" w:hAnsi="Times New Roman"/>
                <w:sz w:val="20"/>
              </w:rPr>
              <w:t xml:space="preserve"> </w:t>
            </w:r>
            <w:r w:rsidRPr="007E4006">
              <w:rPr>
                <w:rFonts w:ascii="Times New Roman" w:hAnsi="Times New Roman"/>
                <w:sz w:val="20"/>
              </w:rPr>
              <w:t>Драгоценные металлы»;</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Акции роста»;</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7E4006" w:rsidRPr="007E4006" w:rsidRDefault="007E4006" w:rsidP="007E4006">
            <w:pPr>
              <w:spacing w:line="240" w:lineRule="auto"/>
              <w:ind w:firstLine="602"/>
              <w:rPr>
                <w:rFonts w:ascii="Times New Roman" w:hAnsi="Times New Roman"/>
                <w:sz w:val="20"/>
              </w:rPr>
            </w:pPr>
            <w:r w:rsidRPr="007E4006">
              <w:rPr>
                <w:rFonts w:ascii="Times New Roman" w:hAnsi="Times New Roman"/>
                <w:sz w:val="20"/>
              </w:rPr>
              <w:t xml:space="preserve">Открытого паевого инвестиционного фонда </w:t>
            </w:r>
            <w:r w:rsidRPr="007E4006">
              <w:rPr>
                <w:rFonts w:ascii="Times New Roman" w:hAnsi="Times New Roman"/>
                <w:sz w:val="20"/>
              </w:rPr>
              <w:lastRenderedPageBreak/>
              <w:t>рыночных финансовых инструментов «УРАЛСИБ Глобальные облигации»;</w:t>
            </w:r>
          </w:p>
          <w:p w:rsidR="007E4006"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Открытого паевого инвестиционного фонда рыночных финансовых инструментов «УРАЛСИБ Зарубежная недвижимость».</w:t>
            </w:r>
          </w:p>
        </w:tc>
      </w:tr>
      <w:tr w:rsidR="007E4006" w:rsidRPr="007E4006" w:rsidTr="00430423">
        <w:tc>
          <w:tcPr>
            <w:tcW w:w="4785" w:type="dxa"/>
          </w:tcPr>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lastRenderedPageBreak/>
              <w:t>99. За счет имущества, составляющего фонд, выплачивается вознаграждение управляющей компании в размере 2,2 % (Две целых две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tc>
        <w:tc>
          <w:tcPr>
            <w:tcW w:w="4785" w:type="dxa"/>
          </w:tcPr>
          <w:p w:rsidR="007E4006"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99. За счет имущества, составляющего фонд, выплачивается вознаграждение управляющей компании в размере 1,5 % (Одна целая пять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tc>
      </w:tr>
      <w:tr w:rsidR="007E4006" w:rsidRPr="007E4006" w:rsidTr="00430423">
        <w:tc>
          <w:tcPr>
            <w:tcW w:w="4785" w:type="dxa"/>
          </w:tcPr>
          <w:p w:rsidR="007E4006" w:rsidRPr="00111B8C" w:rsidRDefault="00111B8C" w:rsidP="00111B8C">
            <w:pPr>
              <w:widowControl w:val="0"/>
              <w:autoSpaceDE w:val="0"/>
              <w:autoSpaceDN w:val="0"/>
              <w:adjustRightInd w:val="0"/>
              <w:spacing w:line="240" w:lineRule="auto"/>
              <w:ind w:firstLine="567"/>
              <w:rPr>
                <w:rFonts w:ascii="Times New Roman" w:hAnsi="Times New Roman"/>
                <w:sz w:val="20"/>
              </w:rPr>
            </w:pPr>
            <w:r w:rsidRPr="00111B8C">
              <w:rPr>
                <w:rFonts w:ascii="Times New Roman" w:hAnsi="Times New Roman"/>
                <w:sz w:val="20"/>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2,8 % (Две целых восемь десятых процента) (с учетом НДС) среднегодовой стоимости чистых активов фонда, выплачиваются управляющей компанией за счет своих собственных средств.</w:t>
            </w:r>
          </w:p>
        </w:tc>
        <w:tc>
          <w:tcPr>
            <w:tcW w:w="4785" w:type="dxa"/>
          </w:tcPr>
          <w:p w:rsidR="007E4006" w:rsidRPr="007E4006" w:rsidRDefault="007E4006" w:rsidP="007E4006">
            <w:pPr>
              <w:widowControl w:val="0"/>
              <w:autoSpaceDE w:val="0"/>
              <w:autoSpaceDN w:val="0"/>
              <w:adjustRightInd w:val="0"/>
              <w:spacing w:line="240" w:lineRule="auto"/>
              <w:ind w:firstLine="602"/>
              <w:rPr>
                <w:rFonts w:ascii="Times New Roman" w:hAnsi="Times New Roman"/>
                <w:sz w:val="20"/>
              </w:rPr>
            </w:pPr>
            <w:r w:rsidRPr="007E4006">
              <w:rPr>
                <w:rFonts w:ascii="Times New Roman" w:hAnsi="Times New Roman"/>
                <w:sz w:val="20"/>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2,1 % (Две целых одна десятая процента) (с учетом НДС) среднегодовой стоимости чистых активов фонда, выплачиваются управляющей компанией за счет своих собственных средств.</w:t>
            </w:r>
          </w:p>
        </w:tc>
      </w:tr>
    </w:tbl>
    <w:p w:rsidR="00D274BB" w:rsidRPr="004608E3" w:rsidRDefault="00D274BB" w:rsidP="006D4385">
      <w:pPr>
        <w:spacing w:line="240" w:lineRule="auto"/>
        <w:ind w:right="-1"/>
        <w:rPr>
          <w:b/>
          <w:sz w:val="24"/>
          <w:szCs w:val="24"/>
        </w:rPr>
      </w:pPr>
    </w:p>
    <w:p w:rsidR="00D274BB" w:rsidRPr="004608E3" w:rsidRDefault="00D274BB" w:rsidP="00D274BB">
      <w:pPr>
        <w:spacing w:line="240" w:lineRule="auto"/>
        <w:rPr>
          <w:rFonts w:ascii="Times New Roman" w:hAnsi="Times New Roman"/>
          <w:sz w:val="24"/>
          <w:szCs w:val="24"/>
        </w:rPr>
      </w:pPr>
    </w:p>
    <w:p w:rsidR="00D274BB" w:rsidRDefault="00D274BB" w:rsidP="00D274BB">
      <w:pPr>
        <w:spacing w:line="240" w:lineRule="auto"/>
        <w:rPr>
          <w:rFonts w:ascii="Times New Roman" w:hAnsi="Times New Roman"/>
          <w:sz w:val="24"/>
          <w:szCs w:val="24"/>
        </w:rPr>
      </w:pPr>
    </w:p>
    <w:p w:rsidR="00082243" w:rsidRPr="00E50C1C" w:rsidRDefault="00082243" w:rsidP="00D274BB">
      <w:pPr>
        <w:spacing w:line="240" w:lineRule="auto"/>
        <w:rPr>
          <w:rFonts w:ascii="Times New Roman" w:hAnsi="Times New Roman"/>
          <w:sz w:val="24"/>
          <w:szCs w:val="24"/>
        </w:rPr>
      </w:pPr>
      <w:r w:rsidRPr="00E50C1C">
        <w:rPr>
          <w:rFonts w:ascii="Times New Roman" w:hAnsi="Times New Roman"/>
          <w:sz w:val="24"/>
          <w:szCs w:val="24"/>
        </w:rPr>
        <w:t xml:space="preserve">Генеральный директор </w:t>
      </w:r>
    </w:p>
    <w:p w:rsidR="00850E48" w:rsidRPr="00E50C1C" w:rsidRDefault="00082243" w:rsidP="00D274BB">
      <w:pPr>
        <w:spacing w:line="240" w:lineRule="auto"/>
        <w:rPr>
          <w:rFonts w:ascii="Times New Roman" w:hAnsi="Times New Roman"/>
          <w:sz w:val="24"/>
          <w:szCs w:val="24"/>
        </w:rPr>
      </w:pPr>
      <w:r w:rsidRPr="00E50C1C">
        <w:rPr>
          <w:rFonts w:ascii="Times New Roman" w:hAnsi="Times New Roman"/>
          <w:sz w:val="24"/>
          <w:szCs w:val="24"/>
        </w:rPr>
        <w:t xml:space="preserve">АО «УК </w:t>
      </w:r>
      <w:r w:rsidR="00835DB3" w:rsidRPr="00E50C1C">
        <w:rPr>
          <w:rFonts w:ascii="Times New Roman" w:hAnsi="Times New Roman"/>
          <w:sz w:val="24"/>
          <w:szCs w:val="24"/>
        </w:rPr>
        <w:t>УРАЛСИБ</w:t>
      </w:r>
      <w:r w:rsidRPr="00E50C1C">
        <w:rPr>
          <w:rFonts w:ascii="Times New Roman" w:hAnsi="Times New Roman"/>
          <w:sz w:val="24"/>
          <w:szCs w:val="24"/>
        </w:rPr>
        <w:t xml:space="preserve">»                  </w:t>
      </w:r>
      <w:r w:rsidR="00E51628" w:rsidRPr="00E50C1C">
        <w:rPr>
          <w:rFonts w:ascii="Times New Roman" w:hAnsi="Times New Roman"/>
          <w:sz w:val="24"/>
          <w:szCs w:val="24"/>
        </w:rPr>
        <w:t xml:space="preserve">         </w:t>
      </w:r>
      <w:r w:rsidRPr="00E50C1C">
        <w:rPr>
          <w:rFonts w:ascii="Times New Roman" w:hAnsi="Times New Roman"/>
          <w:sz w:val="24"/>
          <w:szCs w:val="24"/>
        </w:rPr>
        <w:t xml:space="preserve">                                                              </w:t>
      </w:r>
      <w:r w:rsidR="00E51628" w:rsidRPr="00E50C1C">
        <w:rPr>
          <w:rFonts w:ascii="Times New Roman" w:hAnsi="Times New Roman"/>
          <w:sz w:val="24"/>
          <w:szCs w:val="24"/>
        </w:rPr>
        <w:t>А.</w:t>
      </w:r>
      <w:r w:rsidR="00B90485" w:rsidRPr="00E50C1C">
        <w:rPr>
          <w:rFonts w:ascii="Times New Roman" w:hAnsi="Times New Roman"/>
          <w:sz w:val="24"/>
          <w:szCs w:val="24"/>
        </w:rPr>
        <w:t xml:space="preserve"> </w:t>
      </w:r>
      <w:r w:rsidR="00E51628" w:rsidRPr="00E50C1C">
        <w:rPr>
          <w:rFonts w:ascii="Times New Roman" w:hAnsi="Times New Roman"/>
          <w:sz w:val="24"/>
          <w:szCs w:val="24"/>
        </w:rPr>
        <w:t>М. Успенский</w:t>
      </w:r>
    </w:p>
    <w:sectPr w:rsidR="00850E48" w:rsidRPr="00E50C1C" w:rsidSect="00D274BB">
      <w:footerReference w:type="default" r:id="rId8"/>
      <w:pgSz w:w="11906" w:h="16838"/>
      <w:pgMar w:top="816" w:right="851" w:bottom="1134" w:left="1701" w:header="426"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4C" w:rsidRDefault="005E154C" w:rsidP="00685E5D">
      <w:pPr>
        <w:spacing w:line="240" w:lineRule="auto"/>
      </w:pPr>
      <w:r>
        <w:separator/>
      </w:r>
    </w:p>
  </w:endnote>
  <w:endnote w:type="continuationSeparator" w:id="0">
    <w:p w:rsidR="005E154C" w:rsidRDefault="005E154C"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25" w:rsidRPr="003C3E25" w:rsidRDefault="003C3E25">
    <w:pPr>
      <w:pStyle w:val="aa"/>
      <w:jc w:val="right"/>
      <w:rPr>
        <w:sz w:val="16"/>
        <w:szCs w:val="16"/>
      </w:rPr>
    </w:pPr>
    <w:r w:rsidRPr="003C3E25">
      <w:rPr>
        <w:sz w:val="16"/>
        <w:szCs w:val="16"/>
      </w:rPr>
      <w:fldChar w:fldCharType="begin"/>
    </w:r>
    <w:r w:rsidRPr="003C3E25">
      <w:rPr>
        <w:sz w:val="16"/>
        <w:szCs w:val="16"/>
      </w:rPr>
      <w:instrText>PAGE   \* MERGEFORMAT</w:instrText>
    </w:r>
    <w:r w:rsidRPr="003C3E25">
      <w:rPr>
        <w:sz w:val="16"/>
        <w:szCs w:val="16"/>
      </w:rPr>
      <w:fldChar w:fldCharType="separate"/>
    </w:r>
    <w:r w:rsidR="00815B95">
      <w:rPr>
        <w:noProof/>
        <w:sz w:val="16"/>
        <w:szCs w:val="16"/>
      </w:rPr>
      <w:t>1</w:t>
    </w:r>
    <w:r w:rsidRPr="003C3E25">
      <w:rPr>
        <w:sz w:val="16"/>
        <w:szCs w:val="16"/>
      </w:rPr>
      <w:fldChar w:fldCharType="end"/>
    </w:r>
  </w:p>
  <w:p w:rsidR="003C3E25" w:rsidRDefault="003C3E25" w:rsidP="00D274BB">
    <w:pPr>
      <w:pStyle w:val="aa"/>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4C" w:rsidRDefault="005E154C" w:rsidP="00685E5D">
      <w:pPr>
        <w:spacing w:line="240" w:lineRule="auto"/>
      </w:pPr>
      <w:r>
        <w:separator/>
      </w:r>
    </w:p>
  </w:footnote>
  <w:footnote w:type="continuationSeparator" w:id="0">
    <w:p w:rsidR="005E154C" w:rsidRDefault="005E154C"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1D20437"/>
    <w:multiLevelType w:val="hybridMultilevel"/>
    <w:tmpl w:val="9238F7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8CB769F"/>
    <w:multiLevelType w:val="hybridMultilevel"/>
    <w:tmpl w:val="25D8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46DB2"/>
    <w:multiLevelType w:val="hybridMultilevel"/>
    <w:tmpl w:val="1F5A15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C321D77"/>
    <w:multiLevelType w:val="hybridMultilevel"/>
    <w:tmpl w:val="BECADE9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1A5E3577"/>
    <w:multiLevelType w:val="hybridMultilevel"/>
    <w:tmpl w:val="C936C9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CD0891"/>
    <w:multiLevelType w:val="hybridMultilevel"/>
    <w:tmpl w:val="DDC8C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6334D3"/>
    <w:multiLevelType w:val="hybridMultilevel"/>
    <w:tmpl w:val="5F887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08B7F57"/>
    <w:multiLevelType w:val="hybridMultilevel"/>
    <w:tmpl w:val="FB48B9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40C6C2F"/>
    <w:multiLevelType w:val="hybridMultilevel"/>
    <w:tmpl w:val="39F6E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8"/>
  </w:num>
  <w:num w:numId="2">
    <w:abstractNumId w:val="15"/>
  </w:num>
  <w:num w:numId="3">
    <w:abstractNumId w:val="12"/>
  </w:num>
  <w:num w:numId="4">
    <w:abstractNumId w:val="5"/>
  </w:num>
  <w:num w:numId="5">
    <w:abstractNumId w:val="2"/>
  </w:num>
  <w:num w:numId="6">
    <w:abstractNumId w:val="2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22"/>
  </w:num>
  <w:num w:numId="12">
    <w:abstractNumId w:val="24"/>
  </w:num>
  <w:num w:numId="13">
    <w:abstractNumId w:val="9"/>
  </w:num>
  <w:num w:numId="14">
    <w:abstractNumId w:val="21"/>
  </w:num>
  <w:num w:numId="15">
    <w:abstractNumId w:val="4"/>
  </w:num>
  <w:num w:numId="16">
    <w:abstractNumId w:val="16"/>
  </w:num>
  <w:num w:numId="17">
    <w:abstractNumId w:val="7"/>
  </w:num>
  <w:num w:numId="18">
    <w:abstractNumId w:val="6"/>
  </w:num>
  <w:num w:numId="19">
    <w:abstractNumId w:val="13"/>
  </w:num>
  <w:num w:numId="20">
    <w:abstractNumId w:val="14"/>
  </w:num>
  <w:num w:numId="21">
    <w:abstractNumId w:val="20"/>
  </w:num>
  <w:num w:numId="22">
    <w:abstractNumId w:val="1"/>
  </w:num>
  <w:num w:numId="23">
    <w:abstractNumId w:val="3"/>
  </w:num>
  <w:num w:numId="24">
    <w:abstractNumId w:val="11"/>
  </w:num>
  <w:num w:numId="25">
    <w:abstractNumId w:val="17"/>
  </w:num>
  <w:num w:numId="26">
    <w:abstractNumId w:val="19"/>
  </w:num>
  <w:num w:numId="27">
    <w:abstractNumId w:val="0"/>
    <w:lvlOverride w:ilvl="0"/>
    <w:lvlOverride w:ilvl="1"/>
    <w:lvlOverride w:ilvl="2"/>
    <w:lvlOverride w:ilvl="3"/>
    <w:lvlOverride w:ilvl="4"/>
    <w:lvlOverride w:ilvl="5"/>
    <w:lvlOverride w:ilvl="6"/>
    <w:lvlOverride w:ilvl="7"/>
    <w:lvlOverride w:ilv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20953"/>
    <w:rsid w:val="000237BC"/>
    <w:rsid w:val="00024F2F"/>
    <w:rsid w:val="00026807"/>
    <w:rsid w:val="00026AB2"/>
    <w:rsid w:val="000335C7"/>
    <w:rsid w:val="0004137A"/>
    <w:rsid w:val="00043903"/>
    <w:rsid w:val="00044B70"/>
    <w:rsid w:val="00056478"/>
    <w:rsid w:val="00056D33"/>
    <w:rsid w:val="00082243"/>
    <w:rsid w:val="00083553"/>
    <w:rsid w:val="00083C16"/>
    <w:rsid w:val="0009087A"/>
    <w:rsid w:val="000917B5"/>
    <w:rsid w:val="000A54DE"/>
    <w:rsid w:val="000B3336"/>
    <w:rsid w:val="000B572D"/>
    <w:rsid w:val="000C0F7F"/>
    <w:rsid w:val="000D3E2F"/>
    <w:rsid w:val="000D7F58"/>
    <w:rsid w:val="000E2815"/>
    <w:rsid w:val="000E403D"/>
    <w:rsid w:val="000F08D7"/>
    <w:rsid w:val="000F6177"/>
    <w:rsid w:val="0010069B"/>
    <w:rsid w:val="00111B8C"/>
    <w:rsid w:val="00115C9F"/>
    <w:rsid w:val="00117716"/>
    <w:rsid w:val="001203DB"/>
    <w:rsid w:val="00122528"/>
    <w:rsid w:val="0013780A"/>
    <w:rsid w:val="001459DC"/>
    <w:rsid w:val="00160EA8"/>
    <w:rsid w:val="00170244"/>
    <w:rsid w:val="0017257F"/>
    <w:rsid w:val="00173844"/>
    <w:rsid w:val="00177EB6"/>
    <w:rsid w:val="001860BD"/>
    <w:rsid w:val="00186846"/>
    <w:rsid w:val="001A1A00"/>
    <w:rsid w:val="001A645B"/>
    <w:rsid w:val="001B7639"/>
    <w:rsid w:val="001C11EC"/>
    <w:rsid w:val="001C7AB9"/>
    <w:rsid w:val="001D0615"/>
    <w:rsid w:val="001D0FE9"/>
    <w:rsid w:val="001E1167"/>
    <w:rsid w:val="001E128A"/>
    <w:rsid w:val="001F2694"/>
    <w:rsid w:val="001F377D"/>
    <w:rsid w:val="00200626"/>
    <w:rsid w:val="00200DAA"/>
    <w:rsid w:val="0020511E"/>
    <w:rsid w:val="002053EF"/>
    <w:rsid w:val="00207B11"/>
    <w:rsid w:val="00211C62"/>
    <w:rsid w:val="00213010"/>
    <w:rsid w:val="00213807"/>
    <w:rsid w:val="002346DE"/>
    <w:rsid w:val="002378C6"/>
    <w:rsid w:val="0024601A"/>
    <w:rsid w:val="0025681C"/>
    <w:rsid w:val="00272D55"/>
    <w:rsid w:val="002748ED"/>
    <w:rsid w:val="00284C8A"/>
    <w:rsid w:val="00290122"/>
    <w:rsid w:val="00290779"/>
    <w:rsid w:val="00290E16"/>
    <w:rsid w:val="00294239"/>
    <w:rsid w:val="002945D3"/>
    <w:rsid w:val="002A2801"/>
    <w:rsid w:val="002B2037"/>
    <w:rsid w:val="002C34A4"/>
    <w:rsid w:val="002C56D4"/>
    <w:rsid w:val="002C6ECD"/>
    <w:rsid w:val="002D08A5"/>
    <w:rsid w:val="002D44E9"/>
    <w:rsid w:val="002D4DFE"/>
    <w:rsid w:val="002E22FC"/>
    <w:rsid w:val="002F1421"/>
    <w:rsid w:val="003015A6"/>
    <w:rsid w:val="00303E8F"/>
    <w:rsid w:val="0031006B"/>
    <w:rsid w:val="003155D3"/>
    <w:rsid w:val="00331412"/>
    <w:rsid w:val="003345A1"/>
    <w:rsid w:val="003435E1"/>
    <w:rsid w:val="00344410"/>
    <w:rsid w:val="00351946"/>
    <w:rsid w:val="00352E01"/>
    <w:rsid w:val="003614C7"/>
    <w:rsid w:val="00377A03"/>
    <w:rsid w:val="0038227D"/>
    <w:rsid w:val="003871D3"/>
    <w:rsid w:val="00387488"/>
    <w:rsid w:val="00390041"/>
    <w:rsid w:val="00391BCF"/>
    <w:rsid w:val="00392304"/>
    <w:rsid w:val="00394A5F"/>
    <w:rsid w:val="003A5F5F"/>
    <w:rsid w:val="003A6EC9"/>
    <w:rsid w:val="003A7ADB"/>
    <w:rsid w:val="003B1EB8"/>
    <w:rsid w:val="003C05F6"/>
    <w:rsid w:val="003C3E25"/>
    <w:rsid w:val="003C5119"/>
    <w:rsid w:val="003D4297"/>
    <w:rsid w:val="003D455E"/>
    <w:rsid w:val="003E783A"/>
    <w:rsid w:val="003F258A"/>
    <w:rsid w:val="003F5B5E"/>
    <w:rsid w:val="00400EA8"/>
    <w:rsid w:val="004031A5"/>
    <w:rsid w:val="004037F6"/>
    <w:rsid w:val="00407DF4"/>
    <w:rsid w:val="00410D06"/>
    <w:rsid w:val="00425C79"/>
    <w:rsid w:val="00426B68"/>
    <w:rsid w:val="00430423"/>
    <w:rsid w:val="004314B8"/>
    <w:rsid w:val="0046038D"/>
    <w:rsid w:val="004608E3"/>
    <w:rsid w:val="00463995"/>
    <w:rsid w:val="004648C8"/>
    <w:rsid w:val="00466FC3"/>
    <w:rsid w:val="004712FD"/>
    <w:rsid w:val="0048206A"/>
    <w:rsid w:val="004955AA"/>
    <w:rsid w:val="004B29A2"/>
    <w:rsid w:val="004B3E61"/>
    <w:rsid w:val="004B4275"/>
    <w:rsid w:val="004B4805"/>
    <w:rsid w:val="004C152A"/>
    <w:rsid w:val="004C386F"/>
    <w:rsid w:val="004C73CB"/>
    <w:rsid w:val="004C7408"/>
    <w:rsid w:val="004D0E86"/>
    <w:rsid w:val="004D3319"/>
    <w:rsid w:val="004F06BC"/>
    <w:rsid w:val="004F46E3"/>
    <w:rsid w:val="004F4A07"/>
    <w:rsid w:val="004F70F7"/>
    <w:rsid w:val="00502989"/>
    <w:rsid w:val="0050484D"/>
    <w:rsid w:val="0051493D"/>
    <w:rsid w:val="00520F72"/>
    <w:rsid w:val="0052406B"/>
    <w:rsid w:val="005240C2"/>
    <w:rsid w:val="005345F2"/>
    <w:rsid w:val="00536155"/>
    <w:rsid w:val="0054073A"/>
    <w:rsid w:val="00550110"/>
    <w:rsid w:val="00550834"/>
    <w:rsid w:val="00553053"/>
    <w:rsid w:val="0055659E"/>
    <w:rsid w:val="00574F0F"/>
    <w:rsid w:val="0057568B"/>
    <w:rsid w:val="00580967"/>
    <w:rsid w:val="00580E92"/>
    <w:rsid w:val="00582D76"/>
    <w:rsid w:val="00584B97"/>
    <w:rsid w:val="00586716"/>
    <w:rsid w:val="00595A26"/>
    <w:rsid w:val="005961DB"/>
    <w:rsid w:val="005A0009"/>
    <w:rsid w:val="005A58E4"/>
    <w:rsid w:val="005A5D55"/>
    <w:rsid w:val="005B70C0"/>
    <w:rsid w:val="005C3569"/>
    <w:rsid w:val="005C7E6E"/>
    <w:rsid w:val="005E154C"/>
    <w:rsid w:val="005E4295"/>
    <w:rsid w:val="005E47D5"/>
    <w:rsid w:val="005E7B4E"/>
    <w:rsid w:val="005F10CB"/>
    <w:rsid w:val="005F3478"/>
    <w:rsid w:val="0061735F"/>
    <w:rsid w:val="00627D1A"/>
    <w:rsid w:val="00634C93"/>
    <w:rsid w:val="00643AFF"/>
    <w:rsid w:val="006449CC"/>
    <w:rsid w:val="006538B7"/>
    <w:rsid w:val="00656C1F"/>
    <w:rsid w:val="00671378"/>
    <w:rsid w:val="006723A3"/>
    <w:rsid w:val="00677512"/>
    <w:rsid w:val="00677D3E"/>
    <w:rsid w:val="00683538"/>
    <w:rsid w:val="00684388"/>
    <w:rsid w:val="00685E5D"/>
    <w:rsid w:val="00686C2A"/>
    <w:rsid w:val="006905AB"/>
    <w:rsid w:val="006928C8"/>
    <w:rsid w:val="006A070D"/>
    <w:rsid w:val="006A0F30"/>
    <w:rsid w:val="006A1792"/>
    <w:rsid w:val="006A48DC"/>
    <w:rsid w:val="006A7418"/>
    <w:rsid w:val="006A7F7E"/>
    <w:rsid w:val="006D4385"/>
    <w:rsid w:val="006E63E3"/>
    <w:rsid w:val="006E7921"/>
    <w:rsid w:val="006F229B"/>
    <w:rsid w:val="006F2526"/>
    <w:rsid w:val="006F691E"/>
    <w:rsid w:val="0070099D"/>
    <w:rsid w:val="00700EAF"/>
    <w:rsid w:val="00703367"/>
    <w:rsid w:val="00717F0D"/>
    <w:rsid w:val="00733BD3"/>
    <w:rsid w:val="0074483F"/>
    <w:rsid w:val="00761670"/>
    <w:rsid w:val="00761D43"/>
    <w:rsid w:val="00763901"/>
    <w:rsid w:val="007666B5"/>
    <w:rsid w:val="00767AF7"/>
    <w:rsid w:val="00777656"/>
    <w:rsid w:val="00777779"/>
    <w:rsid w:val="00781D09"/>
    <w:rsid w:val="00782517"/>
    <w:rsid w:val="00786B9F"/>
    <w:rsid w:val="00787067"/>
    <w:rsid w:val="00787422"/>
    <w:rsid w:val="007910DC"/>
    <w:rsid w:val="007921C0"/>
    <w:rsid w:val="007932D9"/>
    <w:rsid w:val="00795E8F"/>
    <w:rsid w:val="007A7521"/>
    <w:rsid w:val="007B2F65"/>
    <w:rsid w:val="007B6F46"/>
    <w:rsid w:val="007C4950"/>
    <w:rsid w:val="007C4CE3"/>
    <w:rsid w:val="007C5B2F"/>
    <w:rsid w:val="007C7493"/>
    <w:rsid w:val="007D30D1"/>
    <w:rsid w:val="007D3405"/>
    <w:rsid w:val="007E4006"/>
    <w:rsid w:val="007F3C30"/>
    <w:rsid w:val="007F660E"/>
    <w:rsid w:val="007F6B76"/>
    <w:rsid w:val="008045D7"/>
    <w:rsid w:val="008077B8"/>
    <w:rsid w:val="00813AF6"/>
    <w:rsid w:val="00815B95"/>
    <w:rsid w:val="00820045"/>
    <w:rsid w:val="00823CFC"/>
    <w:rsid w:val="0082651B"/>
    <w:rsid w:val="008301BF"/>
    <w:rsid w:val="008325D7"/>
    <w:rsid w:val="00835DB3"/>
    <w:rsid w:val="008368C8"/>
    <w:rsid w:val="008436D9"/>
    <w:rsid w:val="00846B64"/>
    <w:rsid w:val="00850E48"/>
    <w:rsid w:val="00851918"/>
    <w:rsid w:val="0086177F"/>
    <w:rsid w:val="008635D0"/>
    <w:rsid w:val="008727FB"/>
    <w:rsid w:val="00880E66"/>
    <w:rsid w:val="008835F7"/>
    <w:rsid w:val="008876A5"/>
    <w:rsid w:val="00891643"/>
    <w:rsid w:val="00896564"/>
    <w:rsid w:val="008B53FA"/>
    <w:rsid w:val="008B6FF8"/>
    <w:rsid w:val="008B738B"/>
    <w:rsid w:val="008C28BA"/>
    <w:rsid w:val="008D3D7B"/>
    <w:rsid w:val="008E5474"/>
    <w:rsid w:val="008F2EC5"/>
    <w:rsid w:val="008F462B"/>
    <w:rsid w:val="008F7722"/>
    <w:rsid w:val="008F779C"/>
    <w:rsid w:val="008F7980"/>
    <w:rsid w:val="00910E01"/>
    <w:rsid w:val="00916CAB"/>
    <w:rsid w:val="00922D96"/>
    <w:rsid w:val="009253EC"/>
    <w:rsid w:val="0092693B"/>
    <w:rsid w:val="00927214"/>
    <w:rsid w:val="00936334"/>
    <w:rsid w:val="0094208B"/>
    <w:rsid w:val="009423BB"/>
    <w:rsid w:val="00942BDB"/>
    <w:rsid w:val="00943975"/>
    <w:rsid w:val="00946217"/>
    <w:rsid w:val="00952EB6"/>
    <w:rsid w:val="00956563"/>
    <w:rsid w:val="00957AC1"/>
    <w:rsid w:val="00973531"/>
    <w:rsid w:val="00980F4E"/>
    <w:rsid w:val="00982FBA"/>
    <w:rsid w:val="00985D9F"/>
    <w:rsid w:val="009901C3"/>
    <w:rsid w:val="009A4F16"/>
    <w:rsid w:val="009A7225"/>
    <w:rsid w:val="009A7B35"/>
    <w:rsid w:val="009B2372"/>
    <w:rsid w:val="009B4D63"/>
    <w:rsid w:val="009C1D20"/>
    <w:rsid w:val="009C282F"/>
    <w:rsid w:val="009C3D5D"/>
    <w:rsid w:val="009C3DE5"/>
    <w:rsid w:val="009D3082"/>
    <w:rsid w:val="009D5DFF"/>
    <w:rsid w:val="009D6D05"/>
    <w:rsid w:val="009E13D0"/>
    <w:rsid w:val="009E323B"/>
    <w:rsid w:val="009F4001"/>
    <w:rsid w:val="009F5C2B"/>
    <w:rsid w:val="009F5C48"/>
    <w:rsid w:val="009F6F30"/>
    <w:rsid w:val="00A00C15"/>
    <w:rsid w:val="00A03558"/>
    <w:rsid w:val="00A041F6"/>
    <w:rsid w:val="00A068AE"/>
    <w:rsid w:val="00A26AFB"/>
    <w:rsid w:val="00A4263D"/>
    <w:rsid w:val="00A436A3"/>
    <w:rsid w:val="00A45E05"/>
    <w:rsid w:val="00A61034"/>
    <w:rsid w:val="00A71058"/>
    <w:rsid w:val="00A715E2"/>
    <w:rsid w:val="00A74896"/>
    <w:rsid w:val="00A82851"/>
    <w:rsid w:val="00A872B4"/>
    <w:rsid w:val="00A928A7"/>
    <w:rsid w:val="00A96A67"/>
    <w:rsid w:val="00AB1C9C"/>
    <w:rsid w:val="00AB2997"/>
    <w:rsid w:val="00AC1DED"/>
    <w:rsid w:val="00AC1E22"/>
    <w:rsid w:val="00AD027A"/>
    <w:rsid w:val="00AD5473"/>
    <w:rsid w:val="00AD6A18"/>
    <w:rsid w:val="00AE1A76"/>
    <w:rsid w:val="00AE37E2"/>
    <w:rsid w:val="00AF25DD"/>
    <w:rsid w:val="00AF534F"/>
    <w:rsid w:val="00AF6AF5"/>
    <w:rsid w:val="00AF6DB3"/>
    <w:rsid w:val="00AF7F94"/>
    <w:rsid w:val="00B009F9"/>
    <w:rsid w:val="00B01F1D"/>
    <w:rsid w:val="00B04048"/>
    <w:rsid w:val="00B05D5D"/>
    <w:rsid w:val="00B05D9C"/>
    <w:rsid w:val="00B12069"/>
    <w:rsid w:val="00B21E64"/>
    <w:rsid w:val="00B31709"/>
    <w:rsid w:val="00B3340D"/>
    <w:rsid w:val="00B401AA"/>
    <w:rsid w:val="00B402EF"/>
    <w:rsid w:val="00B4156E"/>
    <w:rsid w:val="00B4289B"/>
    <w:rsid w:val="00B437CA"/>
    <w:rsid w:val="00B46853"/>
    <w:rsid w:val="00B563E2"/>
    <w:rsid w:val="00B62ECA"/>
    <w:rsid w:val="00B6330D"/>
    <w:rsid w:val="00B64677"/>
    <w:rsid w:val="00B64F2F"/>
    <w:rsid w:val="00B66F31"/>
    <w:rsid w:val="00B67F44"/>
    <w:rsid w:val="00B70F12"/>
    <w:rsid w:val="00B71A6C"/>
    <w:rsid w:val="00B81354"/>
    <w:rsid w:val="00B81890"/>
    <w:rsid w:val="00B858B3"/>
    <w:rsid w:val="00B90485"/>
    <w:rsid w:val="00B926B4"/>
    <w:rsid w:val="00B9393F"/>
    <w:rsid w:val="00B97DE5"/>
    <w:rsid w:val="00BA05F4"/>
    <w:rsid w:val="00BA758D"/>
    <w:rsid w:val="00BB0DC3"/>
    <w:rsid w:val="00BB5283"/>
    <w:rsid w:val="00BC42F5"/>
    <w:rsid w:val="00BC46D3"/>
    <w:rsid w:val="00BD33C7"/>
    <w:rsid w:val="00BD5489"/>
    <w:rsid w:val="00BE1ACE"/>
    <w:rsid w:val="00C00453"/>
    <w:rsid w:val="00C00A8C"/>
    <w:rsid w:val="00C0247C"/>
    <w:rsid w:val="00C11821"/>
    <w:rsid w:val="00C11DD1"/>
    <w:rsid w:val="00C15AEE"/>
    <w:rsid w:val="00C22B1D"/>
    <w:rsid w:val="00C30D30"/>
    <w:rsid w:val="00C310AA"/>
    <w:rsid w:val="00C35E55"/>
    <w:rsid w:val="00C413A3"/>
    <w:rsid w:val="00C45098"/>
    <w:rsid w:val="00C52C04"/>
    <w:rsid w:val="00C56535"/>
    <w:rsid w:val="00C57E3D"/>
    <w:rsid w:val="00C6024B"/>
    <w:rsid w:val="00C854C6"/>
    <w:rsid w:val="00C85F8A"/>
    <w:rsid w:val="00C968B3"/>
    <w:rsid w:val="00CB548B"/>
    <w:rsid w:val="00CB6771"/>
    <w:rsid w:val="00CC138A"/>
    <w:rsid w:val="00CC38C6"/>
    <w:rsid w:val="00CC5ECB"/>
    <w:rsid w:val="00CD1705"/>
    <w:rsid w:val="00CD19C5"/>
    <w:rsid w:val="00CD459E"/>
    <w:rsid w:val="00CD5845"/>
    <w:rsid w:val="00CD70A0"/>
    <w:rsid w:val="00CE587F"/>
    <w:rsid w:val="00CF4052"/>
    <w:rsid w:val="00D01A0F"/>
    <w:rsid w:val="00D06B9F"/>
    <w:rsid w:val="00D11E18"/>
    <w:rsid w:val="00D13F43"/>
    <w:rsid w:val="00D257F1"/>
    <w:rsid w:val="00D274BB"/>
    <w:rsid w:val="00D3026A"/>
    <w:rsid w:val="00D33C92"/>
    <w:rsid w:val="00D3706E"/>
    <w:rsid w:val="00D37531"/>
    <w:rsid w:val="00D5257D"/>
    <w:rsid w:val="00D600E7"/>
    <w:rsid w:val="00D606E1"/>
    <w:rsid w:val="00D62A5B"/>
    <w:rsid w:val="00D62FA0"/>
    <w:rsid w:val="00D62FD0"/>
    <w:rsid w:val="00D704ED"/>
    <w:rsid w:val="00D76467"/>
    <w:rsid w:val="00D84682"/>
    <w:rsid w:val="00D91E14"/>
    <w:rsid w:val="00D97870"/>
    <w:rsid w:val="00DA6092"/>
    <w:rsid w:val="00DA7233"/>
    <w:rsid w:val="00DC4F8B"/>
    <w:rsid w:val="00DD17E8"/>
    <w:rsid w:val="00DD584E"/>
    <w:rsid w:val="00DD7CAD"/>
    <w:rsid w:val="00DE0B15"/>
    <w:rsid w:val="00DE329E"/>
    <w:rsid w:val="00E15599"/>
    <w:rsid w:val="00E23AA5"/>
    <w:rsid w:val="00E26007"/>
    <w:rsid w:val="00E3211D"/>
    <w:rsid w:val="00E346E6"/>
    <w:rsid w:val="00E4413B"/>
    <w:rsid w:val="00E4592D"/>
    <w:rsid w:val="00E45EF3"/>
    <w:rsid w:val="00E50C1C"/>
    <w:rsid w:val="00E51628"/>
    <w:rsid w:val="00E61281"/>
    <w:rsid w:val="00E63821"/>
    <w:rsid w:val="00E663C3"/>
    <w:rsid w:val="00E704A2"/>
    <w:rsid w:val="00E7232C"/>
    <w:rsid w:val="00E72722"/>
    <w:rsid w:val="00E7683A"/>
    <w:rsid w:val="00E83E62"/>
    <w:rsid w:val="00E91ED2"/>
    <w:rsid w:val="00E91F4C"/>
    <w:rsid w:val="00E93B43"/>
    <w:rsid w:val="00E93D68"/>
    <w:rsid w:val="00E959DA"/>
    <w:rsid w:val="00EB0A19"/>
    <w:rsid w:val="00EB39A1"/>
    <w:rsid w:val="00EC6D06"/>
    <w:rsid w:val="00ED04A8"/>
    <w:rsid w:val="00ED6C2C"/>
    <w:rsid w:val="00EE2F8B"/>
    <w:rsid w:val="00EE557B"/>
    <w:rsid w:val="00EF0A38"/>
    <w:rsid w:val="00EF2525"/>
    <w:rsid w:val="00EF6817"/>
    <w:rsid w:val="00F0745E"/>
    <w:rsid w:val="00F12ADB"/>
    <w:rsid w:val="00F16FC3"/>
    <w:rsid w:val="00F22BD5"/>
    <w:rsid w:val="00F42538"/>
    <w:rsid w:val="00F44AEF"/>
    <w:rsid w:val="00F45644"/>
    <w:rsid w:val="00F662CB"/>
    <w:rsid w:val="00F809A8"/>
    <w:rsid w:val="00F83832"/>
    <w:rsid w:val="00F85288"/>
    <w:rsid w:val="00F96A83"/>
    <w:rsid w:val="00F96D4B"/>
    <w:rsid w:val="00FA3210"/>
    <w:rsid w:val="00FA5E23"/>
    <w:rsid w:val="00FB2351"/>
    <w:rsid w:val="00FB2497"/>
    <w:rsid w:val="00FB73A7"/>
    <w:rsid w:val="00FB7D89"/>
    <w:rsid w:val="00FC167E"/>
    <w:rsid w:val="00FD1740"/>
    <w:rsid w:val="00FD1AEA"/>
    <w:rsid w:val="00FE0883"/>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50C1C"/>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50C1C"/>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nformat">
    <w:name w:val="ConsNonformat"/>
    <w:rsid w:val="00E50C1C"/>
    <w:pPr>
      <w:widowControl w:val="0"/>
    </w:pPr>
    <w:rPr>
      <w:rFonts w:ascii="Courier New" w:hAnsi="Courier New" w:cs="Courier New"/>
    </w:rPr>
  </w:style>
  <w:style w:type="paragraph" w:customStyle="1" w:styleId="H4">
    <w:name w:val="H4"/>
    <w:basedOn w:val="a"/>
    <w:next w:val="a"/>
    <w:rsid w:val="004F4A07"/>
    <w:pPr>
      <w:keepNext/>
      <w:spacing w:before="100" w:after="100" w:line="240" w:lineRule="auto"/>
      <w:jc w:val="left"/>
      <w:outlineLvl w:val="4"/>
    </w:pPr>
    <w:rPr>
      <w:rFonts w:ascii="Times New Roman" w:hAnsi="Times New Roman"/>
      <w:b/>
      <w:bCs/>
      <w:sz w:val="24"/>
      <w:szCs w:val="24"/>
      <w:lang w:eastAsia="en-US"/>
    </w:rPr>
  </w:style>
  <w:style w:type="character" w:styleId="ac">
    <w:name w:val="annotation reference"/>
    <w:basedOn w:val="a0"/>
    <w:uiPriority w:val="99"/>
    <w:unhideWhenUsed/>
    <w:rsid w:val="004F4A07"/>
    <w:rPr>
      <w:rFonts w:cs="Times New Roman"/>
      <w:sz w:val="16"/>
      <w:szCs w:val="16"/>
    </w:rPr>
  </w:style>
  <w:style w:type="paragraph" w:styleId="ad">
    <w:name w:val="annotation text"/>
    <w:basedOn w:val="a"/>
    <w:link w:val="ae"/>
    <w:uiPriority w:val="99"/>
    <w:unhideWhenUsed/>
    <w:rsid w:val="004F4A07"/>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4F4A07"/>
    <w:rPr>
      <w:rFonts w:cs="Times New Roman"/>
    </w:rPr>
  </w:style>
  <w:style w:type="paragraph" w:styleId="af">
    <w:name w:val="annotation subject"/>
    <w:basedOn w:val="ad"/>
    <w:next w:val="ad"/>
    <w:link w:val="af0"/>
    <w:uiPriority w:val="99"/>
    <w:unhideWhenUsed/>
    <w:rsid w:val="004F4A07"/>
    <w:rPr>
      <w:b/>
      <w:bCs/>
    </w:rPr>
  </w:style>
  <w:style w:type="character" w:customStyle="1" w:styleId="af0">
    <w:name w:val="Тема примечания Знак"/>
    <w:basedOn w:val="ae"/>
    <w:link w:val="af"/>
    <w:uiPriority w:val="99"/>
    <w:locked/>
    <w:rsid w:val="004F4A07"/>
    <w:rPr>
      <w:b/>
      <w:bCs/>
    </w:rPr>
  </w:style>
  <w:style w:type="paragraph" w:styleId="af1">
    <w:name w:val="Revision"/>
    <w:hidden/>
    <w:uiPriority w:val="99"/>
    <w:semiHidden/>
    <w:rsid w:val="004F4A07"/>
    <w:rPr>
      <w:sz w:val="24"/>
      <w:szCs w:val="24"/>
    </w:rPr>
  </w:style>
  <w:style w:type="paragraph" w:customStyle="1" w:styleId="ConsNormal">
    <w:name w:val="ConsNormal"/>
    <w:rsid w:val="00574F0F"/>
    <w:pPr>
      <w:widowControl w:val="0"/>
      <w:ind w:firstLine="720"/>
    </w:pPr>
    <w:rPr>
      <w:rFonts w:ascii="Arial" w:hAnsi="Arial" w:cs="Arial"/>
    </w:rPr>
  </w:style>
  <w:style w:type="paragraph" w:styleId="af2">
    <w:name w:val="Body Text"/>
    <w:basedOn w:val="a"/>
    <w:link w:val="af3"/>
    <w:uiPriority w:val="99"/>
    <w:rsid w:val="00574F0F"/>
    <w:pPr>
      <w:spacing w:line="240" w:lineRule="auto"/>
    </w:pPr>
    <w:rPr>
      <w:rFonts w:ascii="Times New Roman" w:hAnsi="Times New Roman"/>
      <w:sz w:val="22"/>
    </w:rPr>
  </w:style>
  <w:style w:type="character" w:customStyle="1" w:styleId="af3">
    <w:name w:val="Основной текст Знак"/>
    <w:basedOn w:val="a0"/>
    <w:link w:val="af2"/>
    <w:uiPriority w:val="99"/>
    <w:locked/>
    <w:rsid w:val="00574F0F"/>
    <w:rPr>
      <w:rFonts w:cs="Times New Roman"/>
      <w:sz w:val="22"/>
    </w:rPr>
  </w:style>
  <w:style w:type="paragraph" w:styleId="af4">
    <w:name w:val="List Paragraph"/>
    <w:basedOn w:val="a"/>
    <w:uiPriority w:val="34"/>
    <w:qFormat/>
    <w:rsid w:val="007E4006"/>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7851563">
      <w:marLeft w:val="0"/>
      <w:marRight w:val="0"/>
      <w:marTop w:val="0"/>
      <w:marBottom w:val="0"/>
      <w:divBdr>
        <w:top w:val="none" w:sz="0" w:space="0" w:color="auto"/>
        <w:left w:val="none" w:sz="0" w:space="0" w:color="auto"/>
        <w:bottom w:val="none" w:sz="0" w:space="0" w:color="auto"/>
        <w:right w:val="none" w:sz="0" w:space="0" w:color="auto"/>
      </w:divBdr>
    </w:div>
    <w:div w:id="677851564">
      <w:marLeft w:val="0"/>
      <w:marRight w:val="0"/>
      <w:marTop w:val="0"/>
      <w:marBottom w:val="0"/>
      <w:divBdr>
        <w:top w:val="none" w:sz="0" w:space="0" w:color="auto"/>
        <w:left w:val="none" w:sz="0" w:space="0" w:color="auto"/>
        <w:bottom w:val="none" w:sz="0" w:space="0" w:color="auto"/>
        <w:right w:val="none" w:sz="0" w:space="0" w:color="auto"/>
      </w:divBdr>
    </w:div>
    <w:div w:id="677851565">
      <w:marLeft w:val="0"/>
      <w:marRight w:val="0"/>
      <w:marTop w:val="0"/>
      <w:marBottom w:val="0"/>
      <w:divBdr>
        <w:top w:val="none" w:sz="0" w:space="0" w:color="auto"/>
        <w:left w:val="none" w:sz="0" w:space="0" w:color="auto"/>
        <w:bottom w:val="none" w:sz="0" w:space="0" w:color="auto"/>
        <w:right w:val="none" w:sz="0" w:space="0" w:color="auto"/>
      </w:divBdr>
    </w:div>
    <w:div w:id="677851566">
      <w:marLeft w:val="0"/>
      <w:marRight w:val="0"/>
      <w:marTop w:val="0"/>
      <w:marBottom w:val="0"/>
      <w:divBdr>
        <w:top w:val="none" w:sz="0" w:space="0" w:color="auto"/>
        <w:left w:val="none" w:sz="0" w:space="0" w:color="auto"/>
        <w:bottom w:val="none" w:sz="0" w:space="0" w:color="auto"/>
        <w:right w:val="none" w:sz="0" w:space="0" w:color="auto"/>
      </w:divBdr>
    </w:div>
    <w:div w:id="677851567">
      <w:marLeft w:val="0"/>
      <w:marRight w:val="0"/>
      <w:marTop w:val="0"/>
      <w:marBottom w:val="0"/>
      <w:divBdr>
        <w:top w:val="none" w:sz="0" w:space="0" w:color="auto"/>
        <w:left w:val="none" w:sz="0" w:space="0" w:color="auto"/>
        <w:bottom w:val="none" w:sz="0" w:space="0" w:color="auto"/>
        <w:right w:val="none" w:sz="0" w:space="0" w:color="auto"/>
      </w:divBdr>
    </w:div>
    <w:div w:id="67785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9634-69A4-49B7-BFC5-F802B72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8976</Words>
  <Characters>51166</Characters>
  <Application>Microsoft Office Word</Application>
  <DocSecurity>0</DocSecurity>
  <Lines>426</Lines>
  <Paragraphs>120</Paragraphs>
  <ScaleCrop>false</ScaleCrop>
  <Company>UralSib</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2015-04-16T16:05:00Z</cp:lastPrinted>
  <dcterms:created xsi:type="dcterms:W3CDTF">2017-12-19T07:44:00Z</dcterms:created>
  <dcterms:modified xsi:type="dcterms:W3CDTF">2017-12-19T07:44:00Z</dcterms:modified>
</cp:coreProperties>
</file>