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43" w:rsidRPr="00745995" w:rsidRDefault="00082243" w:rsidP="003B1970">
      <w:pPr>
        <w:spacing w:line="240" w:lineRule="auto"/>
        <w:jc w:val="right"/>
        <w:rPr>
          <w:rFonts w:ascii="Times New Roman" w:hAnsi="Times New Roman"/>
          <w:sz w:val="20"/>
        </w:rPr>
      </w:pPr>
      <w:r w:rsidRPr="00745995">
        <w:rPr>
          <w:rFonts w:ascii="Times New Roman" w:hAnsi="Times New Roman"/>
          <w:sz w:val="20"/>
        </w:rPr>
        <w:t xml:space="preserve">Утверждены </w:t>
      </w:r>
    </w:p>
    <w:p w:rsidR="00082243" w:rsidRPr="00745995" w:rsidRDefault="00851918" w:rsidP="003B1970">
      <w:pPr>
        <w:spacing w:line="240" w:lineRule="auto"/>
        <w:jc w:val="right"/>
        <w:rPr>
          <w:rFonts w:ascii="Times New Roman" w:hAnsi="Times New Roman"/>
          <w:sz w:val="20"/>
        </w:rPr>
      </w:pPr>
      <w:r w:rsidRPr="00745995">
        <w:rPr>
          <w:rFonts w:ascii="Times New Roman" w:hAnsi="Times New Roman"/>
          <w:sz w:val="20"/>
        </w:rPr>
        <w:t>п</w:t>
      </w:r>
      <w:r w:rsidR="00082243" w:rsidRPr="00745995">
        <w:rPr>
          <w:rFonts w:ascii="Times New Roman" w:hAnsi="Times New Roman"/>
          <w:sz w:val="20"/>
        </w:rPr>
        <w:t xml:space="preserve">риказом Генерального директора </w:t>
      </w:r>
    </w:p>
    <w:p w:rsidR="00082243" w:rsidRPr="00745995" w:rsidRDefault="00082243" w:rsidP="003B1970">
      <w:pPr>
        <w:spacing w:line="240" w:lineRule="auto"/>
        <w:jc w:val="right"/>
        <w:rPr>
          <w:rFonts w:ascii="Times New Roman" w:hAnsi="Times New Roman"/>
          <w:sz w:val="20"/>
        </w:rPr>
      </w:pPr>
      <w:r w:rsidRPr="00745995">
        <w:rPr>
          <w:rFonts w:ascii="Times New Roman" w:hAnsi="Times New Roman"/>
          <w:sz w:val="20"/>
        </w:rPr>
        <w:t xml:space="preserve">АО «УК </w:t>
      </w:r>
      <w:r w:rsidR="00135A48" w:rsidRPr="00745995">
        <w:rPr>
          <w:rFonts w:ascii="Times New Roman" w:hAnsi="Times New Roman"/>
          <w:sz w:val="20"/>
        </w:rPr>
        <w:t>УРАЛСИБ</w:t>
      </w:r>
      <w:r w:rsidRPr="00745995">
        <w:rPr>
          <w:rFonts w:ascii="Times New Roman" w:hAnsi="Times New Roman"/>
          <w:sz w:val="20"/>
        </w:rPr>
        <w:t>»</w:t>
      </w:r>
    </w:p>
    <w:p w:rsidR="00082243" w:rsidRPr="0067176C" w:rsidRDefault="00845B32" w:rsidP="003B1970">
      <w:pPr>
        <w:spacing w:line="240" w:lineRule="auto"/>
        <w:jc w:val="right"/>
        <w:rPr>
          <w:rFonts w:ascii="Times New Roman" w:hAnsi="Times New Roman"/>
          <w:b/>
          <w:sz w:val="24"/>
          <w:szCs w:val="24"/>
        </w:rPr>
      </w:pPr>
      <w:r>
        <w:rPr>
          <w:rFonts w:ascii="Times New Roman" w:hAnsi="Times New Roman"/>
          <w:sz w:val="20"/>
        </w:rPr>
        <w:t>от 27</w:t>
      </w:r>
      <w:r w:rsidR="00BA3D57">
        <w:rPr>
          <w:rFonts w:ascii="Times New Roman" w:hAnsi="Times New Roman"/>
          <w:sz w:val="20"/>
        </w:rPr>
        <w:t>.1</w:t>
      </w:r>
      <w:r>
        <w:rPr>
          <w:rFonts w:ascii="Times New Roman" w:hAnsi="Times New Roman"/>
          <w:sz w:val="20"/>
        </w:rPr>
        <w:t>1</w:t>
      </w:r>
      <w:r w:rsidR="00BA3D57">
        <w:rPr>
          <w:rFonts w:ascii="Times New Roman" w:hAnsi="Times New Roman"/>
          <w:sz w:val="20"/>
        </w:rPr>
        <w:t>.2017 № 1</w:t>
      </w:r>
      <w:r>
        <w:rPr>
          <w:rFonts w:ascii="Times New Roman" w:hAnsi="Times New Roman"/>
          <w:sz w:val="20"/>
        </w:rPr>
        <w:t>65</w:t>
      </w:r>
      <w:r w:rsidR="00BA3D57">
        <w:rPr>
          <w:rFonts w:ascii="Times New Roman" w:hAnsi="Times New Roman"/>
          <w:sz w:val="20"/>
        </w:rPr>
        <w:t>/ПИФ</w:t>
      </w:r>
    </w:p>
    <w:p w:rsidR="00082243" w:rsidRPr="003B1970" w:rsidRDefault="00082243" w:rsidP="003B1970">
      <w:pPr>
        <w:spacing w:line="240" w:lineRule="auto"/>
        <w:jc w:val="right"/>
        <w:rPr>
          <w:rFonts w:ascii="Times New Roman" w:hAnsi="Times New Roman"/>
          <w:b/>
          <w:sz w:val="24"/>
          <w:szCs w:val="24"/>
        </w:rPr>
      </w:pPr>
    </w:p>
    <w:p w:rsidR="009B3C09" w:rsidRPr="00745995" w:rsidRDefault="00115C9F" w:rsidP="003B1970">
      <w:pPr>
        <w:pStyle w:val="ConsPlusNormal"/>
        <w:ind w:right="-159" w:firstLine="540"/>
        <w:jc w:val="center"/>
        <w:rPr>
          <w:rFonts w:ascii="Times New Roman" w:hAnsi="Times New Roman" w:cs="Times New Roman"/>
          <w:b/>
          <w:sz w:val="22"/>
          <w:szCs w:val="22"/>
        </w:rPr>
      </w:pPr>
      <w:r w:rsidRPr="00745995">
        <w:rPr>
          <w:rFonts w:ascii="Times New Roman" w:hAnsi="Times New Roman" w:cs="Times New Roman"/>
          <w:b/>
          <w:sz w:val="22"/>
          <w:szCs w:val="22"/>
        </w:rPr>
        <w:t>Изменения и дополнения</w:t>
      </w:r>
      <w:r w:rsidR="00A61034" w:rsidRPr="00745995">
        <w:rPr>
          <w:rFonts w:ascii="Times New Roman" w:hAnsi="Times New Roman" w:cs="Times New Roman"/>
          <w:b/>
          <w:sz w:val="22"/>
          <w:szCs w:val="22"/>
        </w:rPr>
        <w:t xml:space="preserve"> </w:t>
      </w:r>
      <w:r w:rsidRPr="00745995">
        <w:rPr>
          <w:rFonts w:ascii="Times New Roman" w:hAnsi="Times New Roman" w:cs="Times New Roman"/>
          <w:b/>
          <w:sz w:val="22"/>
          <w:szCs w:val="22"/>
        </w:rPr>
        <w:t xml:space="preserve">в Правила доверительного управления </w:t>
      </w:r>
    </w:p>
    <w:p w:rsidR="005A48B1" w:rsidRPr="00745995" w:rsidRDefault="00115C9F" w:rsidP="003B1970">
      <w:pPr>
        <w:pStyle w:val="ConsPlusNormal"/>
        <w:ind w:right="-159" w:firstLine="540"/>
        <w:jc w:val="center"/>
        <w:rPr>
          <w:rFonts w:ascii="Times New Roman" w:hAnsi="Times New Roman" w:cs="Times New Roman"/>
          <w:b/>
          <w:sz w:val="22"/>
          <w:szCs w:val="22"/>
        </w:rPr>
      </w:pPr>
      <w:r w:rsidRPr="00745995">
        <w:rPr>
          <w:rFonts w:ascii="Times New Roman" w:hAnsi="Times New Roman" w:cs="Times New Roman"/>
          <w:b/>
          <w:sz w:val="22"/>
          <w:szCs w:val="22"/>
        </w:rPr>
        <w:t xml:space="preserve">Открытым паевым инвестиционным фондом </w:t>
      </w:r>
      <w:r w:rsidR="00DA6F71" w:rsidRPr="00745995">
        <w:rPr>
          <w:rFonts w:ascii="Times New Roman" w:hAnsi="Times New Roman" w:cs="Times New Roman"/>
          <w:b/>
          <w:sz w:val="22"/>
          <w:szCs w:val="22"/>
        </w:rPr>
        <w:t>облигаций</w:t>
      </w:r>
      <w:r w:rsidR="001D0FE9" w:rsidRPr="00745995">
        <w:rPr>
          <w:rFonts w:ascii="Times New Roman" w:hAnsi="Times New Roman" w:cs="Times New Roman"/>
          <w:b/>
          <w:sz w:val="22"/>
          <w:szCs w:val="22"/>
        </w:rPr>
        <w:t xml:space="preserve"> </w:t>
      </w:r>
    </w:p>
    <w:p w:rsidR="00115C9F" w:rsidRPr="00745995" w:rsidRDefault="001D0FE9" w:rsidP="003B1970">
      <w:pPr>
        <w:pStyle w:val="ConsPlusNormal"/>
        <w:ind w:right="-159" w:firstLine="540"/>
        <w:jc w:val="center"/>
        <w:rPr>
          <w:rFonts w:ascii="Times New Roman" w:hAnsi="Times New Roman" w:cs="Times New Roman"/>
          <w:b/>
          <w:sz w:val="22"/>
          <w:szCs w:val="22"/>
        </w:rPr>
      </w:pPr>
      <w:r w:rsidRPr="00745995">
        <w:rPr>
          <w:rFonts w:ascii="Times New Roman" w:hAnsi="Times New Roman" w:cs="Times New Roman"/>
          <w:b/>
          <w:sz w:val="22"/>
          <w:szCs w:val="22"/>
        </w:rPr>
        <w:t xml:space="preserve">«УРАЛСИБ </w:t>
      </w:r>
      <w:r w:rsidR="00DA6F71" w:rsidRPr="00745995">
        <w:rPr>
          <w:rFonts w:ascii="Times New Roman" w:hAnsi="Times New Roman" w:cs="Times New Roman"/>
          <w:b/>
          <w:sz w:val="22"/>
          <w:szCs w:val="22"/>
        </w:rPr>
        <w:t>Консервативный</w:t>
      </w:r>
      <w:r w:rsidRPr="00745995">
        <w:rPr>
          <w:rFonts w:ascii="Times New Roman" w:hAnsi="Times New Roman" w:cs="Times New Roman"/>
          <w:b/>
          <w:sz w:val="22"/>
          <w:szCs w:val="22"/>
        </w:rPr>
        <w:t>»</w:t>
      </w:r>
      <w:r w:rsidR="00A61034" w:rsidRPr="00745995">
        <w:rPr>
          <w:rFonts w:ascii="Times New Roman" w:hAnsi="Times New Roman" w:cs="Times New Roman"/>
          <w:b/>
          <w:sz w:val="22"/>
          <w:szCs w:val="22"/>
        </w:rPr>
        <w:t xml:space="preserve"> № </w:t>
      </w:r>
      <w:r w:rsidR="00193183" w:rsidRPr="00745995">
        <w:rPr>
          <w:rFonts w:ascii="Times New Roman" w:hAnsi="Times New Roman" w:cs="Times New Roman"/>
          <w:b/>
          <w:sz w:val="22"/>
          <w:szCs w:val="22"/>
        </w:rPr>
        <w:t>32</w:t>
      </w:r>
    </w:p>
    <w:p w:rsidR="00115C9F" w:rsidRPr="003B1970" w:rsidRDefault="00115C9F" w:rsidP="003B1970">
      <w:pPr>
        <w:pStyle w:val="ConsPlusNormal"/>
        <w:ind w:right="-159" w:firstLine="0"/>
        <w:jc w:val="center"/>
        <w:rPr>
          <w:rFonts w:ascii="Times New Roman" w:hAnsi="Times New Roman" w:cs="Times New Roman"/>
          <w:b/>
          <w:sz w:val="24"/>
          <w:szCs w:val="24"/>
        </w:rPr>
      </w:pPr>
      <w:r w:rsidRPr="00745995">
        <w:rPr>
          <w:rFonts w:ascii="Times New Roman" w:hAnsi="Times New Roman" w:cs="Times New Roman"/>
          <w:b/>
          <w:sz w:val="22"/>
          <w:szCs w:val="22"/>
        </w:rPr>
        <w:t>(Правила зарегистрированы</w:t>
      </w:r>
      <w:r w:rsidR="00936334" w:rsidRPr="00745995">
        <w:rPr>
          <w:rFonts w:ascii="Times New Roman" w:hAnsi="Times New Roman" w:cs="Times New Roman"/>
          <w:b/>
          <w:sz w:val="22"/>
          <w:szCs w:val="22"/>
        </w:rPr>
        <w:t xml:space="preserve"> </w:t>
      </w:r>
      <w:r w:rsidR="00DA6F71" w:rsidRPr="00745995">
        <w:rPr>
          <w:rFonts w:ascii="Times New Roman" w:hAnsi="Times New Roman" w:cs="Times New Roman"/>
          <w:b/>
          <w:sz w:val="22"/>
          <w:szCs w:val="22"/>
        </w:rPr>
        <w:t>ФКЦБ</w:t>
      </w:r>
      <w:r w:rsidR="00936334" w:rsidRPr="00745995">
        <w:rPr>
          <w:rFonts w:ascii="Times New Roman" w:hAnsi="Times New Roman" w:cs="Times New Roman"/>
          <w:b/>
          <w:sz w:val="22"/>
          <w:szCs w:val="22"/>
        </w:rPr>
        <w:t xml:space="preserve"> России </w:t>
      </w:r>
      <w:r w:rsidR="00DA6F71" w:rsidRPr="00745995">
        <w:rPr>
          <w:rFonts w:ascii="Times New Roman" w:hAnsi="Times New Roman" w:cs="Times New Roman"/>
          <w:b/>
          <w:sz w:val="22"/>
          <w:szCs w:val="22"/>
        </w:rPr>
        <w:t>06</w:t>
      </w:r>
      <w:r w:rsidR="00936334" w:rsidRPr="00745995">
        <w:rPr>
          <w:rFonts w:ascii="Times New Roman" w:hAnsi="Times New Roman" w:cs="Times New Roman"/>
          <w:b/>
          <w:sz w:val="22"/>
          <w:szCs w:val="22"/>
        </w:rPr>
        <w:t xml:space="preserve"> </w:t>
      </w:r>
      <w:r w:rsidR="00DA6F71" w:rsidRPr="00745995">
        <w:rPr>
          <w:rFonts w:ascii="Times New Roman" w:hAnsi="Times New Roman" w:cs="Times New Roman"/>
          <w:b/>
          <w:sz w:val="22"/>
          <w:szCs w:val="22"/>
        </w:rPr>
        <w:t>июня</w:t>
      </w:r>
      <w:r w:rsidR="00936334" w:rsidRPr="00745995">
        <w:rPr>
          <w:rFonts w:ascii="Times New Roman" w:hAnsi="Times New Roman" w:cs="Times New Roman"/>
          <w:b/>
          <w:sz w:val="22"/>
          <w:szCs w:val="22"/>
        </w:rPr>
        <w:t xml:space="preserve"> 20</w:t>
      </w:r>
      <w:r w:rsidR="00582D76" w:rsidRPr="00745995">
        <w:rPr>
          <w:rFonts w:ascii="Times New Roman" w:hAnsi="Times New Roman" w:cs="Times New Roman"/>
          <w:b/>
          <w:sz w:val="22"/>
          <w:szCs w:val="22"/>
        </w:rPr>
        <w:t>0</w:t>
      </w:r>
      <w:r w:rsidR="00DA6F71" w:rsidRPr="00745995">
        <w:rPr>
          <w:rFonts w:ascii="Times New Roman" w:hAnsi="Times New Roman" w:cs="Times New Roman"/>
          <w:b/>
          <w:sz w:val="22"/>
          <w:szCs w:val="22"/>
        </w:rPr>
        <w:t>1</w:t>
      </w:r>
      <w:r w:rsidR="00E51628" w:rsidRPr="00745995">
        <w:rPr>
          <w:rFonts w:ascii="Times New Roman" w:hAnsi="Times New Roman" w:cs="Times New Roman"/>
          <w:b/>
          <w:sz w:val="22"/>
          <w:szCs w:val="22"/>
        </w:rPr>
        <w:t xml:space="preserve"> г. </w:t>
      </w:r>
      <w:r w:rsidR="0010069B" w:rsidRPr="00745995">
        <w:rPr>
          <w:rFonts w:ascii="Times New Roman" w:hAnsi="Times New Roman" w:cs="Times New Roman"/>
          <w:b/>
          <w:sz w:val="22"/>
          <w:szCs w:val="22"/>
        </w:rPr>
        <w:t xml:space="preserve">за </w:t>
      </w:r>
      <w:r w:rsidR="00E51628" w:rsidRPr="00745995">
        <w:rPr>
          <w:rFonts w:ascii="Times New Roman" w:hAnsi="Times New Roman" w:cs="Times New Roman"/>
          <w:b/>
          <w:sz w:val="22"/>
          <w:szCs w:val="22"/>
        </w:rPr>
        <w:t xml:space="preserve">№ </w:t>
      </w:r>
      <w:r w:rsidR="00DA6F71" w:rsidRPr="00745995">
        <w:rPr>
          <w:rFonts w:ascii="Times New Roman" w:hAnsi="Times New Roman" w:cs="Times New Roman"/>
          <w:b/>
          <w:sz w:val="22"/>
          <w:szCs w:val="22"/>
        </w:rPr>
        <w:t>0056</w:t>
      </w:r>
      <w:r w:rsidR="00582D76" w:rsidRPr="00745995">
        <w:rPr>
          <w:rFonts w:ascii="Times New Roman" w:hAnsi="Times New Roman" w:cs="Times New Roman"/>
          <w:b/>
          <w:sz w:val="22"/>
          <w:szCs w:val="22"/>
        </w:rPr>
        <w:t>-</w:t>
      </w:r>
      <w:r w:rsidR="00DA6F71" w:rsidRPr="00745995">
        <w:rPr>
          <w:rFonts w:ascii="Times New Roman" w:hAnsi="Times New Roman" w:cs="Times New Roman"/>
          <w:b/>
          <w:sz w:val="22"/>
          <w:szCs w:val="22"/>
        </w:rPr>
        <w:t>56658088</w:t>
      </w:r>
      <w:r w:rsidRPr="00745995">
        <w:rPr>
          <w:rFonts w:ascii="Times New Roman" w:hAnsi="Times New Roman" w:cs="Times New Roman"/>
          <w:b/>
          <w:sz w:val="22"/>
          <w:szCs w:val="22"/>
        </w:rPr>
        <w:t>)</w:t>
      </w:r>
    </w:p>
    <w:p w:rsidR="0024601A" w:rsidRPr="003B1970" w:rsidRDefault="0024601A" w:rsidP="003B1970">
      <w:pPr>
        <w:pStyle w:val="ConsPlusNormal"/>
        <w:ind w:firstLine="0"/>
        <w:jc w:val="center"/>
        <w:rPr>
          <w:rFonts w:ascii="Times New Roman" w:hAnsi="Times New Roman" w:cs="Times New Roman"/>
          <w:b/>
          <w:sz w:val="24"/>
          <w:szCs w:val="24"/>
        </w:rPr>
      </w:pPr>
    </w:p>
    <w:tbl>
      <w:tblPr>
        <w:tblStyle w:val="a3"/>
        <w:tblW w:w="0" w:type="auto"/>
        <w:tblLook w:val="04A0"/>
      </w:tblPr>
      <w:tblGrid>
        <w:gridCol w:w="4785"/>
        <w:gridCol w:w="4785"/>
      </w:tblGrid>
      <w:tr w:rsidR="005A48B1" w:rsidRPr="00425311" w:rsidTr="001C05A4">
        <w:tc>
          <w:tcPr>
            <w:tcW w:w="4785" w:type="dxa"/>
          </w:tcPr>
          <w:p w:rsidR="005A48B1" w:rsidRPr="00425311" w:rsidRDefault="005A48B1" w:rsidP="00425311">
            <w:pPr>
              <w:widowControl w:val="0"/>
              <w:autoSpaceDE w:val="0"/>
              <w:autoSpaceDN w:val="0"/>
              <w:adjustRightInd w:val="0"/>
              <w:spacing w:line="240" w:lineRule="auto"/>
              <w:jc w:val="center"/>
              <w:rPr>
                <w:rFonts w:ascii="Times New Roman" w:hAnsi="Times New Roman"/>
                <w:b/>
                <w:sz w:val="20"/>
              </w:rPr>
            </w:pPr>
            <w:r w:rsidRPr="00425311">
              <w:rPr>
                <w:rFonts w:ascii="Times New Roman" w:hAnsi="Times New Roman"/>
                <w:b/>
                <w:sz w:val="20"/>
              </w:rPr>
              <w:t>Старая редакция</w:t>
            </w:r>
          </w:p>
        </w:tc>
        <w:tc>
          <w:tcPr>
            <w:tcW w:w="4785" w:type="dxa"/>
          </w:tcPr>
          <w:p w:rsidR="005A48B1" w:rsidRPr="00425311" w:rsidRDefault="005A48B1" w:rsidP="00425311">
            <w:pPr>
              <w:widowControl w:val="0"/>
              <w:autoSpaceDE w:val="0"/>
              <w:autoSpaceDN w:val="0"/>
              <w:adjustRightInd w:val="0"/>
              <w:spacing w:line="240" w:lineRule="auto"/>
              <w:jc w:val="center"/>
              <w:rPr>
                <w:rFonts w:ascii="Times New Roman" w:hAnsi="Times New Roman"/>
                <w:b/>
                <w:sz w:val="20"/>
              </w:rPr>
            </w:pPr>
            <w:r w:rsidRPr="00425311">
              <w:rPr>
                <w:rFonts w:ascii="Times New Roman" w:hAnsi="Times New Roman"/>
                <w:b/>
                <w:sz w:val="20"/>
              </w:rPr>
              <w:t>Новая редакция</w:t>
            </w:r>
          </w:p>
        </w:tc>
      </w:tr>
      <w:tr w:rsidR="007835C9" w:rsidRPr="00425311" w:rsidTr="001C05A4">
        <w:tc>
          <w:tcPr>
            <w:tcW w:w="4785" w:type="dxa"/>
          </w:tcPr>
          <w:p w:rsidR="007835C9"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1. Полное название паевого инвестиционного фонда (далее - фонд): Открытый паевой инвестиционный фонд облигаций «УРАЛСИБ Консервативный».</w:t>
            </w:r>
          </w:p>
        </w:tc>
        <w:tc>
          <w:tcPr>
            <w:tcW w:w="4785" w:type="dxa"/>
          </w:tcPr>
          <w:p w:rsidR="007835C9"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1. Полное название паевого инвестиционного фонда (далее - фонд): Открытый паевой инвестиционный фонд рыночных финансовых инструментов «УРАЛСИБ Консервативный».</w:t>
            </w:r>
          </w:p>
        </w:tc>
      </w:tr>
      <w:tr w:rsidR="00CA42E8" w:rsidRPr="00425311" w:rsidTr="001C05A4">
        <w:tc>
          <w:tcPr>
            <w:tcW w:w="4785" w:type="dxa"/>
          </w:tcPr>
          <w:p w:rsidR="00CA42E8"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2. Краткое название фонда: ОПИФ облигаций «УРАЛСИБ Консервативный».</w:t>
            </w:r>
          </w:p>
        </w:tc>
        <w:tc>
          <w:tcPr>
            <w:tcW w:w="4785" w:type="dxa"/>
          </w:tcPr>
          <w:p w:rsidR="00CA42E8" w:rsidRPr="00425311" w:rsidRDefault="00745995" w:rsidP="00425311">
            <w:pPr>
              <w:widowControl w:val="0"/>
              <w:autoSpaceDE w:val="0"/>
              <w:autoSpaceDN w:val="0"/>
              <w:adjustRightInd w:val="0"/>
              <w:spacing w:line="240" w:lineRule="auto"/>
              <w:ind w:right="-2" w:firstLine="510"/>
              <w:rPr>
                <w:rFonts w:ascii="Times New Roman" w:hAnsi="Times New Roman"/>
                <w:sz w:val="20"/>
              </w:rPr>
            </w:pPr>
            <w:r w:rsidRPr="00425311">
              <w:rPr>
                <w:rFonts w:ascii="Times New Roman" w:hAnsi="Times New Roman"/>
                <w:sz w:val="20"/>
              </w:rPr>
              <w:t>2. Краткое название фонда: ОПИФ рыночных финансовых инструментов «УРАЛСИБ Консервативный».</w:t>
            </w:r>
          </w:p>
        </w:tc>
      </w:tr>
      <w:tr w:rsidR="00CA42E8" w:rsidRPr="00425311" w:rsidTr="001C05A4">
        <w:tc>
          <w:tcPr>
            <w:tcW w:w="4785" w:type="dxa"/>
          </w:tcPr>
          <w:p w:rsidR="00CA42E8"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7. Полное фирменное наименование специализированного депозитария фонда (далее - специализированный депозитарий): Закрытое акционерное общество «Специализированный депозитарный центр».</w:t>
            </w:r>
          </w:p>
        </w:tc>
        <w:tc>
          <w:tcPr>
            <w:tcW w:w="4785" w:type="dxa"/>
          </w:tcPr>
          <w:p w:rsidR="00CA42E8"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7. Полное фирменное наименование специализированного депозитария фонда (далее - специализированный депозитарий): Акционерное общество «Балтийское Финансовое Агентство».</w:t>
            </w:r>
          </w:p>
        </w:tc>
      </w:tr>
      <w:tr w:rsidR="00CA42E8" w:rsidRPr="00425311" w:rsidTr="001C05A4">
        <w:tc>
          <w:tcPr>
            <w:tcW w:w="4785" w:type="dxa"/>
          </w:tcPr>
          <w:p w:rsidR="00CA42E8"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8. Место нахождения специализированного депозитария: 119048, г. Москва, ул. Ефремова, д. 8.</w:t>
            </w:r>
          </w:p>
        </w:tc>
        <w:tc>
          <w:tcPr>
            <w:tcW w:w="4785" w:type="dxa"/>
          </w:tcPr>
          <w:p w:rsidR="00CA42E8" w:rsidRPr="00425311" w:rsidRDefault="00745995" w:rsidP="00425311">
            <w:pPr>
              <w:widowControl w:val="0"/>
              <w:autoSpaceDE w:val="0"/>
              <w:autoSpaceDN w:val="0"/>
              <w:adjustRightInd w:val="0"/>
              <w:spacing w:line="240" w:lineRule="auto"/>
              <w:ind w:right="-2" w:firstLine="510"/>
              <w:rPr>
                <w:rFonts w:ascii="Times New Roman" w:hAnsi="Times New Roman"/>
                <w:sz w:val="20"/>
              </w:rPr>
            </w:pPr>
            <w:r w:rsidRPr="00425311">
              <w:rPr>
                <w:rFonts w:ascii="Times New Roman" w:hAnsi="Times New Roman"/>
                <w:sz w:val="20"/>
              </w:rPr>
              <w:t>8. Место нахождения специализированного депозитария: 197101, Санкт-Петербург, Петроградская набережная, дом 36, лит. А.</w:t>
            </w:r>
          </w:p>
        </w:tc>
      </w:tr>
      <w:tr w:rsidR="00CA42E8" w:rsidRPr="00425311" w:rsidTr="001C05A4">
        <w:tc>
          <w:tcPr>
            <w:tcW w:w="4785" w:type="dxa"/>
          </w:tcPr>
          <w:p w:rsidR="00CA42E8" w:rsidRPr="00425311" w:rsidRDefault="007C74F1" w:rsidP="00425311">
            <w:pPr>
              <w:keepNext/>
              <w:spacing w:line="240" w:lineRule="auto"/>
              <w:ind w:firstLine="567"/>
              <w:outlineLvl w:val="4"/>
              <w:rPr>
                <w:rFonts w:ascii="Times New Roman" w:hAnsi="Times New Roman"/>
                <w:sz w:val="20"/>
              </w:rPr>
            </w:pPr>
            <w:r w:rsidRPr="00425311">
              <w:rPr>
                <w:rFonts w:ascii="Times New Roman" w:hAnsi="Times New Roman"/>
                <w:sz w:val="20"/>
              </w:rPr>
              <w:t>9. Лицензия специализированного депозитария  от 17 июля 2000 года № 22-000-1-00007, предоставленная Федеральной службой по финансовым рынкам.</w:t>
            </w:r>
          </w:p>
        </w:tc>
        <w:tc>
          <w:tcPr>
            <w:tcW w:w="4785" w:type="dxa"/>
          </w:tcPr>
          <w:p w:rsidR="00CA42E8"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9. Лицензия специализированного депозитария  от 11 марта 2009 года № 22-000-0-00086, предоставленная ФСФР России.</w:t>
            </w:r>
          </w:p>
        </w:tc>
      </w:tr>
      <w:tr w:rsidR="00CA42E8" w:rsidRPr="00425311" w:rsidTr="001C05A4">
        <w:tc>
          <w:tcPr>
            <w:tcW w:w="4785" w:type="dxa"/>
          </w:tcPr>
          <w:p w:rsidR="007C74F1" w:rsidRPr="00425311" w:rsidRDefault="007C74F1" w:rsidP="00425311">
            <w:pPr>
              <w:autoSpaceDE w:val="0"/>
              <w:autoSpaceDN w:val="0"/>
              <w:adjustRightInd w:val="0"/>
              <w:spacing w:line="240" w:lineRule="auto"/>
              <w:ind w:firstLine="567"/>
              <w:rPr>
                <w:rFonts w:ascii="Times New Roman" w:hAnsi="Times New Roman"/>
                <w:i/>
                <w:sz w:val="20"/>
              </w:rPr>
            </w:pPr>
            <w:r w:rsidRPr="00425311">
              <w:rPr>
                <w:rFonts w:ascii="Times New Roman" w:hAnsi="Times New Roman"/>
                <w:sz w:val="20"/>
              </w:rPr>
              <w:t>21. Инвестиционная политика управляющей компании: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r w:rsidRPr="00425311">
              <w:rPr>
                <w:rFonts w:ascii="Times New Roman" w:hAnsi="Times New Roman"/>
                <w:i/>
                <w:sz w:val="20"/>
              </w:rPr>
              <w:t>.</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Имущественные права из фьючерсных и опционных договоров (контрактов) могут составлять активы при условии что:</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2) сумма величин открытой длинной позиции по всем фьючерсным и опционным контрактам не превышает:</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сумму денежных средств, включая иностранную валюту, составляющих активы фонда, на банковских счетах;</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 xml:space="preserve">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w:t>
            </w:r>
            <w:r w:rsidRPr="00425311">
              <w:rPr>
                <w:rFonts w:ascii="Times New Roman" w:hAnsi="Times New Roman"/>
                <w:sz w:val="20"/>
              </w:rPr>
              <w:lastRenderedPageBreak/>
              <w:t>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и 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CA42E8"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4785" w:type="dxa"/>
          </w:tcPr>
          <w:p w:rsidR="00745995" w:rsidRPr="00425311" w:rsidRDefault="00745995" w:rsidP="00425311">
            <w:pPr>
              <w:autoSpaceDE w:val="0"/>
              <w:autoSpaceDN w:val="0"/>
              <w:adjustRightInd w:val="0"/>
              <w:spacing w:line="240" w:lineRule="auto"/>
              <w:ind w:firstLine="510"/>
              <w:rPr>
                <w:rFonts w:ascii="Times New Roman" w:hAnsi="Times New Roman"/>
                <w:i/>
                <w:sz w:val="20"/>
              </w:rPr>
            </w:pPr>
            <w:r w:rsidRPr="00425311">
              <w:rPr>
                <w:rFonts w:ascii="Times New Roman" w:hAnsi="Times New Roman"/>
                <w:sz w:val="20"/>
              </w:rPr>
              <w:lastRenderedPageBreak/>
              <w:t>21. Инвестиционная политика управляющей компании: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r w:rsidRPr="00425311">
              <w:rPr>
                <w:rFonts w:ascii="Times New Roman" w:hAnsi="Times New Roman"/>
                <w:i/>
                <w:sz w:val="20"/>
              </w:rPr>
              <w:t>.</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Имущественные права из фьючерсных и опционных договоров (контрактов) могут составлять активы при условии что:</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2) сумма величин открытой длинной позиции по всем фьючерсным и опционным контрактам не превышает:</w:t>
            </w:r>
          </w:p>
          <w:p w:rsidR="00745995" w:rsidRPr="00425311" w:rsidRDefault="00745995" w:rsidP="00425311">
            <w:pPr>
              <w:pStyle w:val="af2"/>
              <w:numPr>
                <w:ilvl w:val="0"/>
                <w:numId w:val="27"/>
              </w:numPr>
              <w:autoSpaceDE w:val="0"/>
              <w:autoSpaceDN w:val="0"/>
              <w:adjustRightInd w:val="0"/>
              <w:spacing w:after="0" w:line="240" w:lineRule="auto"/>
              <w:ind w:left="0" w:firstLine="510"/>
              <w:jc w:val="both"/>
              <w:rPr>
                <w:rFonts w:ascii="Times New Roman" w:hAnsi="Times New Roman"/>
                <w:sz w:val="20"/>
                <w:szCs w:val="20"/>
              </w:rPr>
            </w:pPr>
            <w:r w:rsidRPr="00425311">
              <w:rPr>
                <w:rFonts w:ascii="Times New Roman" w:hAnsi="Times New Roman"/>
                <w:sz w:val="20"/>
                <w:szCs w:val="20"/>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745995" w:rsidRPr="00425311" w:rsidRDefault="00745995" w:rsidP="00425311">
            <w:pPr>
              <w:pStyle w:val="af2"/>
              <w:numPr>
                <w:ilvl w:val="0"/>
                <w:numId w:val="27"/>
              </w:numPr>
              <w:autoSpaceDE w:val="0"/>
              <w:autoSpaceDN w:val="0"/>
              <w:adjustRightInd w:val="0"/>
              <w:spacing w:after="0" w:line="240" w:lineRule="auto"/>
              <w:ind w:left="0" w:firstLine="510"/>
              <w:jc w:val="both"/>
              <w:rPr>
                <w:rFonts w:ascii="Times New Roman" w:hAnsi="Times New Roman"/>
                <w:sz w:val="20"/>
                <w:szCs w:val="20"/>
              </w:rPr>
            </w:pPr>
            <w:r w:rsidRPr="00425311">
              <w:rPr>
                <w:rFonts w:ascii="Times New Roman" w:hAnsi="Times New Roman"/>
                <w:sz w:val="20"/>
                <w:szCs w:val="20"/>
              </w:rPr>
              <w:t>сумму денежных средств, включая иностранную валюту, составляющих активы фонда, на банковских счетах; и</w:t>
            </w:r>
          </w:p>
          <w:p w:rsidR="00745995" w:rsidRPr="00425311" w:rsidRDefault="00745995" w:rsidP="00425311">
            <w:pPr>
              <w:pStyle w:val="af2"/>
              <w:numPr>
                <w:ilvl w:val="0"/>
                <w:numId w:val="27"/>
              </w:numPr>
              <w:autoSpaceDE w:val="0"/>
              <w:autoSpaceDN w:val="0"/>
              <w:adjustRightInd w:val="0"/>
              <w:spacing w:after="0" w:line="240" w:lineRule="auto"/>
              <w:ind w:left="0" w:firstLine="510"/>
              <w:jc w:val="both"/>
              <w:rPr>
                <w:rFonts w:ascii="Times New Roman" w:hAnsi="Times New Roman"/>
                <w:sz w:val="20"/>
                <w:szCs w:val="20"/>
              </w:rPr>
            </w:pPr>
            <w:r w:rsidRPr="00425311">
              <w:rPr>
                <w:rFonts w:ascii="Times New Roman" w:hAnsi="Times New Roman"/>
                <w:sz w:val="20"/>
                <w:szCs w:val="20"/>
              </w:rPr>
              <w:t xml:space="preserve">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w:t>
            </w:r>
            <w:r w:rsidRPr="00425311">
              <w:rPr>
                <w:rFonts w:ascii="Times New Roman" w:hAnsi="Times New Roman"/>
                <w:sz w:val="20"/>
                <w:szCs w:val="20"/>
              </w:rPr>
              <w:lastRenderedPageBreak/>
              <w:t>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745995" w:rsidRPr="00425311" w:rsidRDefault="00745995" w:rsidP="00425311">
            <w:pPr>
              <w:pStyle w:val="af2"/>
              <w:numPr>
                <w:ilvl w:val="0"/>
                <w:numId w:val="27"/>
              </w:numPr>
              <w:autoSpaceDE w:val="0"/>
              <w:autoSpaceDN w:val="0"/>
              <w:adjustRightInd w:val="0"/>
              <w:spacing w:after="0" w:line="240" w:lineRule="auto"/>
              <w:ind w:left="0" w:firstLine="510"/>
              <w:jc w:val="both"/>
              <w:rPr>
                <w:rFonts w:ascii="Times New Roman" w:hAnsi="Times New Roman"/>
                <w:sz w:val="20"/>
                <w:szCs w:val="20"/>
              </w:rPr>
            </w:pPr>
            <w:r w:rsidRPr="00425311">
              <w:rPr>
                <w:rFonts w:ascii="Times New Roman" w:hAnsi="Times New Roman"/>
                <w:sz w:val="20"/>
                <w:szCs w:val="20"/>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745995" w:rsidRPr="00425311" w:rsidRDefault="00745995" w:rsidP="00425311">
            <w:pPr>
              <w:pStyle w:val="af2"/>
              <w:numPr>
                <w:ilvl w:val="0"/>
                <w:numId w:val="27"/>
              </w:numPr>
              <w:autoSpaceDE w:val="0"/>
              <w:autoSpaceDN w:val="0"/>
              <w:adjustRightInd w:val="0"/>
              <w:spacing w:after="0" w:line="240" w:lineRule="auto"/>
              <w:ind w:left="0" w:firstLine="510"/>
              <w:jc w:val="both"/>
              <w:rPr>
                <w:rFonts w:ascii="Times New Roman" w:hAnsi="Times New Roman"/>
                <w:sz w:val="20"/>
                <w:szCs w:val="20"/>
              </w:rPr>
            </w:pPr>
            <w:r w:rsidRPr="00425311">
              <w:rPr>
                <w:rFonts w:ascii="Times New Roman" w:hAnsi="Times New Roman"/>
                <w:sz w:val="20"/>
                <w:szCs w:val="20"/>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CA42E8"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r>
      <w:tr w:rsidR="00745995" w:rsidRPr="00425311" w:rsidTr="001C05A4">
        <w:tc>
          <w:tcPr>
            <w:tcW w:w="4785" w:type="dxa"/>
          </w:tcPr>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lastRenderedPageBreak/>
              <w:t>22. Объекты инвестирования, их состав и описание.</w:t>
            </w:r>
          </w:p>
          <w:p w:rsidR="007C74F1" w:rsidRPr="00425311" w:rsidRDefault="007C74F1" w:rsidP="00425311">
            <w:pPr>
              <w:spacing w:line="240" w:lineRule="auto"/>
              <w:ind w:firstLine="567"/>
              <w:rPr>
                <w:rFonts w:ascii="Times New Roman" w:hAnsi="Times New Roman"/>
                <w:sz w:val="20"/>
              </w:rPr>
            </w:pPr>
            <w:r w:rsidRPr="00425311">
              <w:rPr>
                <w:rFonts w:ascii="Times New Roman" w:hAnsi="Times New Roman"/>
                <w:sz w:val="20"/>
              </w:rPr>
              <w:t>Имущество, составляющее фонд, может быть инвестировано в:</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1) денежные средства, в том числе иностранная валюта, на счетах и во вкладах в кредитных организациях;</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2) долговые инструменты;</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При этом в целях настоящих Правил под долговыми инструментами понимаются:</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б) биржевые облигации российских хозяйственных обществ;</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д) российские и иностранные депозитарные расписки на ценные бумаги, предусмотренные подпунктами а) – г) настоящего пункта.</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 xml:space="preserve">3) полностью оплаченные акции российских </w:t>
            </w:r>
            <w:r w:rsidRPr="00425311">
              <w:rPr>
                <w:rFonts w:ascii="Times New Roman" w:hAnsi="Times New Roman"/>
                <w:sz w:val="20"/>
              </w:rPr>
              <w:lastRenderedPageBreak/>
              <w:t>открытых акционерных обществ, за исключением акций акционерных инвестиционных фондов (далее - акции российских открытых акционерных обществ);</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4) полностью оплаченные акции иностранных акционерных обществ;</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5) инвестиционные паи открытых, интервальных и закрытых паевых инвестиционных фондов и акции акционерных инвестиционных фондов, относящихся к категории фондов облигаций или фондов денежного рынка;</w:t>
            </w:r>
          </w:p>
          <w:p w:rsidR="007C74F1" w:rsidRPr="00425311" w:rsidRDefault="007C74F1" w:rsidP="00425311">
            <w:pPr>
              <w:autoSpaceDE w:val="0"/>
              <w:autoSpaceDN w:val="0"/>
              <w:adjustRightInd w:val="0"/>
              <w:spacing w:line="240" w:lineRule="auto"/>
              <w:ind w:firstLine="567"/>
              <w:outlineLvl w:val="1"/>
              <w:rPr>
                <w:rFonts w:ascii="Times New Roman" w:hAnsi="Times New Roman"/>
                <w:sz w:val="20"/>
              </w:rPr>
            </w:pPr>
            <w:r w:rsidRPr="00425311">
              <w:rPr>
                <w:rFonts w:ascii="Times New Roman" w:hAnsi="Times New Roman"/>
                <w:sz w:val="20"/>
              </w:rPr>
              <w:t>6) 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22.2 настоящих правил, - значение «C», пятая буква - значение «S».</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7) имущественные права из фьючерсных и опционных договоров (контрактов), базовым активом которых является имущество (индекс), предусмотренное пунктом 22.5 настоящих Правил.</w:t>
            </w:r>
          </w:p>
          <w:p w:rsidR="007C74F1" w:rsidRPr="00425311" w:rsidRDefault="007C74F1" w:rsidP="00425311">
            <w:pPr>
              <w:pStyle w:val="a4"/>
              <w:spacing w:before="0" w:after="0"/>
              <w:ind w:firstLine="567"/>
              <w:jc w:val="both"/>
              <w:rPr>
                <w:rFonts w:ascii="Times New Roman" w:hAnsi="Times New Roman" w:cs="Times New Roman"/>
                <w:sz w:val="20"/>
                <w:szCs w:val="20"/>
              </w:rPr>
            </w:pPr>
            <w:r w:rsidRPr="00425311">
              <w:rPr>
                <w:rFonts w:ascii="Times New Roman" w:hAnsi="Times New Roman" w:cs="Times New Roman"/>
                <w:sz w:val="20"/>
                <w:szCs w:val="20"/>
              </w:rPr>
              <w:t>22.1. В активы фонда могут приобретаться обыкновенные и привилегированные акции.</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7C74F1" w:rsidRPr="00425311" w:rsidRDefault="007C74F1" w:rsidP="00425311">
            <w:pPr>
              <w:spacing w:line="240" w:lineRule="auto"/>
              <w:ind w:firstLine="567"/>
              <w:rPr>
                <w:rFonts w:ascii="Times New Roman" w:hAnsi="Times New Roman"/>
                <w:sz w:val="20"/>
              </w:rPr>
            </w:pPr>
            <w:r w:rsidRPr="00425311">
              <w:rPr>
                <w:rFonts w:ascii="Times New Roman" w:hAnsi="Times New Roman"/>
                <w:sz w:val="20"/>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Имущество, составляющее фонд, может быть инвестировано в облигации, эмитентами которых могут быть:</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 российские органы государственной власти;</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 xml:space="preserve">- иностранные органы государственной власти; </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 xml:space="preserve">- органы местного самоуправления; </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 xml:space="preserve">- международные финансовые организации; </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 российские юридические лица;</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 иностранные юридические лица.</w:t>
            </w:r>
          </w:p>
          <w:p w:rsidR="007C74F1" w:rsidRPr="00425311" w:rsidRDefault="007C74F1" w:rsidP="00425311">
            <w:pPr>
              <w:pStyle w:val="a4"/>
              <w:spacing w:before="0" w:after="0"/>
              <w:ind w:firstLine="567"/>
              <w:jc w:val="both"/>
              <w:rPr>
                <w:rFonts w:ascii="Times New Roman" w:hAnsi="Times New Roman" w:cs="Times New Roman"/>
                <w:sz w:val="20"/>
                <w:szCs w:val="20"/>
              </w:rPr>
            </w:pPr>
            <w:r w:rsidRPr="00425311">
              <w:rPr>
                <w:rFonts w:ascii="Times New Roman" w:hAnsi="Times New Roman" w:cs="Times New Roman"/>
                <w:sz w:val="20"/>
                <w:szCs w:val="20"/>
              </w:rPr>
              <w:t>Лица, обязанные по:</w:t>
            </w:r>
          </w:p>
          <w:p w:rsidR="007C74F1" w:rsidRPr="00425311" w:rsidRDefault="007C74F1" w:rsidP="00425311">
            <w:pPr>
              <w:pStyle w:val="a4"/>
              <w:spacing w:before="0" w:after="0"/>
              <w:ind w:firstLine="567"/>
              <w:jc w:val="both"/>
              <w:rPr>
                <w:rFonts w:ascii="Times New Roman" w:hAnsi="Times New Roman" w:cs="Times New Roman"/>
                <w:sz w:val="20"/>
                <w:szCs w:val="20"/>
              </w:rPr>
            </w:pPr>
            <w:r w:rsidRPr="00425311">
              <w:rPr>
                <w:rFonts w:ascii="Times New Roman" w:hAnsi="Times New Roman" w:cs="Times New Roman"/>
                <w:sz w:val="20"/>
                <w:szCs w:val="20"/>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акциям российских открытых акционерных обществ, </w:t>
            </w:r>
            <w:r w:rsidRPr="00425311">
              <w:rPr>
                <w:rFonts w:ascii="Times New Roman" w:hAnsi="Times New Roman" w:cs="Times New Roman"/>
                <w:sz w:val="20"/>
                <w:szCs w:val="20"/>
              </w:rPr>
              <w:lastRenderedPageBreak/>
              <w:t>облигациям российских хозяйственных обществ, российским депозитарным распискам должны быть зарегистрированы в Российской Федерации;</w:t>
            </w:r>
          </w:p>
          <w:p w:rsidR="007C74F1" w:rsidRPr="00425311" w:rsidRDefault="007C74F1" w:rsidP="00425311">
            <w:pPr>
              <w:spacing w:line="240" w:lineRule="auto"/>
              <w:ind w:firstLine="567"/>
              <w:rPr>
                <w:rFonts w:ascii="Times New Roman" w:hAnsi="Times New Roman"/>
                <w:sz w:val="20"/>
              </w:rPr>
            </w:pPr>
            <w:r w:rsidRPr="00425311">
              <w:rPr>
                <w:rFonts w:ascii="Times New Roman" w:hAnsi="Times New Roman"/>
                <w:sz w:val="20"/>
              </w:rPr>
              <w:t>- облигациям иностранных эмитентов, акциям иностранных акционерных обществ, облигациям международных финансовых организаций, иностранным депозитарным распискам, паям (акциям) иностранных инвестиционных фондов должны быть зарегистрированы в Соединенных Штатах Америки, Европейском Союзе, Организации экономического сотрудничества и развития и Содружестве Независимых Государств, а также в Британских Виргинских Островах, Республике Сейшельские Острова, Бермудских островах, Каймановых островах, острове Джерси, острове Мэн, Малайзии, Китайской Народной Республике, Федеративной Республике Бразилия, Аргентинской Республике, Южно - Африканской Республике, Республике Сингапур.</w:t>
            </w:r>
          </w:p>
          <w:p w:rsidR="007C74F1" w:rsidRPr="00425311" w:rsidRDefault="007C74F1" w:rsidP="00425311">
            <w:pPr>
              <w:spacing w:line="240" w:lineRule="auto"/>
              <w:ind w:firstLine="567"/>
              <w:rPr>
                <w:rFonts w:ascii="Times New Roman" w:hAnsi="Times New Roman"/>
                <w:sz w:val="20"/>
              </w:rPr>
            </w:pPr>
            <w:r w:rsidRPr="00425311">
              <w:rPr>
                <w:rFonts w:ascii="Times New Roman" w:hAnsi="Times New Roman"/>
                <w:sz w:val="20"/>
              </w:rPr>
              <w:t>22.2. 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и паи (акции) иностранных инвестиционных фондов, если указанные ценные бумаги прошли процедуру листинга на одной из следующих фондовых бирж:</w:t>
            </w:r>
          </w:p>
          <w:p w:rsidR="007C74F1" w:rsidRPr="00425311" w:rsidRDefault="007C74F1" w:rsidP="00425311">
            <w:pPr>
              <w:spacing w:line="240" w:lineRule="auto"/>
              <w:rPr>
                <w:rFonts w:ascii="Times New Roman" w:hAnsi="Times New Roman"/>
                <w:sz w:val="20"/>
              </w:rPr>
            </w:pPr>
            <w:r w:rsidRPr="00425311">
              <w:rPr>
                <w:rFonts w:ascii="Times New Roman" w:hAnsi="Times New Roman"/>
                <w:sz w:val="20"/>
              </w:rPr>
              <w:t>1) Американская Фондовая биржа (American Stock Exchange);</w:t>
            </w:r>
          </w:p>
          <w:p w:rsidR="007C74F1" w:rsidRPr="00425311" w:rsidRDefault="007C74F1" w:rsidP="00425311">
            <w:pPr>
              <w:spacing w:line="240" w:lineRule="auto"/>
              <w:rPr>
                <w:rFonts w:ascii="Times New Roman" w:hAnsi="Times New Roman"/>
                <w:sz w:val="20"/>
              </w:rPr>
            </w:pPr>
            <w:r w:rsidRPr="00425311">
              <w:rPr>
                <w:rFonts w:ascii="Times New Roman" w:hAnsi="Times New Roman"/>
                <w:sz w:val="20"/>
              </w:rPr>
              <w:t>2) Гонконгская Фондовая биржа (Hong Kong Stock Exchange);</w:t>
            </w:r>
          </w:p>
          <w:p w:rsidR="007C74F1" w:rsidRPr="00425311" w:rsidRDefault="007C74F1" w:rsidP="00425311">
            <w:pPr>
              <w:spacing w:line="240" w:lineRule="auto"/>
              <w:rPr>
                <w:rFonts w:ascii="Times New Roman" w:hAnsi="Times New Roman"/>
                <w:sz w:val="20"/>
                <w:lang w:val="en-US"/>
              </w:rPr>
            </w:pPr>
            <w:r w:rsidRPr="00425311">
              <w:rPr>
                <w:rFonts w:ascii="Times New Roman" w:hAnsi="Times New Roman"/>
                <w:sz w:val="20"/>
                <w:lang w:val="en-US"/>
              </w:rPr>
              <w:t xml:space="preserve">3) </w:t>
            </w:r>
            <w:r w:rsidRPr="00425311">
              <w:rPr>
                <w:rFonts w:ascii="Times New Roman" w:hAnsi="Times New Roman"/>
                <w:sz w:val="20"/>
              </w:rPr>
              <w:t>Евронекст</w:t>
            </w:r>
            <w:r w:rsidRPr="00425311">
              <w:rPr>
                <w:rFonts w:ascii="Times New Roman" w:hAnsi="Times New Roman"/>
                <w:sz w:val="20"/>
                <w:lang w:val="en-US"/>
              </w:rPr>
              <w:t xml:space="preserve"> (Euronext Amsterdam, Euronext Brussels, Euronext Lisbon, Euronext Paris);</w:t>
            </w:r>
          </w:p>
          <w:p w:rsidR="007C74F1" w:rsidRPr="00425311" w:rsidRDefault="007C74F1" w:rsidP="00425311">
            <w:pPr>
              <w:spacing w:line="240" w:lineRule="auto"/>
              <w:rPr>
                <w:rFonts w:ascii="Times New Roman" w:hAnsi="Times New Roman"/>
                <w:sz w:val="20"/>
              </w:rPr>
            </w:pPr>
            <w:r w:rsidRPr="00425311">
              <w:rPr>
                <w:rFonts w:ascii="Times New Roman" w:hAnsi="Times New Roman"/>
                <w:sz w:val="20"/>
              </w:rPr>
              <w:t>4) Закрытое акционерное общество «Фондовая биржа ММВБ»;</w:t>
            </w:r>
          </w:p>
          <w:p w:rsidR="007C74F1" w:rsidRPr="00425311" w:rsidRDefault="007C74F1" w:rsidP="00425311">
            <w:pPr>
              <w:spacing w:line="240" w:lineRule="auto"/>
              <w:rPr>
                <w:rFonts w:ascii="Times New Roman" w:hAnsi="Times New Roman"/>
                <w:sz w:val="20"/>
              </w:rPr>
            </w:pPr>
            <w:r w:rsidRPr="00425311">
              <w:rPr>
                <w:rFonts w:ascii="Times New Roman" w:hAnsi="Times New Roman"/>
                <w:sz w:val="20"/>
              </w:rPr>
              <w:t>5) Ирландская Фондовая биржа (Irish Stock Exchange);</w:t>
            </w:r>
          </w:p>
          <w:p w:rsidR="007C74F1" w:rsidRPr="00425311" w:rsidRDefault="007C74F1" w:rsidP="00425311">
            <w:pPr>
              <w:spacing w:line="240" w:lineRule="auto"/>
              <w:rPr>
                <w:rFonts w:ascii="Times New Roman" w:hAnsi="Times New Roman"/>
                <w:sz w:val="20"/>
              </w:rPr>
            </w:pPr>
            <w:r w:rsidRPr="00425311">
              <w:rPr>
                <w:rFonts w:ascii="Times New Roman" w:hAnsi="Times New Roman"/>
                <w:sz w:val="20"/>
              </w:rPr>
              <w:t>6) Испанская Фондовая биржа (BME Spanish Exchanges);</w:t>
            </w:r>
          </w:p>
          <w:p w:rsidR="007C74F1" w:rsidRPr="00425311" w:rsidRDefault="007C74F1" w:rsidP="00425311">
            <w:pPr>
              <w:spacing w:line="240" w:lineRule="auto"/>
              <w:rPr>
                <w:rFonts w:ascii="Times New Roman" w:hAnsi="Times New Roman"/>
                <w:sz w:val="20"/>
              </w:rPr>
            </w:pPr>
            <w:r w:rsidRPr="00425311">
              <w:rPr>
                <w:rFonts w:ascii="Times New Roman" w:hAnsi="Times New Roman"/>
                <w:sz w:val="20"/>
              </w:rPr>
              <w:t>7) Итальянская Фондовая биржа (Borsa Italiana);</w:t>
            </w:r>
          </w:p>
          <w:p w:rsidR="007C74F1" w:rsidRPr="00425311" w:rsidRDefault="007C74F1" w:rsidP="00425311">
            <w:pPr>
              <w:spacing w:line="240" w:lineRule="auto"/>
              <w:rPr>
                <w:rFonts w:ascii="Times New Roman" w:hAnsi="Times New Roman"/>
                <w:sz w:val="20"/>
              </w:rPr>
            </w:pPr>
            <w:r w:rsidRPr="00425311">
              <w:rPr>
                <w:rFonts w:ascii="Times New Roman" w:hAnsi="Times New Roman"/>
                <w:sz w:val="20"/>
              </w:rPr>
              <w:t>8) Корейская биржа (Korea Exchange);</w:t>
            </w:r>
          </w:p>
          <w:p w:rsidR="007C74F1" w:rsidRPr="00425311" w:rsidRDefault="007C74F1" w:rsidP="00425311">
            <w:pPr>
              <w:spacing w:line="240" w:lineRule="auto"/>
              <w:rPr>
                <w:rFonts w:ascii="Times New Roman" w:hAnsi="Times New Roman"/>
                <w:sz w:val="20"/>
              </w:rPr>
            </w:pPr>
            <w:r w:rsidRPr="00425311">
              <w:rPr>
                <w:rFonts w:ascii="Times New Roman" w:hAnsi="Times New Roman"/>
                <w:sz w:val="20"/>
              </w:rPr>
              <w:t>9) Лондонская Фондовая биржа (London Stock Exchange);</w:t>
            </w:r>
          </w:p>
          <w:p w:rsidR="007C74F1" w:rsidRPr="00425311" w:rsidRDefault="007C74F1" w:rsidP="00425311">
            <w:pPr>
              <w:spacing w:line="240" w:lineRule="auto"/>
              <w:rPr>
                <w:rFonts w:ascii="Times New Roman" w:hAnsi="Times New Roman"/>
                <w:sz w:val="20"/>
              </w:rPr>
            </w:pPr>
            <w:r w:rsidRPr="00425311">
              <w:rPr>
                <w:rFonts w:ascii="Times New Roman" w:hAnsi="Times New Roman"/>
                <w:sz w:val="20"/>
              </w:rPr>
              <w:t>10) Люксембургская Фондовая биржа (Luxembourg Stock Exchange);</w:t>
            </w:r>
          </w:p>
          <w:p w:rsidR="007C74F1" w:rsidRPr="00425311" w:rsidRDefault="007C74F1" w:rsidP="00425311">
            <w:pPr>
              <w:spacing w:line="240" w:lineRule="auto"/>
              <w:rPr>
                <w:rFonts w:ascii="Times New Roman" w:hAnsi="Times New Roman"/>
                <w:sz w:val="20"/>
              </w:rPr>
            </w:pPr>
            <w:r w:rsidRPr="00425311">
              <w:rPr>
                <w:rFonts w:ascii="Times New Roman" w:hAnsi="Times New Roman"/>
                <w:sz w:val="20"/>
              </w:rPr>
              <w:t>11) Насдак (Nasdaq);</w:t>
            </w:r>
          </w:p>
          <w:p w:rsidR="007C74F1" w:rsidRPr="00425311" w:rsidRDefault="007C74F1" w:rsidP="00425311">
            <w:pPr>
              <w:spacing w:line="240" w:lineRule="auto"/>
              <w:rPr>
                <w:rFonts w:ascii="Times New Roman" w:hAnsi="Times New Roman"/>
                <w:sz w:val="20"/>
              </w:rPr>
            </w:pPr>
            <w:r w:rsidRPr="00425311">
              <w:rPr>
                <w:rFonts w:ascii="Times New Roman" w:hAnsi="Times New Roman"/>
                <w:sz w:val="20"/>
              </w:rPr>
              <w:t>12) Немецкая Фондовая биржа (Deutsche Borse);</w:t>
            </w:r>
          </w:p>
          <w:p w:rsidR="007C74F1" w:rsidRPr="00425311" w:rsidRDefault="007C74F1" w:rsidP="00425311">
            <w:pPr>
              <w:spacing w:line="240" w:lineRule="auto"/>
              <w:rPr>
                <w:rFonts w:ascii="Times New Roman" w:hAnsi="Times New Roman"/>
                <w:sz w:val="20"/>
                <w:lang w:val="en-US"/>
              </w:rPr>
            </w:pPr>
            <w:r w:rsidRPr="00425311">
              <w:rPr>
                <w:rFonts w:ascii="Times New Roman" w:hAnsi="Times New Roman"/>
                <w:sz w:val="20"/>
                <w:lang w:val="en-US"/>
              </w:rPr>
              <w:t xml:space="preserve">13) </w:t>
            </w:r>
            <w:r w:rsidRPr="00425311">
              <w:rPr>
                <w:rFonts w:ascii="Times New Roman" w:hAnsi="Times New Roman"/>
                <w:sz w:val="20"/>
              </w:rPr>
              <w:t>Нью</w:t>
            </w:r>
            <w:r w:rsidRPr="00425311">
              <w:rPr>
                <w:rFonts w:ascii="Times New Roman" w:hAnsi="Times New Roman"/>
                <w:sz w:val="20"/>
                <w:lang w:val="en-US"/>
              </w:rPr>
              <w:t>-</w:t>
            </w:r>
            <w:r w:rsidRPr="00425311">
              <w:rPr>
                <w:rFonts w:ascii="Times New Roman" w:hAnsi="Times New Roman"/>
                <w:sz w:val="20"/>
              </w:rPr>
              <w:t>Йоркская</w:t>
            </w:r>
            <w:r w:rsidRPr="00425311">
              <w:rPr>
                <w:rFonts w:ascii="Times New Roman" w:hAnsi="Times New Roman"/>
                <w:sz w:val="20"/>
                <w:lang w:val="en-US"/>
              </w:rPr>
              <w:t xml:space="preserve"> </w:t>
            </w:r>
            <w:r w:rsidRPr="00425311">
              <w:rPr>
                <w:rFonts w:ascii="Times New Roman" w:hAnsi="Times New Roman"/>
                <w:sz w:val="20"/>
              </w:rPr>
              <w:t>Фондовая</w:t>
            </w:r>
            <w:r w:rsidRPr="00425311">
              <w:rPr>
                <w:rFonts w:ascii="Times New Roman" w:hAnsi="Times New Roman"/>
                <w:sz w:val="20"/>
                <w:lang w:val="en-US"/>
              </w:rPr>
              <w:t xml:space="preserve"> </w:t>
            </w:r>
            <w:r w:rsidRPr="00425311">
              <w:rPr>
                <w:rFonts w:ascii="Times New Roman" w:hAnsi="Times New Roman"/>
                <w:sz w:val="20"/>
              </w:rPr>
              <w:t>биржа</w:t>
            </w:r>
            <w:r w:rsidRPr="00425311">
              <w:rPr>
                <w:rFonts w:ascii="Times New Roman" w:hAnsi="Times New Roman"/>
                <w:sz w:val="20"/>
                <w:lang w:val="en-US"/>
              </w:rPr>
              <w:t xml:space="preserve"> (New York Stock Exchange);</w:t>
            </w:r>
          </w:p>
          <w:p w:rsidR="007C74F1" w:rsidRPr="00425311" w:rsidRDefault="007C74F1" w:rsidP="00425311">
            <w:pPr>
              <w:spacing w:line="240" w:lineRule="auto"/>
              <w:rPr>
                <w:rFonts w:ascii="Times New Roman" w:hAnsi="Times New Roman"/>
                <w:sz w:val="20"/>
                <w:lang w:val="en-US"/>
              </w:rPr>
            </w:pPr>
            <w:r w:rsidRPr="00425311">
              <w:rPr>
                <w:rFonts w:ascii="Times New Roman" w:hAnsi="Times New Roman"/>
                <w:sz w:val="20"/>
                <w:lang w:val="en-US"/>
              </w:rPr>
              <w:t xml:space="preserve">14) </w:t>
            </w:r>
            <w:r w:rsidRPr="00425311">
              <w:rPr>
                <w:rFonts w:ascii="Times New Roman" w:hAnsi="Times New Roman"/>
                <w:sz w:val="20"/>
              </w:rPr>
              <w:t>Токийская</w:t>
            </w:r>
            <w:r w:rsidRPr="00425311">
              <w:rPr>
                <w:rFonts w:ascii="Times New Roman" w:hAnsi="Times New Roman"/>
                <w:sz w:val="20"/>
                <w:lang w:val="en-US"/>
              </w:rPr>
              <w:t xml:space="preserve"> </w:t>
            </w:r>
            <w:r w:rsidRPr="00425311">
              <w:rPr>
                <w:rFonts w:ascii="Times New Roman" w:hAnsi="Times New Roman"/>
                <w:sz w:val="20"/>
              </w:rPr>
              <w:t>Фондовая</w:t>
            </w:r>
            <w:r w:rsidRPr="00425311">
              <w:rPr>
                <w:rFonts w:ascii="Times New Roman" w:hAnsi="Times New Roman"/>
                <w:sz w:val="20"/>
                <w:lang w:val="en-US"/>
              </w:rPr>
              <w:t xml:space="preserve"> </w:t>
            </w:r>
            <w:r w:rsidRPr="00425311">
              <w:rPr>
                <w:rFonts w:ascii="Times New Roman" w:hAnsi="Times New Roman"/>
                <w:sz w:val="20"/>
              </w:rPr>
              <w:t>биржа</w:t>
            </w:r>
            <w:r w:rsidRPr="00425311">
              <w:rPr>
                <w:rFonts w:ascii="Times New Roman" w:hAnsi="Times New Roman"/>
                <w:sz w:val="20"/>
                <w:lang w:val="en-US"/>
              </w:rPr>
              <w:t xml:space="preserve"> (Tokyo Stock Exchange Group);</w:t>
            </w:r>
          </w:p>
          <w:p w:rsidR="007C74F1" w:rsidRPr="00425311" w:rsidRDefault="007C74F1" w:rsidP="00425311">
            <w:pPr>
              <w:spacing w:line="240" w:lineRule="auto"/>
              <w:rPr>
                <w:rFonts w:ascii="Times New Roman" w:hAnsi="Times New Roman"/>
                <w:sz w:val="20"/>
                <w:lang w:val="en-US"/>
              </w:rPr>
            </w:pPr>
            <w:r w:rsidRPr="00425311">
              <w:rPr>
                <w:rFonts w:ascii="Times New Roman" w:hAnsi="Times New Roman"/>
                <w:sz w:val="20"/>
                <w:lang w:val="en-US"/>
              </w:rPr>
              <w:t xml:space="preserve">15) </w:t>
            </w:r>
            <w:r w:rsidRPr="00425311">
              <w:rPr>
                <w:rFonts w:ascii="Times New Roman" w:hAnsi="Times New Roman"/>
                <w:sz w:val="20"/>
              </w:rPr>
              <w:t>Фондовая</w:t>
            </w:r>
            <w:r w:rsidRPr="00425311">
              <w:rPr>
                <w:rFonts w:ascii="Times New Roman" w:hAnsi="Times New Roman"/>
                <w:sz w:val="20"/>
                <w:lang w:val="en-US"/>
              </w:rPr>
              <w:t xml:space="preserve"> </w:t>
            </w:r>
            <w:r w:rsidRPr="00425311">
              <w:rPr>
                <w:rFonts w:ascii="Times New Roman" w:hAnsi="Times New Roman"/>
                <w:sz w:val="20"/>
              </w:rPr>
              <w:t>биржа</w:t>
            </w:r>
            <w:r w:rsidRPr="00425311">
              <w:rPr>
                <w:rFonts w:ascii="Times New Roman" w:hAnsi="Times New Roman"/>
                <w:sz w:val="20"/>
                <w:lang w:val="en-US"/>
              </w:rPr>
              <w:t xml:space="preserve"> </w:t>
            </w:r>
            <w:r w:rsidRPr="00425311">
              <w:rPr>
                <w:rFonts w:ascii="Times New Roman" w:hAnsi="Times New Roman"/>
                <w:sz w:val="20"/>
              </w:rPr>
              <w:t>Торонто</w:t>
            </w:r>
            <w:r w:rsidRPr="00425311">
              <w:rPr>
                <w:rFonts w:ascii="Times New Roman" w:hAnsi="Times New Roman"/>
                <w:sz w:val="20"/>
                <w:lang w:val="en-US"/>
              </w:rPr>
              <w:t xml:space="preserve"> (Toronto Stock Exchange, TSX Group);</w:t>
            </w:r>
          </w:p>
          <w:p w:rsidR="007C74F1" w:rsidRPr="00425311" w:rsidRDefault="007C74F1" w:rsidP="00425311">
            <w:pPr>
              <w:spacing w:line="240" w:lineRule="auto"/>
              <w:rPr>
                <w:rFonts w:ascii="Times New Roman" w:hAnsi="Times New Roman"/>
                <w:sz w:val="20"/>
              </w:rPr>
            </w:pPr>
            <w:r w:rsidRPr="00425311">
              <w:rPr>
                <w:rFonts w:ascii="Times New Roman" w:hAnsi="Times New Roman"/>
                <w:sz w:val="20"/>
              </w:rPr>
              <w:t>16) Фондовая биржа Швейцарии (Swiss Exchange);</w:t>
            </w:r>
          </w:p>
          <w:p w:rsidR="007C74F1" w:rsidRPr="00425311" w:rsidRDefault="007C74F1" w:rsidP="00425311">
            <w:pPr>
              <w:spacing w:line="240" w:lineRule="auto"/>
              <w:rPr>
                <w:rFonts w:ascii="Times New Roman" w:hAnsi="Times New Roman"/>
                <w:sz w:val="20"/>
              </w:rPr>
            </w:pPr>
            <w:r w:rsidRPr="00425311">
              <w:rPr>
                <w:rFonts w:ascii="Times New Roman" w:hAnsi="Times New Roman"/>
                <w:sz w:val="20"/>
              </w:rPr>
              <w:t>17) Шанхайская Фондовая биржа (Shanghai Stock Exchange).</w:t>
            </w:r>
          </w:p>
          <w:p w:rsidR="007C74F1" w:rsidRPr="00425311" w:rsidRDefault="007C74F1" w:rsidP="00425311">
            <w:pPr>
              <w:spacing w:line="240" w:lineRule="auto"/>
              <w:ind w:firstLine="567"/>
              <w:rPr>
                <w:rFonts w:ascii="Times New Roman" w:hAnsi="Times New Roman"/>
                <w:sz w:val="20"/>
              </w:rPr>
            </w:pPr>
            <w:r w:rsidRPr="00425311">
              <w:rPr>
                <w:rFonts w:ascii="Times New Roman" w:hAnsi="Times New Roman"/>
                <w:sz w:val="20"/>
              </w:rPr>
              <w:t>Требование настоящего пункта не распространяется на ценные бумаги, которые в соответствии с личным законом иностранного эмитента не предназначены для публичного обращения и паи (акции) иностранных инвестиционных фондов открытого типа.</w:t>
            </w:r>
          </w:p>
          <w:p w:rsidR="007C74F1" w:rsidRPr="00425311" w:rsidRDefault="007C74F1" w:rsidP="00425311">
            <w:pPr>
              <w:pStyle w:val="a4"/>
              <w:spacing w:before="0" w:after="0"/>
              <w:ind w:firstLine="539"/>
              <w:jc w:val="both"/>
              <w:rPr>
                <w:rFonts w:ascii="Times New Roman" w:hAnsi="Times New Roman" w:cs="Times New Roman"/>
                <w:sz w:val="20"/>
                <w:szCs w:val="20"/>
              </w:rPr>
            </w:pPr>
            <w:r w:rsidRPr="00425311">
              <w:rPr>
                <w:rFonts w:ascii="Times New Roman" w:hAnsi="Times New Roman" w:cs="Times New Roman"/>
                <w:sz w:val="20"/>
                <w:szCs w:val="20"/>
              </w:rPr>
              <w:t xml:space="preserve">22.3. Имущество, составляющее фонд, может быть инвестировано в ценные бумаги, как </w:t>
            </w:r>
            <w:r w:rsidRPr="00425311">
              <w:rPr>
                <w:rFonts w:ascii="Times New Roman" w:hAnsi="Times New Roman" w:cs="Times New Roman"/>
                <w:sz w:val="20"/>
                <w:szCs w:val="20"/>
              </w:rPr>
              <w:lastRenderedPageBreak/>
              <w:t>включенные, так и не включенные в котировальные списки фондовых бирж.</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22.4.Ценные бумаги, составляющие фонд, могут быть как допущены, так и не допущены к торгам организаторов торговли на рынке ценных бумаг.</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22.5. Под базовым активом фьючерсных и опционных договоров (контрактов), указанных в подпункте 7 пункта 22 настоящих Правил понимаются:</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а) индексы, рассчитанные фондовыми биржами только по соответствующему виду ценных бумаг (акциям или облигациям), предусмотренных пунктом 22 настоящих Правил.</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б) имущество, указанное в подпунктах 1-6 пункта 22 настоящих Правил.</w:t>
            </w:r>
          </w:p>
          <w:p w:rsidR="00745995"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4785" w:type="dxa"/>
          </w:tcPr>
          <w:p w:rsidR="00983C41" w:rsidRPr="00425311" w:rsidRDefault="00983C4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lastRenderedPageBreak/>
              <w:t>22. Объекты инвестирования, их состав и описание.</w:t>
            </w:r>
          </w:p>
          <w:p w:rsidR="00983C41" w:rsidRPr="00425311" w:rsidRDefault="00983C41" w:rsidP="00425311">
            <w:pPr>
              <w:spacing w:line="240" w:lineRule="auto"/>
              <w:ind w:firstLine="540"/>
              <w:rPr>
                <w:rFonts w:ascii="Times New Roman" w:hAnsi="Times New Roman"/>
                <w:sz w:val="20"/>
              </w:rPr>
            </w:pPr>
            <w:r w:rsidRPr="00425311">
              <w:rPr>
                <w:rFonts w:ascii="Times New Roman" w:hAnsi="Times New Roman"/>
                <w:sz w:val="20"/>
              </w:rPr>
              <w:t>22.1. Имущество, составляющее фонд, может быть инвестировано в:</w:t>
            </w:r>
          </w:p>
          <w:p w:rsidR="00425311" w:rsidRPr="00425311" w:rsidRDefault="0042531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 xml:space="preserve">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 </w:t>
            </w:r>
          </w:p>
          <w:p w:rsidR="00425311" w:rsidRPr="00425311" w:rsidRDefault="00425311" w:rsidP="00425311">
            <w:pPr>
              <w:autoSpaceDE w:val="0"/>
              <w:autoSpaceDN w:val="0"/>
              <w:adjustRightInd w:val="0"/>
              <w:spacing w:line="240" w:lineRule="auto"/>
              <w:ind w:firstLine="540"/>
              <w:rPr>
                <w:rFonts w:ascii="Times New Roman" w:hAnsi="Times New Roman"/>
                <w:sz w:val="20"/>
              </w:rPr>
            </w:pPr>
            <w:r w:rsidRPr="00425311">
              <w:rPr>
                <w:rFonts w:ascii="Times New Roman" w:hAnsi="Times New Roman"/>
                <w:sz w:val="20"/>
              </w:rPr>
              <w:t>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425311" w:rsidRPr="00425311" w:rsidRDefault="00425311" w:rsidP="00425311">
            <w:pPr>
              <w:autoSpaceDE w:val="0"/>
              <w:autoSpaceDN w:val="0"/>
              <w:adjustRightInd w:val="0"/>
              <w:spacing w:line="240" w:lineRule="auto"/>
              <w:ind w:firstLine="540"/>
              <w:rPr>
                <w:rFonts w:ascii="Times New Roman" w:hAnsi="Times New Roman"/>
                <w:sz w:val="20"/>
              </w:rPr>
            </w:pPr>
            <w:r w:rsidRPr="00425311">
              <w:rPr>
                <w:rFonts w:ascii="Times New Roman" w:hAnsi="Times New Roman"/>
                <w:sz w:val="20"/>
              </w:rPr>
              <w:t>2) Инвестиционные паи открытых паевых инвестиционных фондов, относящиеся к категории фондов рыночных финансовых инструментов, в том числе не допущенные к организованным торгам (или в отношении которых биржей не принято решение о включении в котировальные списки) на биржах Российской Федерации или иностранных биржах.</w:t>
            </w:r>
          </w:p>
          <w:p w:rsidR="00404192" w:rsidRPr="007D3405" w:rsidRDefault="00404192" w:rsidP="00404192">
            <w:pPr>
              <w:autoSpaceDE w:val="0"/>
              <w:autoSpaceDN w:val="0"/>
              <w:adjustRightInd w:val="0"/>
              <w:spacing w:line="240" w:lineRule="auto"/>
              <w:ind w:firstLine="540"/>
              <w:rPr>
                <w:rFonts w:ascii="Times New Roman" w:hAnsi="Times New Roman"/>
                <w:sz w:val="20"/>
              </w:rPr>
            </w:pPr>
            <w:r w:rsidRPr="007D3405">
              <w:rPr>
                <w:rFonts w:ascii="Times New Roman" w:hAnsi="Times New Roman"/>
                <w:sz w:val="20"/>
              </w:rPr>
              <w:t>3) Паи (акции) иностранных инвестиционных фондов, открытого и закрытого типа, при этом:</w:t>
            </w:r>
          </w:p>
          <w:p w:rsidR="00404192" w:rsidRPr="007D3405" w:rsidRDefault="00404192" w:rsidP="00404192">
            <w:pPr>
              <w:pStyle w:val="af2"/>
              <w:numPr>
                <w:ilvl w:val="0"/>
                <w:numId w:val="30"/>
              </w:numPr>
              <w:spacing w:after="0" w:line="240" w:lineRule="auto"/>
              <w:jc w:val="both"/>
              <w:rPr>
                <w:rFonts w:ascii="Times New Roman" w:hAnsi="Times New Roman"/>
                <w:sz w:val="20"/>
                <w:szCs w:val="20"/>
              </w:rPr>
            </w:pPr>
            <w:r w:rsidRPr="007D3405">
              <w:rPr>
                <w:rFonts w:ascii="Times New Roman" w:hAnsi="Times New Roman"/>
                <w:sz w:val="20"/>
                <w:szCs w:val="20"/>
              </w:rPr>
              <w:lastRenderedPageBreak/>
              <w:t>в случае использования стандарта ISO 10962:2001, присвоенный указанным паям  (акциям) код CFI должен иметь следующие значения: первая буква – значение «E», вторая буква - значение «U», третья буква - значение «O» или «С», пятая буква – значение «R», или «S», или «М», или «С», или «D»;</w:t>
            </w:r>
          </w:p>
          <w:p w:rsidR="00425311" w:rsidRPr="00425311" w:rsidRDefault="00404192" w:rsidP="00404192">
            <w:pPr>
              <w:pStyle w:val="af2"/>
              <w:numPr>
                <w:ilvl w:val="0"/>
                <w:numId w:val="30"/>
              </w:numPr>
              <w:spacing w:after="0" w:line="240" w:lineRule="auto"/>
              <w:jc w:val="both"/>
              <w:rPr>
                <w:rFonts w:ascii="Times New Roman" w:hAnsi="Times New Roman"/>
                <w:sz w:val="20"/>
                <w:szCs w:val="20"/>
              </w:rPr>
            </w:pPr>
            <w:r w:rsidRPr="007D3405">
              <w:rPr>
                <w:rFonts w:ascii="Times New Roman" w:hAnsi="Times New Roman"/>
                <w:sz w:val="20"/>
                <w:szCs w:val="20"/>
              </w:rPr>
              <w:t>если код CFI присвоен в соответствии с международным стандартом ISO 10962:2015, то он должен иметь следующие значения: первая буква – значение «С», вторая буква – значение «</w:t>
            </w:r>
            <w:r w:rsidRPr="007D3405">
              <w:rPr>
                <w:rFonts w:ascii="Times New Roman" w:hAnsi="Times New Roman"/>
                <w:sz w:val="20"/>
                <w:szCs w:val="20"/>
                <w:lang w:val="en-US"/>
              </w:rPr>
              <w:t>I</w:t>
            </w:r>
            <w:r w:rsidRPr="007D3405">
              <w:rPr>
                <w:rFonts w:ascii="Times New Roman" w:hAnsi="Times New Roman"/>
                <w:sz w:val="20"/>
                <w:szCs w:val="20"/>
              </w:rPr>
              <w:t>», или «</w:t>
            </w:r>
            <w:r w:rsidRPr="007D3405">
              <w:rPr>
                <w:rFonts w:ascii="Times New Roman" w:hAnsi="Times New Roman"/>
                <w:sz w:val="20"/>
                <w:szCs w:val="20"/>
                <w:lang w:val="en-US"/>
              </w:rPr>
              <w:t>E</w:t>
            </w:r>
            <w:r w:rsidRPr="007D3405">
              <w:rPr>
                <w:rFonts w:ascii="Times New Roman" w:hAnsi="Times New Roman"/>
                <w:sz w:val="20"/>
                <w:szCs w:val="20"/>
              </w:rPr>
              <w:t>», или «</w:t>
            </w:r>
            <w:r w:rsidRPr="007D3405">
              <w:rPr>
                <w:rFonts w:ascii="Times New Roman" w:hAnsi="Times New Roman"/>
                <w:sz w:val="20"/>
                <w:szCs w:val="20"/>
                <w:lang w:val="en-US"/>
              </w:rPr>
              <w:t>B</w:t>
            </w:r>
            <w:r w:rsidRPr="007D3405">
              <w:rPr>
                <w:rFonts w:ascii="Times New Roman" w:hAnsi="Times New Roman"/>
                <w:sz w:val="20"/>
                <w:szCs w:val="20"/>
              </w:rPr>
              <w:t>», или «</w:t>
            </w:r>
            <w:r w:rsidRPr="007D3405">
              <w:rPr>
                <w:rFonts w:ascii="Times New Roman" w:hAnsi="Times New Roman"/>
                <w:sz w:val="20"/>
                <w:szCs w:val="20"/>
                <w:lang w:val="en-US"/>
              </w:rPr>
              <w:t>F</w:t>
            </w:r>
            <w:r w:rsidRPr="007D3405">
              <w:rPr>
                <w:rFonts w:ascii="Times New Roman" w:hAnsi="Times New Roman"/>
                <w:sz w:val="20"/>
                <w:szCs w:val="20"/>
              </w:rPr>
              <w:t>», третья буква – значение «О» либо «C», пятая буква – значение «B», или «E», или «V», или «L», или «С», или «D», или «F»</w:t>
            </w:r>
            <w:r w:rsidR="00425311" w:rsidRPr="00425311">
              <w:rPr>
                <w:rFonts w:ascii="Times New Roman" w:hAnsi="Times New Roman"/>
                <w:sz w:val="20"/>
                <w:szCs w:val="20"/>
              </w:rPr>
              <w:t>.</w:t>
            </w:r>
          </w:p>
          <w:p w:rsidR="00425311" w:rsidRPr="00425311" w:rsidRDefault="00425311" w:rsidP="00425311">
            <w:pPr>
              <w:autoSpaceDE w:val="0"/>
              <w:autoSpaceDN w:val="0"/>
              <w:adjustRightInd w:val="0"/>
              <w:spacing w:line="240" w:lineRule="auto"/>
              <w:ind w:firstLine="540"/>
              <w:rPr>
                <w:rFonts w:ascii="Times New Roman" w:hAnsi="Times New Roman"/>
                <w:sz w:val="20"/>
              </w:rPr>
            </w:pPr>
            <w:r w:rsidRPr="00425311">
              <w:rPr>
                <w:rFonts w:ascii="Times New Roman" w:hAnsi="Times New Roman"/>
                <w:sz w:val="20"/>
              </w:rPr>
              <w:t>4) Полностью оплаченные акции российских акционерных обществ, за исключением акций акционерных инвестиционных фондов.</w:t>
            </w:r>
          </w:p>
          <w:p w:rsidR="00425311" w:rsidRPr="00425311" w:rsidRDefault="00425311" w:rsidP="00425311">
            <w:pPr>
              <w:autoSpaceDE w:val="0"/>
              <w:autoSpaceDN w:val="0"/>
              <w:adjustRightInd w:val="0"/>
              <w:spacing w:line="240" w:lineRule="auto"/>
              <w:ind w:firstLine="540"/>
              <w:rPr>
                <w:rFonts w:ascii="Times New Roman" w:hAnsi="Times New Roman"/>
                <w:sz w:val="20"/>
              </w:rPr>
            </w:pPr>
            <w:r w:rsidRPr="00425311">
              <w:rPr>
                <w:rFonts w:ascii="Times New Roman" w:hAnsi="Times New Roman"/>
                <w:sz w:val="20"/>
              </w:rPr>
              <w:t>5) Полностью оплаченные акции иностранных акционерных обществ.</w:t>
            </w:r>
          </w:p>
          <w:p w:rsidR="00425311" w:rsidRPr="00425311" w:rsidRDefault="00425311" w:rsidP="00425311">
            <w:pPr>
              <w:autoSpaceDE w:val="0"/>
              <w:autoSpaceDN w:val="0"/>
              <w:adjustRightInd w:val="0"/>
              <w:spacing w:line="240" w:lineRule="auto"/>
              <w:ind w:firstLine="540"/>
              <w:rPr>
                <w:rFonts w:ascii="Times New Roman" w:hAnsi="Times New Roman"/>
                <w:sz w:val="20"/>
              </w:rPr>
            </w:pPr>
            <w:r w:rsidRPr="00425311">
              <w:rPr>
                <w:rFonts w:ascii="Times New Roman" w:hAnsi="Times New Roman"/>
                <w:sz w:val="20"/>
              </w:rPr>
              <w:t>6) Долговые инструменты.</w:t>
            </w:r>
          </w:p>
          <w:p w:rsidR="00425311" w:rsidRPr="00425311" w:rsidRDefault="00425311" w:rsidP="00425311">
            <w:pPr>
              <w:autoSpaceDE w:val="0"/>
              <w:autoSpaceDN w:val="0"/>
              <w:adjustRightInd w:val="0"/>
              <w:spacing w:line="240" w:lineRule="auto"/>
              <w:ind w:firstLine="540"/>
              <w:rPr>
                <w:rFonts w:ascii="Times New Roman" w:hAnsi="Times New Roman"/>
                <w:sz w:val="20"/>
              </w:rPr>
            </w:pPr>
            <w:r w:rsidRPr="00425311">
              <w:rPr>
                <w:rFonts w:ascii="Times New Roman" w:hAnsi="Times New Roman"/>
                <w:sz w:val="20"/>
              </w:rPr>
              <w:t>7) Производные финансовые инструменты (фьючерсные и опционные договоры (контракты) при соблюдении условий, предусмотренных пунктом 22.6 настоящих Правил.</w:t>
            </w:r>
          </w:p>
          <w:p w:rsidR="00425311" w:rsidRPr="00425311" w:rsidRDefault="00425311" w:rsidP="00425311">
            <w:pPr>
              <w:autoSpaceDE w:val="0"/>
              <w:autoSpaceDN w:val="0"/>
              <w:adjustRightInd w:val="0"/>
              <w:spacing w:line="240" w:lineRule="auto"/>
              <w:ind w:firstLine="540"/>
              <w:rPr>
                <w:rFonts w:ascii="Times New Roman" w:hAnsi="Times New Roman"/>
                <w:sz w:val="20"/>
              </w:rPr>
            </w:pPr>
            <w:r w:rsidRPr="00425311">
              <w:rPr>
                <w:rFonts w:ascii="Times New Roman" w:hAnsi="Times New Roman"/>
                <w:sz w:val="20"/>
              </w:rPr>
              <w:t>8) Права требования из договоров, заключенных для целей доверительного управления в отношении активов, инвестирование имущества фонда в которые предусмотрено настоящими Правилами.</w:t>
            </w:r>
          </w:p>
          <w:p w:rsidR="00983C41" w:rsidRPr="00425311" w:rsidRDefault="00425311" w:rsidP="00425311">
            <w:pPr>
              <w:autoSpaceDE w:val="0"/>
              <w:autoSpaceDN w:val="0"/>
              <w:adjustRightInd w:val="0"/>
              <w:spacing w:line="240" w:lineRule="auto"/>
              <w:ind w:firstLine="540"/>
              <w:rPr>
                <w:rFonts w:ascii="Times New Roman" w:hAnsi="Times New Roman"/>
                <w:sz w:val="20"/>
              </w:rPr>
            </w:pPr>
            <w:r w:rsidRPr="00425311">
              <w:rPr>
                <w:rFonts w:ascii="Times New Roman" w:hAnsi="Times New Roman"/>
                <w:sz w:val="20"/>
              </w:rPr>
              <w:t>9) Иные активы, включаемые в состав активов фонда в связи с оплатой расходов, связанных с доверительным управлением имуществом, составляющим фонд</w:t>
            </w:r>
            <w:r w:rsidR="00983C41" w:rsidRPr="00425311">
              <w:rPr>
                <w:rFonts w:ascii="Times New Roman" w:hAnsi="Times New Roman"/>
                <w:sz w:val="20"/>
              </w:rPr>
              <w:t>.</w:t>
            </w:r>
          </w:p>
          <w:p w:rsidR="00983C41" w:rsidRPr="00425311" w:rsidRDefault="00983C41" w:rsidP="00425311">
            <w:pPr>
              <w:spacing w:line="240" w:lineRule="auto"/>
              <w:ind w:firstLine="567"/>
              <w:rPr>
                <w:rFonts w:ascii="Times New Roman" w:hAnsi="Times New Roman"/>
                <w:sz w:val="20"/>
              </w:rPr>
            </w:pPr>
            <w:r w:rsidRPr="00425311">
              <w:rPr>
                <w:rFonts w:ascii="Times New Roman" w:hAnsi="Times New Roman"/>
                <w:sz w:val="20"/>
              </w:rPr>
              <w:t xml:space="preserve">22.2. В целях применения настоящих Правил под долговыми инструментами понимаются: </w:t>
            </w:r>
          </w:p>
          <w:p w:rsidR="00983C41" w:rsidRPr="00425311" w:rsidRDefault="00983C41" w:rsidP="00425311">
            <w:pPr>
              <w:spacing w:line="240" w:lineRule="auto"/>
              <w:ind w:firstLine="567"/>
              <w:rPr>
                <w:rFonts w:ascii="Times New Roman" w:hAnsi="Times New Roman"/>
                <w:sz w:val="20"/>
              </w:rPr>
            </w:pPr>
            <w:r w:rsidRPr="00425311">
              <w:rPr>
                <w:rFonts w:ascii="Times New Roman" w:hAnsi="Times New Roman"/>
                <w:sz w:val="20"/>
              </w:rPr>
              <w:t xml:space="preserve">а) облигации российских эмитентов; </w:t>
            </w:r>
          </w:p>
          <w:p w:rsidR="00983C41" w:rsidRPr="00425311" w:rsidRDefault="00983C41" w:rsidP="00425311">
            <w:pPr>
              <w:spacing w:line="240" w:lineRule="auto"/>
              <w:ind w:firstLine="567"/>
              <w:rPr>
                <w:rFonts w:ascii="Times New Roman" w:hAnsi="Times New Roman"/>
                <w:sz w:val="20"/>
              </w:rPr>
            </w:pPr>
            <w:r w:rsidRPr="00425311">
              <w:rPr>
                <w:rFonts w:ascii="Times New Roman" w:hAnsi="Times New Roman"/>
                <w:sz w:val="20"/>
              </w:rPr>
              <w:t xml:space="preserve">б) биржевые облигации российских эмитентов; </w:t>
            </w:r>
          </w:p>
          <w:p w:rsidR="00983C41" w:rsidRPr="00425311" w:rsidRDefault="00983C41" w:rsidP="00425311">
            <w:pPr>
              <w:spacing w:line="240" w:lineRule="auto"/>
              <w:ind w:firstLine="567"/>
              <w:rPr>
                <w:rFonts w:ascii="Times New Roman" w:hAnsi="Times New Roman"/>
                <w:sz w:val="20"/>
              </w:rPr>
            </w:pPr>
            <w:r w:rsidRPr="00425311">
              <w:rPr>
                <w:rFonts w:ascii="Times New Roman" w:hAnsi="Times New Roman"/>
                <w:sz w:val="20"/>
              </w:rPr>
              <w:t xml:space="preserve">в)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rsidR="00983C41" w:rsidRPr="00425311" w:rsidRDefault="00983C41" w:rsidP="00425311">
            <w:pPr>
              <w:spacing w:line="240" w:lineRule="auto"/>
              <w:ind w:firstLine="567"/>
              <w:rPr>
                <w:rFonts w:ascii="Times New Roman" w:hAnsi="Times New Roman"/>
                <w:sz w:val="20"/>
              </w:rPr>
            </w:pPr>
            <w:r w:rsidRPr="00425311">
              <w:rPr>
                <w:rFonts w:ascii="Times New Roman" w:hAnsi="Times New Roman"/>
                <w:sz w:val="20"/>
              </w:rPr>
              <w:t xml:space="preserve">г) облигации иностранных эмитентов и международных финансовых организаций. </w:t>
            </w:r>
          </w:p>
          <w:p w:rsidR="00983C41" w:rsidRPr="00425311" w:rsidRDefault="00983C41" w:rsidP="00425311">
            <w:pPr>
              <w:spacing w:line="240" w:lineRule="auto"/>
              <w:ind w:firstLine="567"/>
              <w:rPr>
                <w:rFonts w:ascii="Times New Roman" w:hAnsi="Times New Roman"/>
                <w:sz w:val="20"/>
              </w:rPr>
            </w:pPr>
            <w:r w:rsidRPr="00425311">
              <w:rPr>
                <w:rFonts w:ascii="Times New Roman" w:hAnsi="Times New Roman"/>
                <w:sz w:val="20"/>
              </w:rPr>
              <w:t xml:space="preserve">д) российские и иностранные депозитарные расписки на ценные бумаги, предусмотренные настоящим пунктом Правил. </w:t>
            </w:r>
          </w:p>
          <w:p w:rsidR="00983C41" w:rsidRPr="00425311" w:rsidRDefault="00983C41" w:rsidP="00425311">
            <w:pPr>
              <w:spacing w:line="240" w:lineRule="auto"/>
              <w:ind w:firstLine="567"/>
              <w:rPr>
                <w:rFonts w:ascii="Times New Roman" w:hAnsi="Times New Roman"/>
                <w:sz w:val="20"/>
              </w:rPr>
            </w:pPr>
            <w:r w:rsidRPr="00425311">
              <w:rPr>
                <w:rFonts w:ascii="Times New Roman" w:hAnsi="Times New Roman"/>
                <w:sz w:val="20"/>
              </w:rPr>
              <w:t xml:space="preserve">22.3. Имущество, составляющее фонд, может быть инвестировано в облигации, эмитентами которых могут быть: </w:t>
            </w:r>
          </w:p>
          <w:p w:rsidR="00983C41" w:rsidRPr="00425311" w:rsidRDefault="00983C41" w:rsidP="00425311">
            <w:pPr>
              <w:spacing w:line="240" w:lineRule="auto"/>
              <w:ind w:firstLine="567"/>
              <w:rPr>
                <w:rFonts w:ascii="Times New Roman" w:hAnsi="Times New Roman"/>
                <w:sz w:val="20"/>
              </w:rPr>
            </w:pPr>
            <w:r w:rsidRPr="00425311">
              <w:rPr>
                <w:rFonts w:ascii="Times New Roman" w:hAnsi="Times New Roman"/>
                <w:sz w:val="20"/>
              </w:rPr>
              <w:t xml:space="preserve">- российские органы государственной власти; </w:t>
            </w:r>
          </w:p>
          <w:p w:rsidR="00983C41" w:rsidRPr="00425311" w:rsidRDefault="00983C41" w:rsidP="00425311">
            <w:pPr>
              <w:spacing w:line="240" w:lineRule="auto"/>
              <w:ind w:firstLine="567"/>
              <w:rPr>
                <w:rFonts w:ascii="Times New Roman" w:hAnsi="Times New Roman"/>
                <w:sz w:val="20"/>
              </w:rPr>
            </w:pPr>
            <w:r w:rsidRPr="00425311">
              <w:rPr>
                <w:rFonts w:ascii="Times New Roman" w:hAnsi="Times New Roman"/>
                <w:sz w:val="20"/>
              </w:rPr>
              <w:t xml:space="preserve">- иностранные органы государственной власти; </w:t>
            </w:r>
          </w:p>
          <w:p w:rsidR="00983C41" w:rsidRPr="00425311" w:rsidRDefault="00983C41" w:rsidP="00425311">
            <w:pPr>
              <w:spacing w:line="240" w:lineRule="auto"/>
              <w:ind w:firstLine="567"/>
              <w:rPr>
                <w:rFonts w:ascii="Times New Roman" w:hAnsi="Times New Roman"/>
                <w:sz w:val="20"/>
              </w:rPr>
            </w:pPr>
            <w:r w:rsidRPr="00425311">
              <w:rPr>
                <w:rFonts w:ascii="Times New Roman" w:hAnsi="Times New Roman"/>
                <w:sz w:val="20"/>
              </w:rPr>
              <w:t xml:space="preserve">- органы местного самоуправления; </w:t>
            </w:r>
          </w:p>
          <w:p w:rsidR="00983C41" w:rsidRPr="00425311" w:rsidRDefault="00983C41" w:rsidP="00425311">
            <w:pPr>
              <w:spacing w:line="240" w:lineRule="auto"/>
              <w:ind w:firstLine="567"/>
              <w:rPr>
                <w:rFonts w:ascii="Times New Roman" w:hAnsi="Times New Roman"/>
                <w:sz w:val="20"/>
              </w:rPr>
            </w:pPr>
            <w:r w:rsidRPr="00425311">
              <w:rPr>
                <w:rFonts w:ascii="Times New Roman" w:hAnsi="Times New Roman"/>
                <w:sz w:val="20"/>
              </w:rPr>
              <w:t xml:space="preserve">- международные финансовые организации; </w:t>
            </w:r>
          </w:p>
          <w:p w:rsidR="00983C41" w:rsidRPr="00425311" w:rsidRDefault="00983C41" w:rsidP="00425311">
            <w:pPr>
              <w:spacing w:line="240" w:lineRule="auto"/>
              <w:ind w:firstLine="567"/>
              <w:rPr>
                <w:rFonts w:ascii="Times New Roman" w:hAnsi="Times New Roman"/>
                <w:sz w:val="20"/>
              </w:rPr>
            </w:pPr>
            <w:r w:rsidRPr="00425311">
              <w:rPr>
                <w:rFonts w:ascii="Times New Roman" w:hAnsi="Times New Roman"/>
                <w:sz w:val="20"/>
              </w:rPr>
              <w:t xml:space="preserve">- российские юридические лица; </w:t>
            </w:r>
          </w:p>
          <w:p w:rsidR="00983C41" w:rsidRPr="00425311" w:rsidRDefault="00983C41" w:rsidP="00425311">
            <w:pPr>
              <w:autoSpaceDE w:val="0"/>
              <w:autoSpaceDN w:val="0"/>
              <w:adjustRightInd w:val="0"/>
              <w:spacing w:line="240" w:lineRule="auto"/>
              <w:ind w:firstLine="540"/>
              <w:rPr>
                <w:rFonts w:ascii="Times New Roman" w:hAnsi="Times New Roman"/>
                <w:sz w:val="20"/>
              </w:rPr>
            </w:pPr>
            <w:r w:rsidRPr="00425311">
              <w:rPr>
                <w:rFonts w:ascii="Times New Roman" w:hAnsi="Times New Roman"/>
                <w:sz w:val="20"/>
              </w:rPr>
              <w:t>- иностранные юридические лица.</w:t>
            </w:r>
          </w:p>
          <w:p w:rsidR="00983C41" w:rsidRPr="00425311" w:rsidRDefault="00983C41" w:rsidP="00425311">
            <w:pPr>
              <w:autoSpaceDE w:val="0"/>
              <w:autoSpaceDN w:val="0"/>
              <w:adjustRightInd w:val="0"/>
              <w:spacing w:line="240" w:lineRule="auto"/>
              <w:ind w:firstLine="540"/>
              <w:rPr>
                <w:rFonts w:ascii="Times New Roman" w:hAnsi="Times New Roman"/>
                <w:sz w:val="20"/>
              </w:rPr>
            </w:pPr>
            <w:r w:rsidRPr="00425311">
              <w:rPr>
                <w:rFonts w:ascii="Times New Roman" w:hAnsi="Times New Roman"/>
                <w:sz w:val="20"/>
              </w:rPr>
              <w:t>22.4. В активы фонда могут приобретаться обыкновенные и привилегированные акции.</w:t>
            </w:r>
          </w:p>
          <w:p w:rsidR="00404192" w:rsidRPr="007D3405" w:rsidRDefault="00404192" w:rsidP="00404192">
            <w:pPr>
              <w:autoSpaceDE w:val="0"/>
              <w:autoSpaceDN w:val="0"/>
              <w:adjustRightInd w:val="0"/>
              <w:spacing w:line="240" w:lineRule="auto"/>
              <w:ind w:firstLine="540"/>
              <w:rPr>
                <w:rFonts w:ascii="Times New Roman" w:hAnsi="Times New Roman"/>
                <w:sz w:val="20"/>
              </w:rPr>
            </w:pPr>
            <w:r w:rsidRPr="007D3405">
              <w:rPr>
                <w:rFonts w:ascii="Times New Roman" w:hAnsi="Times New Roman"/>
                <w:sz w:val="20"/>
              </w:rPr>
              <w:t>22.5. Лица, обязанные по:</w:t>
            </w:r>
          </w:p>
          <w:p w:rsidR="00404192" w:rsidRPr="007D3405" w:rsidRDefault="00404192" w:rsidP="00404192">
            <w:pPr>
              <w:spacing w:line="240" w:lineRule="auto"/>
              <w:ind w:firstLine="567"/>
              <w:rPr>
                <w:rFonts w:ascii="Times New Roman" w:hAnsi="Times New Roman"/>
                <w:sz w:val="20"/>
              </w:rPr>
            </w:pPr>
            <w:r w:rsidRPr="007D3405">
              <w:rPr>
                <w:rFonts w:ascii="Times New Roman" w:hAnsi="Times New Roman"/>
                <w:sz w:val="20"/>
              </w:rPr>
              <w:lastRenderedPageBreak/>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биржевым облигациям российских хозяйственных обществ,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депозитным сертификатам российских кредитных организаций должны быть зарегистрированы в Российской Федерации; </w:t>
            </w:r>
          </w:p>
          <w:p w:rsidR="00983C41" w:rsidRPr="00425311" w:rsidRDefault="00404192" w:rsidP="00404192">
            <w:pPr>
              <w:spacing w:line="240" w:lineRule="auto"/>
              <w:ind w:firstLine="567"/>
              <w:rPr>
                <w:rFonts w:ascii="Times New Roman" w:hAnsi="Times New Roman"/>
                <w:sz w:val="20"/>
              </w:rPr>
            </w:pPr>
            <w:r w:rsidRPr="007D3405">
              <w:rPr>
                <w:rFonts w:ascii="Times New Roman" w:hAnsi="Times New Roman"/>
                <w:sz w:val="20"/>
              </w:rPr>
              <w:t>- государственным ценным бумагам иностранных государств, акциям иностранных акционерных обществ, 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депозитным сертификатам иностранных банков должны быть зарегистрированы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r w:rsidR="00983C41" w:rsidRPr="00425311">
              <w:rPr>
                <w:rFonts w:ascii="Times New Roman" w:hAnsi="Times New Roman"/>
                <w:sz w:val="20"/>
              </w:rPr>
              <w:t xml:space="preserve">. </w:t>
            </w:r>
          </w:p>
          <w:p w:rsidR="00745995" w:rsidRPr="00425311" w:rsidRDefault="00983C4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xml:space="preserve">22.6. </w:t>
            </w:r>
            <w:r w:rsidR="00425311" w:rsidRPr="00425311">
              <w:rPr>
                <w:rFonts w:ascii="Times New Roman" w:hAnsi="Times New Roman"/>
                <w:sz w:val="20"/>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подпунктах 3-6 пункта 22.1.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r w:rsidR="00745995" w:rsidRPr="00425311">
              <w:rPr>
                <w:rFonts w:ascii="Times New Roman" w:hAnsi="Times New Roman"/>
                <w:sz w:val="20"/>
              </w:rPr>
              <w:t>.</w:t>
            </w:r>
          </w:p>
          <w:p w:rsidR="00425311" w:rsidRPr="00425311" w:rsidRDefault="00404192" w:rsidP="00425311">
            <w:pPr>
              <w:autoSpaceDE w:val="0"/>
              <w:autoSpaceDN w:val="0"/>
              <w:adjustRightInd w:val="0"/>
              <w:spacing w:line="240" w:lineRule="auto"/>
              <w:ind w:firstLine="510"/>
              <w:rPr>
                <w:rFonts w:ascii="Times New Roman" w:hAnsi="Times New Roman"/>
                <w:sz w:val="20"/>
              </w:rPr>
            </w:pPr>
            <w:r w:rsidRPr="007D3405">
              <w:rPr>
                <w:rFonts w:ascii="Times New Roman" w:hAnsi="Times New Roman"/>
                <w:sz w:val="20"/>
              </w:rPr>
              <w:t xml:space="preserve">22.7. Ценные бумаги и производные финансовые инструменты, составляющие фонд, за исключением инвестиционных паев открытых паевых инвестиционных фондов, 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должны быть допущены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w:t>
            </w:r>
            <w:r w:rsidRPr="007D3405">
              <w:rPr>
                <w:rFonts w:ascii="Times New Roman" w:hAnsi="Times New Roman"/>
                <w:sz w:val="20"/>
              </w:rPr>
              <w:lastRenderedPageBreak/>
              <w:t>идентификации бенефициарных владельцев иностранных организаций, чьи ценные бумаги прошли процедуру листинга на таких биржах».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425311" w:rsidRPr="00425311">
              <w:rPr>
                <w:rFonts w:ascii="Times New Roman" w:hAnsi="Times New Roman"/>
                <w:sz w:val="20"/>
              </w:rPr>
              <w:t>.</w:t>
            </w:r>
          </w:p>
        </w:tc>
      </w:tr>
      <w:tr w:rsidR="00745995" w:rsidRPr="00425311" w:rsidTr="001C05A4">
        <w:tc>
          <w:tcPr>
            <w:tcW w:w="4785" w:type="dxa"/>
          </w:tcPr>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lastRenderedPageBreak/>
              <w:t>23. Структура активов фонда.</w:t>
            </w:r>
          </w:p>
          <w:p w:rsidR="007C74F1" w:rsidRPr="00425311" w:rsidRDefault="007C74F1" w:rsidP="00425311">
            <w:pPr>
              <w:autoSpaceDE w:val="0"/>
              <w:autoSpaceDN w:val="0"/>
              <w:adjustRightInd w:val="0"/>
              <w:spacing w:line="240" w:lineRule="auto"/>
              <w:ind w:firstLine="540"/>
              <w:rPr>
                <w:rFonts w:ascii="Times New Roman" w:hAnsi="Times New Roman"/>
                <w:sz w:val="20"/>
              </w:rPr>
            </w:pPr>
            <w:r w:rsidRPr="00425311">
              <w:rPr>
                <w:rFonts w:ascii="Times New Roman" w:hAnsi="Times New Roman"/>
                <w:sz w:val="20"/>
              </w:rPr>
              <w:t>23.1. Структура активов фонда должна одновременно соответствовать следующим требованиям:</w:t>
            </w:r>
          </w:p>
          <w:p w:rsidR="007C74F1" w:rsidRPr="00425311" w:rsidRDefault="007C74F1" w:rsidP="00425311">
            <w:pPr>
              <w:autoSpaceDE w:val="0"/>
              <w:autoSpaceDN w:val="0"/>
              <w:adjustRightInd w:val="0"/>
              <w:spacing w:line="240" w:lineRule="auto"/>
              <w:ind w:firstLine="540"/>
              <w:rPr>
                <w:rFonts w:ascii="Times New Roman" w:hAnsi="Times New Roman"/>
                <w:sz w:val="20"/>
              </w:rPr>
            </w:pPr>
            <w:r w:rsidRPr="00425311">
              <w:rPr>
                <w:rFonts w:ascii="Times New Roman" w:hAnsi="Times New Roman"/>
                <w:sz w:val="20"/>
              </w:rPr>
              <w:t>1) денежные средства, находящиеся во вкладах в одной кредитной организации, могут составлять не более 25 процентов стоимости активов фонда;</w:t>
            </w:r>
          </w:p>
          <w:p w:rsidR="007C74F1" w:rsidRPr="00425311" w:rsidRDefault="007C74F1" w:rsidP="00425311">
            <w:pPr>
              <w:autoSpaceDE w:val="0"/>
              <w:autoSpaceDN w:val="0"/>
              <w:adjustRightInd w:val="0"/>
              <w:spacing w:line="240" w:lineRule="auto"/>
              <w:ind w:firstLine="540"/>
              <w:rPr>
                <w:rFonts w:ascii="Times New Roman" w:hAnsi="Times New Roman"/>
                <w:sz w:val="20"/>
              </w:rPr>
            </w:pPr>
            <w:r w:rsidRPr="00425311">
              <w:rPr>
                <w:rFonts w:ascii="Times New Roman" w:hAnsi="Times New Roman"/>
                <w:sz w:val="20"/>
              </w:rPr>
              <w:t>2) не менее двух третей рабочих дней в течение одного календарного квартала оценочная стоимость долговых инструментов должна составлять не менее 50 процентов стоимости активов фонда;</w:t>
            </w:r>
          </w:p>
          <w:p w:rsidR="007C74F1" w:rsidRPr="00425311" w:rsidRDefault="007C74F1" w:rsidP="00425311">
            <w:pPr>
              <w:autoSpaceDE w:val="0"/>
              <w:autoSpaceDN w:val="0"/>
              <w:adjustRightInd w:val="0"/>
              <w:spacing w:line="240" w:lineRule="auto"/>
              <w:ind w:firstLine="539"/>
              <w:rPr>
                <w:rFonts w:ascii="Times New Roman" w:hAnsi="Times New Roman"/>
                <w:sz w:val="20"/>
              </w:rPr>
            </w:pPr>
            <w:r w:rsidRPr="00425311">
              <w:rPr>
                <w:rFonts w:ascii="Times New Roman" w:hAnsi="Times New Roman"/>
                <w:sz w:val="20"/>
              </w:rPr>
              <w:t>3)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«ВВВ-»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7C74F1" w:rsidRPr="00425311" w:rsidRDefault="007C74F1" w:rsidP="00425311">
            <w:pPr>
              <w:autoSpaceDE w:val="0"/>
              <w:autoSpaceDN w:val="0"/>
              <w:adjustRightInd w:val="0"/>
              <w:spacing w:line="240" w:lineRule="auto"/>
              <w:ind w:firstLine="540"/>
              <w:rPr>
                <w:rFonts w:ascii="Times New Roman" w:hAnsi="Times New Roman"/>
                <w:sz w:val="20"/>
              </w:rPr>
            </w:pPr>
            <w:r w:rsidRPr="00425311">
              <w:rPr>
                <w:rFonts w:ascii="Times New Roman" w:hAnsi="Times New Roman"/>
                <w:sz w:val="20"/>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 фонда;</w:t>
            </w:r>
          </w:p>
          <w:p w:rsidR="007C74F1" w:rsidRPr="00425311" w:rsidRDefault="007C74F1" w:rsidP="00425311">
            <w:pPr>
              <w:autoSpaceDE w:val="0"/>
              <w:autoSpaceDN w:val="0"/>
              <w:adjustRightInd w:val="0"/>
              <w:spacing w:line="240" w:lineRule="auto"/>
              <w:ind w:firstLine="540"/>
              <w:rPr>
                <w:rFonts w:ascii="Times New Roman" w:hAnsi="Times New Roman"/>
                <w:sz w:val="20"/>
              </w:rPr>
            </w:pPr>
            <w:r w:rsidRPr="00425311">
              <w:rPr>
                <w:rFonts w:ascii="Times New Roman" w:hAnsi="Times New Roman"/>
                <w:sz w:val="20"/>
              </w:rPr>
              <w:t xml:space="preserve">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w:t>
            </w:r>
            <w:r w:rsidRPr="00425311">
              <w:rPr>
                <w:rFonts w:ascii="Times New Roman" w:hAnsi="Times New Roman"/>
                <w:sz w:val="20"/>
              </w:rPr>
              <w:lastRenderedPageBreak/>
              <w:t>составлять не более 30 процентов количества выданных (выпущенных) инвестиционных паев (акций) каждого из этих фондов;</w:t>
            </w:r>
          </w:p>
          <w:p w:rsidR="007C74F1" w:rsidRPr="00425311" w:rsidRDefault="007C74F1" w:rsidP="00425311">
            <w:pPr>
              <w:autoSpaceDE w:val="0"/>
              <w:autoSpaceDN w:val="0"/>
              <w:adjustRightInd w:val="0"/>
              <w:spacing w:line="240" w:lineRule="auto"/>
              <w:ind w:firstLine="540"/>
              <w:rPr>
                <w:rFonts w:ascii="Times New Roman" w:hAnsi="Times New Roman"/>
                <w:sz w:val="20"/>
              </w:rPr>
            </w:pPr>
            <w:r w:rsidRPr="00425311">
              <w:rPr>
                <w:rFonts w:ascii="Times New Roman" w:hAnsi="Times New Roman"/>
                <w:sz w:val="20"/>
              </w:rPr>
              <w:t>6) оценочная стоимость неликвидных ценных бумаг может составлять не более 10 процентов стоимости активов фонда;</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фонда.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22.2. настоящих Правил;</w:t>
            </w:r>
          </w:p>
          <w:p w:rsidR="007C74F1" w:rsidRPr="00425311" w:rsidRDefault="007C74F1" w:rsidP="00425311">
            <w:pPr>
              <w:autoSpaceDE w:val="0"/>
              <w:autoSpaceDN w:val="0"/>
              <w:adjustRightInd w:val="0"/>
              <w:spacing w:line="240" w:lineRule="auto"/>
              <w:ind w:firstLine="540"/>
              <w:rPr>
                <w:rFonts w:ascii="Times New Roman" w:hAnsi="Times New Roman"/>
                <w:sz w:val="20"/>
              </w:rPr>
            </w:pPr>
            <w:r w:rsidRPr="00425311">
              <w:rPr>
                <w:rFonts w:ascii="Times New Roman" w:hAnsi="Times New Roman"/>
                <w:sz w:val="20"/>
              </w:rPr>
              <w:t>8)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 фонда;</w:t>
            </w:r>
          </w:p>
          <w:p w:rsidR="007C74F1" w:rsidRPr="00425311" w:rsidRDefault="007C74F1" w:rsidP="00425311">
            <w:pPr>
              <w:autoSpaceDE w:val="0"/>
              <w:autoSpaceDN w:val="0"/>
              <w:adjustRightInd w:val="0"/>
              <w:spacing w:line="240" w:lineRule="auto"/>
              <w:ind w:firstLine="540"/>
              <w:rPr>
                <w:rFonts w:ascii="Times New Roman" w:hAnsi="Times New Roman"/>
                <w:sz w:val="20"/>
              </w:rPr>
            </w:pPr>
            <w:r w:rsidRPr="00425311">
              <w:rPr>
                <w:rFonts w:ascii="Times New Roman" w:hAnsi="Times New Roman"/>
                <w:sz w:val="20"/>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7C74F1" w:rsidRPr="00425311" w:rsidRDefault="007C74F1" w:rsidP="00425311">
            <w:pPr>
              <w:autoSpaceDE w:val="0"/>
              <w:autoSpaceDN w:val="0"/>
              <w:adjustRightInd w:val="0"/>
              <w:spacing w:line="240" w:lineRule="auto"/>
              <w:ind w:firstLine="540"/>
              <w:rPr>
                <w:rFonts w:ascii="Times New Roman" w:hAnsi="Times New Roman"/>
                <w:sz w:val="20"/>
              </w:rPr>
            </w:pPr>
            <w:r w:rsidRPr="00425311">
              <w:rPr>
                <w:rFonts w:ascii="Times New Roman" w:hAnsi="Times New Roman"/>
                <w:sz w:val="20"/>
              </w:rPr>
              <w:t>Данные требования применяются к структуре активов фонда до даты возникновения основания прекращения фонда.</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а) ценная бумага включена в котировальные списки «А» или «Б» российской Фондовой биржи;</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б) объем торгов по ценной бумаге за предыдущий календарный месяц на одной из иностранных фондовых бирж, указанных в пункте 22.2.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 xml:space="preserve">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w:t>
            </w:r>
            <w:r w:rsidRPr="00425311">
              <w:rPr>
                <w:rFonts w:ascii="Times New Roman" w:hAnsi="Times New Roman"/>
                <w:sz w:val="20"/>
              </w:rPr>
              <w:lastRenderedPageBreak/>
              <w:t>соответствующего требования;</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23.2.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20 процентов стоимости активов фонда.</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7C74F1" w:rsidRPr="00425311" w:rsidRDefault="007C74F1" w:rsidP="00425311">
            <w:pPr>
              <w:autoSpaceDE w:val="0"/>
              <w:autoSpaceDN w:val="0"/>
              <w:adjustRightInd w:val="0"/>
              <w:spacing w:line="240" w:lineRule="auto"/>
              <w:rPr>
                <w:rFonts w:ascii="Times New Roman" w:hAnsi="Times New Roman"/>
                <w:sz w:val="20"/>
              </w:rPr>
            </w:pPr>
            <w:r w:rsidRPr="00425311">
              <w:rPr>
                <w:rFonts w:ascii="Times New Roman" w:hAnsi="Times New Roman"/>
                <w:sz w:val="20"/>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w:t>
            </w:r>
            <w:r w:rsidRPr="00425311">
              <w:rPr>
                <w:rFonts w:ascii="Times New Roman" w:hAnsi="Times New Roman"/>
                <w:sz w:val="20"/>
              </w:rPr>
              <w:lastRenderedPageBreak/>
              <w:t xml:space="preserve">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w:t>
            </w:r>
          </w:p>
          <w:p w:rsidR="007C74F1" w:rsidRPr="00425311" w:rsidRDefault="007C74F1" w:rsidP="00425311">
            <w:pPr>
              <w:autoSpaceDE w:val="0"/>
              <w:autoSpaceDN w:val="0"/>
              <w:adjustRightInd w:val="0"/>
              <w:spacing w:line="240" w:lineRule="auto"/>
              <w:ind w:firstLine="567"/>
              <w:rPr>
                <w:rFonts w:ascii="Times New Roman" w:hAnsi="Times New Roman"/>
                <w:sz w:val="20"/>
              </w:rPr>
            </w:pPr>
            <w:r w:rsidRPr="00425311">
              <w:rPr>
                <w:rFonts w:ascii="Times New Roman" w:hAnsi="Times New Roman"/>
                <w:sz w:val="20"/>
              </w:rPr>
              <w:t>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745995"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c>
          <w:tcPr>
            <w:tcW w:w="4785" w:type="dxa"/>
          </w:tcPr>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lastRenderedPageBreak/>
              <w:t>23. Структура активов фонда.</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23.1. Структура активов фонда должна одновременно соответствовать следующим требованиям:</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745995" w:rsidRPr="00425311" w:rsidRDefault="001653E9" w:rsidP="00425311">
            <w:pPr>
              <w:spacing w:line="240" w:lineRule="auto"/>
              <w:ind w:firstLine="510"/>
              <w:rPr>
                <w:rFonts w:ascii="Times New Roman" w:hAnsi="Times New Roman"/>
                <w:sz w:val="20"/>
              </w:rPr>
            </w:pPr>
            <w:r w:rsidRPr="00425311">
              <w:rPr>
                <w:rFonts w:ascii="Times New Roman" w:hAnsi="Times New Roman"/>
                <w:sz w:val="20"/>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фонда (ипотечного покрытия). Если </w:t>
            </w:r>
            <w:r w:rsidRPr="00425311">
              <w:rPr>
                <w:rFonts w:ascii="Times New Roman" w:hAnsi="Times New Roman"/>
                <w:sz w:val="20"/>
              </w:rPr>
              <w:lastRenderedPageBreak/>
              <w:t>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r w:rsidR="00745995" w:rsidRPr="00425311">
              <w:rPr>
                <w:rFonts w:ascii="Times New Roman" w:hAnsi="Times New Roman"/>
                <w:sz w:val="20"/>
              </w:rPr>
              <w:t xml:space="preserve">. </w:t>
            </w:r>
          </w:p>
          <w:p w:rsidR="00745995" w:rsidRPr="00425311" w:rsidRDefault="00425311" w:rsidP="00425311">
            <w:pPr>
              <w:spacing w:line="240" w:lineRule="auto"/>
              <w:ind w:firstLine="510"/>
              <w:rPr>
                <w:rFonts w:ascii="Times New Roman" w:hAnsi="Times New Roman"/>
                <w:sz w:val="20"/>
              </w:rPr>
            </w:pPr>
            <w:r w:rsidRPr="00425311">
              <w:rPr>
                <w:rFonts w:ascii="Times New Roman" w:hAnsi="Times New Roman"/>
                <w:sz w:val="20"/>
              </w:rPr>
              <w:t>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745995" w:rsidRPr="00425311">
              <w:rPr>
                <w:rFonts w:ascii="Times New Roman" w:hAnsi="Times New Roman"/>
                <w:sz w:val="20"/>
              </w:rPr>
              <w:t xml:space="preserve">.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29.11.2001 № 156-ФЗ «Об инвестиционных фондах» (далее – Федеральный закон «Об инвестиционных фондах»), в совокупности не должны превышать 40 процентов </w:t>
            </w:r>
            <w:r w:rsidRPr="00425311">
              <w:rPr>
                <w:rFonts w:ascii="Times New Roman" w:hAnsi="Times New Roman"/>
                <w:sz w:val="20"/>
              </w:rPr>
              <w:lastRenderedPageBreak/>
              <w:t xml:space="preserve">стоимости чистых активов фонда.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семь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Для целей настоящего подпункта производные финансовые инструменты учитываются в объеме открытой позиции, скорректированной по результатам клиринга.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22.04.1996 № 39-ФЗ «О рынке ценных бумаг», при условии, что предметом договора репо могут быть только активы, включаемые в состав фонда в соответствии с настоящими Правилами.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При определении структуры активов фонда учитываются активы, принятые к расчету стоимости чистых активов фонда (с учетом требований, установленных абзацем четвертым настоящего подпункта).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2)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1. S&amp;P/ASX-200 (Австралия).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2. ATX (Австрия).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lastRenderedPageBreak/>
              <w:t xml:space="preserve">3. BEL20 (Бельгия).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4. Ibovespa (Бразилия).</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5. Budapest SE (Венгрия).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6. FTSE 100 (Великобритания).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7. Hang Seng (Гонконг).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8. DAX (Германия).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9. OMX Copenhagen 20 (Дания).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10. TA 25 (</w:t>
            </w:r>
            <w:r w:rsidRPr="00425311">
              <w:rPr>
                <w:rFonts w:ascii="Times New Roman" w:hAnsi="Times New Roman"/>
                <w:sz w:val="20"/>
              </w:rPr>
              <w:t>Израиль</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11. BSE Sensex (</w:t>
            </w:r>
            <w:r w:rsidRPr="00425311">
              <w:rPr>
                <w:rFonts w:ascii="Times New Roman" w:hAnsi="Times New Roman"/>
                <w:sz w:val="20"/>
              </w:rPr>
              <w:t>Индия</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12. ISEQ 20 (</w:t>
            </w:r>
            <w:r w:rsidRPr="00425311">
              <w:rPr>
                <w:rFonts w:ascii="Times New Roman" w:hAnsi="Times New Roman"/>
                <w:sz w:val="20"/>
              </w:rPr>
              <w:t>Ирландия</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13. ICEX (</w:t>
            </w:r>
            <w:r w:rsidRPr="00425311">
              <w:rPr>
                <w:rFonts w:ascii="Times New Roman" w:hAnsi="Times New Roman"/>
                <w:sz w:val="20"/>
              </w:rPr>
              <w:t>Исландия</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14. IBEX 35 (</w:t>
            </w:r>
            <w:r w:rsidRPr="00425311">
              <w:rPr>
                <w:rFonts w:ascii="Times New Roman" w:hAnsi="Times New Roman"/>
                <w:sz w:val="20"/>
              </w:rPr>
              <w:t>Испания</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15. FTSE MIB (</w:t>
            </w:r>
            <w:r w:rsidRPr="00425311">
              <w:rPr>
                <w:rFonts w:ascii="Times New Roman" w:hAnsi="Times New Roman"/>
                <w:sz w:val="20"/>
              </w:rPr>
              <w:t>Италия</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16. S&amp;P/TSX (</w:t>
            </w:r>
            <w:r w:rsidRPr="00425311">
              <w:rPr>
                <w:rFonts w:ascii="Times New Roman" w:hAnsi="Times New Roman"/>
                <w:sz w:val="20"/>
              </w:rPr>
              <w:t>Канада</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17. SSE Composite Index (</w:t>
            </w:r>
            <w:r w:rsidRPr="00425311">
              <w:rPr>
                <w:rFonts w:ascii="Times New Roman" w:hAnsi="Times New Roman"/>
                <w:sz w:val="20"/>
              </w:rPr>
              <w:t>Китай</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18. LuxX Index (</w:t>
            </w:r>
            <w:r w:rsidRPr="00425311">
              <w:rPr>
                <w:rFonts w:ascii="Times New Roman" w:hAnsi="Times New Roman"/>
                <w:sz w:val="20"/>
              </w:rPr>
              <w:t>Люксембург</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19. IPC (</w:t>
            </w:r>
            <w:r w:rsidRPr="00425311">
              <w:rPr>
                <w:rFonts w:ascii="Times New Roman" w:hAnsi="Times New Roman"/>
                <w:sz w:val="20"/>
              </w:rPr>
              <w:t>Мексика</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20. AEX Index (</w:t>
            </w:r>
            <w:r w:rsidRPr="00425311">
              <w:rPr>
                <w:rFonts w:ascii="Times New Roman" w:hAnsi="Times New Roman"/>
                <w:sz w:val="20"/>
              </w:rPr>
              <w:t>Нидерланды</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21. DJ New Zealand (</w:t>
            </w:r>
            <w:r w:rsidRPr="00425311">
              <w:rPr>
                <w:rFonts w:ascii="Times New Roman" w:hAnsi="Times New Roman"/>
                <w:sz w:val="20"/>
              </w:rPr>
              <w:t>Новая</w:t>
            </w:r>
            <w:r w:rsidRPr="00425311">
              <w:rPr>
                <w:rFonts w:ascii="Times New Roman" w:hAnsi="Times New Roman"/>
                <w:sz w:val="20"/>
                <w:lang w:val="en-US"/>
              </w:rPr>
              <w:t xml:space="preserve"> </w:t>
            </w:r>
            <w:r w:rsidRPr="00425311">
              <w:rPr>
                <w:rFonts w:ascii="Times New Roman" w:hAnsi="Times New Roman"/>
                <w:sz w:val="20"/>
              </w:rPr>
              <w:t>Зеландия</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22. OBX (</w:t>
            </w:r>
            <w:r w:rsidRPr="00425311">
              <w:rPr>
                <w:rFonts w:ascii="Times New Roman" w:hAnsi="Times New Roman"/>
                <w:sz w:val="20"/>
              </w:rPr>
              <w:t>Норвегия</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23. WIG (</w:t>
            </w:r>
            <w:r w:rsidRPr="00425311">
              <w:rPr>
                <w:rFonts w:ascii="Times New Roman" w:hAnsi="Times New Roman"/>
                <w:sz w:val="20"/>
              </w:rPr>
              <w:t>Польша</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24. PSI 20 (</w:t>
            </w:r>
            <w:r w:rsidRPr="00425311">
              <w:rPr>
                <w:rFonts w:ascii="Times New Roman" w:hAnsi="Times New Roman"/>
                <w:sz w:val="20"/>
              </w:rPr>
              <w:t>Португалия</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25. ММВБ (Россия).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26. РТС (Россия).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27. SAX (Словакия).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28. Blue-Chip SBITOP (</w:t>
            </w:r>
            <w:r w:rsidRPr="00425311">
              <w:rPr>
                <w:rFonts w:ascii="Times New Roman" w:hAnsi="Times New Roman"/>
                <w:sz w:val="20"/>
              </w:rPr>
              <w:t>Словения</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29. Dow Jones (</w:t>
            </w:r>
            <w:r w:rsidRPr="00425311">
              <w:rPr>
                <w:rFonts w:ascii="Times New Roman" w:hAnsi="Times New Roman"/>
                <w:sz w:val="20"/>
              </w:rPr>
              <w:t>США</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30. S&amp;P 500 (</w:t>
            </w:r>
            <w:r w:rsidRPr="00425311">
              <w:rPr>
                <w:rFonts w:ascii="Times New Roman" w:hAnsi="Times New Roman"/>
                <w:sz w:val="20"/>
              </w:rPr>
              <w:t>США</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31. BIST 100 (</w:t>
            </w:r>
            <w:r w:rsidRPr="00425311">
              <w:rPr>
                <w:rFonts w:ascii="Times New Roman" w:hAnsi="Times New Roman"/>
                <w:sz w:val="20"/>
              </w:rPr>
              <w:t>Турция</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32. OMX Helsinki 25 (</w:t>
            </w:r>
            <w:r w:rsidRPr="00425311">
              <w:rPr>
                <w:rFonts w:ascii="Times New Roman" w:hAnsi="Times New Roman"/>
                <w:sz w:val="20"/>
              </w:rPr>
              <w:t>Финляндия</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33. CAC 40 (Франция).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34. PX Index (Чешская республика).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35. IPSA (Чили).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36. SMI (Швейцария).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37. </w:t>
            </w:r>
            <w:r w:rsidRPr="00425311">
              <w:rPr>
                <w:rFonts w:ascii="Times New Roman" w:hAnsi="Times New Roman"/>
                <w:sz w:val="20"/>
                <w:lang w:val="en-US"/>
              </w:rPr>
              <w:t>OMXS</w:t>
            </w:r>
            <w:r w:rsidRPr="00425311">
              <w:rPr>
                <w:rFonts w:ascii="Times New Roman" w:hAnsi="Times New Roman"/>
                <w:sz w:val="20"/>
              </w:rPr>
              <w:t xml:space="preserve">30 (Швеция).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38. Tallinn SE General (</w:t>
            </w:r>
            <w:r w:rsidRPr="00425311">
              <w:rPr>
                <w:rFonts w:ascii="Times New Roman" w:hAnsi="Times New Roman"/>
                <w:sz w:val="20"/>
              </w:rPr>
              <w:t>Эстония</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39. FTSE/JSE Top40 (</w:t>
            </w:r>
            <w:r w:rsidRPr="00425311">
              <w:rPr>
                <w:rFonts w:ascii="Times New Roman" w:hAnsi="Times New Roman"/>
                <w:sz w:val="20"/>
              </w:rPr>
              <w:t>ЮАР</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40. KOSPI (</w:t>
            </w:r>
            <w:r w:rsidRPr="00425311">
              <w:rPr>
                <w:rFonts w:ascii="Times New Roman" w:hAnsi="Times New Roman"/>
                <w:sz w:val="20"/>
              </w:rPr>
              <w:t>Южная</w:t>
            </w:r>
            <w:r w:rsidRPr="00425311">
              <w:rPr>
                <w:rFonts w:ascii="Times New Roman" w:hAnsi="Times New Roman"/>
                <w:sz w:val="20"/>
                <w:lang w:val="en-US"/>
              </w:rPr>
              <w:t xml:space="preserve"> </w:t>
            </w:r>
            <w:r w:rsidRPr="00425311">
              <w:rPr>
                <w:rFonts w:ascii="Times New Roman" w:hAnsi="Times New Roman"/>
                <w:sz w:val="20"/>
              </w:rPr>
              <w:t>Корея</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lang w:val="en-US"/>
              </w:rPr>
            </w:pPr>
            <w:r w:rsidRPr="00425311">
              <w:rPr>
                <w:rFonts w:ascii="Times New Roman" w:hAnsi="Times New Roman"/>
                <w:sz w:val="20"/>
                <w:lang w:val="en-US"/>
              </w:rPr>
              <w:t>41. Nikkei 225 (</w:t>
            </w:r>
            <w:r w:rsidRPr="00425311">
              <w:rPr>
                <w:rFonts w:ascii="Times New Roman" w:hAnsi="Times New Roman"/>
                <w:sz w:val="20"/>
              </w:rPr>
              <w:t>Япония</w:t>
            </w:r>
            <w:r w:rsidRPr="00425311">
              <w:rPr>
                <w:rFonts w:ascii="Times New Roman" w:hAnsi="Times New Roman"/>
                <w:sz w:val="20"/>
                <w:lang w:val="en-US"/>
              </w:rPr>
              <w:t xml:space="preserve">)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от стоимости чистых активов фонда в совокупности должна превышать большую из следующих величин: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 пять процентов;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 </w:t>
            </w:r>
            <w:r w:rsidR="00425311" w:rsidRPr="00425311">
              <w:rPr>
                <w:rFonts w:ascii="Times New Roman" w:hAnsi="Times New Roman"/>
                <w:sz w:val="20"/>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r w:rsidRPr="00425311">
              <w:rPr>
                <w:rFonts w:ascii="Times New Roman" w:hAnsi="Times New Roman"/>
                <w:sz w:val="20"/>
              </w:rPr>
              <w:t xml:space="preserve">.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Для целей настоящего подпункта учитываются </w:t>
            </w:r>
            <w:r w:rsidRPr="00425311">
              <w:rPr>
                <w:rFonts w:ascii="Times New Roman" w:hAnsi="Times New Roman"/>
                <w:sz w:val="20"/>
              </w:rPr>
              <w:lastRenderedPageBreak/>
              <w:t xml:space="preserve">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Требования настоящего пункта применяются до даты возникновения основания прекращения фонда. </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 xml:space="preserve">3) В случае включения в состав активов фонда производных финансовых инструментов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направленных на ограничение рисков. </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xml:space="preserve">Если базовым активом указанных фьючерсных и опционных договоров (контрактов) является </w:t>
            </w:r>
            <w:r w:rsidRPr="00425311">
              <w:rPr>
                <w:rFonts w:ascii="Times New Roman" w:hAnsi="Times New Roman"/>
                <w:sz w:val="20"/>
              </w:rPr>
              <w:lastRenderedPageBreak/>
              <w:t>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r>
      <w:tr w:rsidR="00745995" w:rsidRPr="00425311" w:rsidTr="001C05A4">
        <w:tc>
          <w:tcPr>
            <w:tcW w:w="4785" w:type="dxa"/>
          </w:tcPr>
          <w:p w:rsidR="007C74F1" w:rsidRPr="00425311" w:rsidRDefault="007C74F1" w:rsidP="00425311">
            <w:pPr>
              <w:autoSpaceDE w:val="0"/>
              <w:autoSpaceDN w:val="0"/>
              <w:adjustRightInd w:val="0"/>
              <w:spacing w:line="240" w:lineRule="auto"/>
              <w:ind w:firstLine="539"/>
              <w:rPr>
                <w:rFonts w:ascii="Times New Roman" w:hAnsi="Times New Roman"/>
                <w:sz w:val="20"/>
              </w:rPr>
            </w:pPr>
            <w:r w:rsidRPr="00425311">
              <w:rPr>
                <w:rFonts w:ascii="Times New Roman" w:hAnsi="Times New Roman"/>
                <w:sz w:val="20"/>
              </w:rPr>
              <w:lastRenderedPageBreak/>
              <w:t>64. При подаче физическими или юридическими лицами (за исключением доверительного управляющего) заявки на приобретение инвестиционных паев в управляющую компанию надбавка, на которую увеличивается расчетная стоимость пая, составляет:</w:t>
            </w:r>
          </w:p>
          <w:p w:rsidR="007C74F1" w:rsidRPr="00425311" w:rsidRDefault="007C74F1" w:rsidP="00425311">
            <w:pPr>
              <w:autoSpaceDE w:val="0"/>
              <w:autoSpaceDN w:val="0"/>
              <w:adjustRightInd w:val="0"/>
              <w:spacing w:line="240" w:lineRule="auto"/>
              <w:ind w:firstLine="539"/>
              <w:rPr>
                <w:rFonts w:ascii="Times New Roman" w:hAnsi="Times New Roman"/>
                <w:sz w:val="20"/>
              </w:rPr>
            </w:pPr>
            <w:r w:rsidRPr="00425311">
              <w:rPr>
                <w:rFonts w:ascii="Times New Roman" w:hAnsi="Times New Roman"/>
                <w:sz w:val="20"/>
              </w:rPr>
              <w:t>0,5% (Ноль целых пять десятых процента) от расчетной стоимости одного инвестиционного пая при перечислении в оплату инвестиционных паев денежных средств в размере 3 000 000 (Три миллиона) рублей и менее;</w:t>
            </w:r>
          </w:p>
          <w:p w:rsidR="007C74F1" w:rsidRPr="00425311" w:rsidRDefault="007C74F1" w:rsidP="00425311">
            <w:pPr>
              <w:autoSpaceDE w:val="0"/>
              <w:autoSpaceDN w:val="0"/>
              <w:adjustRightInd w:val="0"/>
              <w:spacing w:line="240" w:lineRule="auto"/>
              <w:ind w:firstLine="539"/>
              <w:rPr>
                <w:rFonts w:ascii="Times New Roman" w:hAnsi="Times New Roman"/>
                <w:sz w:val="20"/>
              </w:rPr>
            </w:pPr>
            <w:r w:rsidRPr="00425311">
              <w:rPr>
                <w:rFonts w:ascii="Times New Roman" w:hAnsi="Times New Roman"/>
                <w:sz w:val="20"/>
              </w:rPr>
              <w:t>0% (Ноль процентов) при перечислении в оплату инвестиционных паев денежных средств в размере более 3 000 000 (Трех миллионов) рублей.</w:t>
            </w:r>
          </w:p>
          <w:p w:rsidR="007C74F1" w:rsidRPr="00425311" w:rsidRDefault="007C74F1" w:rsidP="00425311">
            <w:pPr>
              <w:autoSpaceDE w:val="0"/>
              <w:autoSpaceDN w:val="0"/>
              <w:adjustRightInd w:val="0"/>
              <w:spacing w:line="240" w:lineRule="auto"/>
              <w:ind w:firstLine="539"/>
              <w:rPr>
                <w:rFonts w:ascii="Times New Roman" w:hAnsi="Times New Roman"/>
                <w:sz w:val="20"/>
              </w:rPr>
            </w:pPr>
            <w:r w:rsidRPr="00425311">
              <w:rPr>
                <w:rFonts w:ascii="Times New Roman" w:hAnsi="Times New Roman"/>
                <w:sz w:val="20"/>
              </w:rPr>
              <w:t>При подаче физическими или юридическими лицами (за исключением доверительного управляющего) заявки на приобретение инвестиционных паев агенту надбавка, на которую увеличивается расчетная стоимость пая, составляет:</w:t>
            </w:r>
          </w:p>
          <w:p w:rsidR="007C74F1" w:rsidRPr="00425311" w:rsidRDefault="007C74F1" w:rsidP="00425311">
            <w:pPr>
              <w:autoSpaceDE w:val="0"/>
              <w:autoSpaceDN w:val="0"/>
              <w:adjustRightInd w:val="0"/>
              <w:spacing w:line="240" w:lineRule="auto"/>
              <w:ind w:firstLine="539"/>
              <w:rPr>
                <w:rFonts w:ascii="Times New Roman" w:hAnsi="Times New Roman"/>
                <w:sz w:val="20"/>
              </w:rPr>
            </w:pPr>
            <w:r w:rsidRPr="00425311">
              <w:rPr>
                <w:rFonts w:ascii="Times New Roman" w:hAnsi="Times New Roman"/>
                <w:sz w:val="20"/>
              </w:rPr>
              <w:t>0,5% (Ноль целых пять десятых процента) от расчетной стоимости одного инвестиционного пая;</w:t>
            </w:r>
          </w:p>
          <w:p w:rsidR="007C74F1" w:rsidRPr="00425311" w:rsidRDefault="007C74F1" w:rsidP="00425311">
            <w:pPr>
              <w:autoSpaceDE w:val="0"/>
              <w:autoSpaceDN w:val="0"/>
              <w:adjustRightInd w:val="0"/>
              <w:spacing w:line="240" w:lineRule="auto"/>
              <w:ind w:firstLine="539"/>
              <w:rPr>
                <w:rFonts w:ascii="Times New Roman" w:hAnsi="Times New Roman"/>
                <w:sz w:val="20"/>
              </w:rPr>
            </w:pPr>
            <w:r w:rsidRPr="00425311">
              <w:rPr>
                <w:rFonts w:ascii="Times New Roman" w:hAnsi="Times New Roman"/>
                <w:sz w:val="20"/>
              </w:rPr>
              <w:t>0% (Ноль процентов) от расчетной стоимости одного инвестиционного пая при перечислении юридическим лицом (за исключением доверительного управляющего) в оплату инвестиционных паев денежных средств в размере более 3 000 000 (Трех миллионов) рублей.</w:t>
            </w:r>
          </w:p>
          <w:p w:rsidR="00745995"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При подаче в управляющую компанию или агенту заявки на приобретение инвестиционных паев доверительным управляющим надбавка к расчетной стоимости инвестиционного пая не взимается.</w:t>
            </w:r>
          </w:p>
        </w:tc>
        <w:tc>
          <w:tcPr>
            <w:tcW w:w="4785" w:type="dxa"/>
          </w:tcPr>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64. При подаче физическими или юридическими лицами (за исключением доверительного управляющего) заявки на приобретение инвестиционных паев в управляющую компанию надбавка, на которую увеличивается расчетная стоимость пая, составляет:</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- 0,5% (Ноль целых пять десятых процента) от расчетной стоимости одного инвестиционного пая при перечислении в оплату инвестиционных паев денежных средств в размере до 3 000 000 (Трех миллионов) рублей;</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 (Ноль процентов) при перечислении в оплату инвестиционных паев денежных средств в размере 3 000 000 (Три миллиона) рублей и более.</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При подаче физическими или юридическими лицами (за исключением доверительного управляющего) заявки на приобретение инвестиционных паев агенту надбавка, на которую увеличивается расчетная стоимость пая, составляет:</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- 0,5% (Ноль целых пять десятых процента) от расчетной стоимости одного инвестиционного пая при перечислении в оплату инвестиционных паев денежных средств в размере до 3 000 000 (Трех миллионов) рублей;</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 (Ноль процентов) при перечислении в оплату инвестиционных паев денежных средств в размере 3 000 000 (Три миллиона) рублей и более.</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При подаче в управляющую компанию или агенту заявки на приобретение инвестиционных паев доверительным управляющим надбавка к расчетной стоимости инвестиционного пая не взимается.</w:t>
            </w:r>
          </w:p>
        </w:tc>
      </w:tr>
      <w:tr w:rsidR="00745995" w:rsidRPr="00425311" w:rsidTr="001C05A4">
        <w:tc>
          <w:tcPr>
            <w:tcW w:w="4785" w:type="dxa"/>
          </w:tcPr>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77. При подаче заявки на погашение инвестиционных паев в управляющую компанию скидка, на которую уменьшается расчетная стоимость инвестиционного пая, составляет:</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i/>
                <w:sz w:val="20"/>
                <w:u w:val="single"/>
              </w:rPr>
              <w:t>При погашении физическими лицами инвестиционных паев на сумму менее 3 000 000 (Трех миллионов) рублей</w:t>
            </w:r>
            <w:r w:rsidRPr="00425311">
              <w:rPr>
                <w:rFonts w:ascii="Times New Roman" w:hAnsi="Times New Roman"/>
                <w:sz w:val="20"/>
              </w:rPr>
              <w:t>:</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xml:space="preserve">- 0,5% (Ноль целых пять десятых процента) от </w:t>
            </w:r>
            <w:r w:rsidRPr="00425311">
              <w:rPr>
                <w:rFonts w:ascii="Times New Roman" w:hAnsi="Times New Roman"/>
                <w:sz w:val="20"/>
              </w:rPr>
              <w:lastRenderedPageBreak/>
              <w:t>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i/>
                <w:sz w:val="20"/>
                <w:u w:val="single"/>
              </w:rPr>
              <w:t>При погашении физическими лицами инвестиционных паев на сумму более 3 000 000 (Трех миллионов) рублей:</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425311">
              <w:rPr>
                <w:rFonts w:ascii="Times New Roman" w:hAnsi="Times New Roman"/>
                <w:sz w:val="20"/>
              </w:rPr>
              <w:t>:</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более 3 000 000 (Трех миллионов) рублей:</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 (Ноль процентов) от расчетной стоимости одного инвестиционного пая.</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При подаче заявки на погашение инвестиционных паев агенту скидка, на которую уменьшается расчетная стоимость инвестиционного пая, составляет:</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i/>
                <w:sz w:val="20"/>
                <w:u w:val="single"/>
              </w:rPr>
              <w:t>При погашении физическими лицами инвестиционных паев</w:t>
            </w:r>
            <w:r w:rsidRPr="00425311">
              <w:rPr>
                <w:rFonts w:ascii="Times New Roman" w:hAnsi="Times New Roman"/>
                <w:sz w:val="20"/>
              </w:rPr>
              <w:t>:</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lastRenderedPageBreak/>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425311">
              <w:rPr>
                <w:rFonts w:ascii="Times New Roman" w:hAnsi="Times New Roman"/>
                <w:sz w:val="20"/>
              </w:rPr>
              <w:t>:</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7C74F1"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более 3 000 000 (Трех миллионов) рублей:</w:t>
            </w:r>
          </w:p>
          <w:p w:rsidR="00745995"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 (Ноль процентов) от расчетной стоимости одного инвестиционного пая.</w:t>
            </w:r>
          </w:p>
          <w:p w:rsidR="008D6FD9" w:rsidRPr="00425311" w:rsidRDefault="008D6FD9"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При подаче заявок на погашение номинальными держателями или доверительными управляющими скидка не взимается.</w:t>
            </w:r>
          </w:p>
          <w:p w:rsidR="008D6FD9" w:rsidRPr="00425311" w:rsidRDefault="008D6FD9" w:rsidP="00425311">
            <w:pPr>
              <w:widowControl w:val="0"/>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Период владения, предусмотренный настоящим пунктом правил, рассчитывается со дня внесения приходной записи по лицевому счету, открытому в реестре владельцев инвестиционных паев фонда включительно, при этом определение инвестиционных паев в отношении которых подана заявка на погашение производится с применением хронологического порядка их зачисления на лицевой счет, с которого, согласно принятой заявке, осуществляется погашение инвестиционных паев фонда.</w:t>
            </w:r>
          </w:p>
          <w:p w:rsidR="008D6FD9" w:rsidRPr="00425311" w:rsidRDefault="008D6FD9"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В случае если инвестиционные паи в отношении которых подана заявка на погашение были получены в результате обмена инвестиционных паев другого паевого инвестиционного фонда, находящегося (находившегося) под управлением управляющей компании, срок владения инвестиционными паями такого паевого инвестиционного фонда засчитывается при расчете периода владения в целях применения скидок согласно условиям настоящего пункта.</w:t>
            </w:r>
          </w:p>
        </w:tc>
        <w:tc>
          <w:tcPr>
            <w:tcW w:w="4785" w:type="dxa"/>
          </w:tcPr>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lastRenderedPageBreak/>
              <w:t>77. При подаче заявки на погашение инвестиционных паев в управляющую компанию скидка, на которую уменьшается расчетная стоимость инвестиционного пая, составляет:</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i/>
                <w:sz w:val="20"/>
                <w:u w:val="single"/>
              </w:rPr>
              <w:t>При погашении физическими лицами инвестиционных паев на сумму менее 3 000 000 (Трех миллионов) рублей</w:t>
            </w:r>
            <w:r w:rsidRPr="00425311">
              <w:rPr>
                <w:rFonts w:ascii="Times New Roman" w:hAnsi="Times New Roman"/>
                <w:sz w:val="20"/>
              </w:rPr>
              <w:t>:</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xml:space="preserve">- 1,5%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 и учитывались в течение указанного срока на лицевом счете в реестре </w:t>
            </w:r>
            <w:r w:rsidRPr="00425311">
              <w:rPr>
                <w:rFonts w:ascii="Times New Roman" w:hAnsi="Times New Roman"/>
                <w:sz w:val="20"/>
              </w:rPr>
              <w:lastRenderedPageBreak/>
              <w:t>владельцев инвестиционных паев;</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 и учитывались в течение указанного срока на лицевом счете в реестре владельцев инвестиционных паев;</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i/>
                <w:sz w:val="20"/>
                <w:u w:val="single"/>
              </w:rPr>
              <w:t>При погашении физическими лицами инвестиционных паев на сумму 3 000 000 (Три миллиона) рублей и более:</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425311">
              <w:rPr>
                <w:rFonts w:ascii="Times New Roman" w:hAnsi="Times New Roman"/>
                <w:sz w:val="20"/>
              </w:rPr>
              <w:t>:</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 и учитывались в течение указанного срока на лицевом счете в реестре владельцев инвестиционных паев;</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 и учитывались в течение указанного срока на лицевом счете в реестре владельцев инвестиционных паев;</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3 000 000 (Три миллиона) рублей и более:</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 (Ноль процентов) от расчетной стоимости одного инвестиционного пая.</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xml:space="preserve">При подаче заявки на погашение </w:t>
            </w:r>
            <w:r w:rsidRPr="00425311">
              <w:rPr>
                <w:rFonts w:ascii="Times New Roman" w:hAnsi="Times New Roman"/>
                <w:sz w:val="20"/>
              </w:rPr>
              <w:lastRenderedPageBreak/>
              <w:t>инвестиционных паев агенту скидка, на которую уменьшается расчетная стоимость инвестиционного пая, составляет:</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i/>
                <w:sz w:val="20"/>
                <w:u w:val="single"/>
              </w:rPr>
              <w:t>При погашении физическими лицами инвестиционных паев</w:t>
            </w:r>
            <w:r w:rsidRPr="00425311">
              <w:rPr>
                <w:rFonts w:ascii="Times New Roman" w:hAnsi="Times New Roman"/>
                <w:sz w:val="20"/>
              </w:rPr>
              <w:t>:</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 и учитывались в течение указанного срока на лицевом счете в реестре владельцев инвестиционных паев;</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 и учитывались в течение указанного срока на лицевом счете в реестре владельцев инвестиционных паев;</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425311">
              <w:rPr>
                <w:rFonts w:ascii="Times New Roman" w:hAnsi="Times New Roman"/>
                <w:sz w:val="20"/>
              </w:rPr>
              <w:t>:</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 и учитывались в течение указанного срока на лицевом счете в реестре владельцев инвестиционных паев;</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 и учитывались в течение указанного срока на лицевом счете в реестре владельцев инвестиционных паев;</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3 000 000 (Три миллиона) рублей и более:</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- 0% (Ноль процентов) от расчетной стоимости одного инвестиционного пая.</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При подаче заявок на погашение управляющей компании или агенту номинальными держателями или доверительными управляющими скидка не взимается.</w:t>
            </w:r>
          </w:p>
          <w:p w:rsidR="00745995" w:rsidRPr="00425311" w:rsidRDefault="00745995" w:rsidP="00425311">
            <w:pPr>
              <w:widowControl w:val="0"/>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 xml:space="preserve">Период владения, предусмотренный настоящим пунктом </w:t>
            </w:r>
            <w:r w:rsidR="00DB5661" w:rsidRPr="00425311">
              <w:rPr>
                <w:rFonts w:ascii="Times New Roman" w:hAnsi="Times New Roman"/>
                <w:sz w:val="20"/>
              </w:rPr>
              <w:t>П</w:t>
            </w:r>
            <w:r w:rsidRPr="00425311">
              <w:rPr>
                <w:rFonts w:ascii="Times New Roman" w:hAnsi="Times New Roman"/>
                <w:sz w:val="20"/>
              </w:rPr>
              <w:t xml:space="preserve">равил, рассчитывается со дня </w:t>
            </w:r>
            <w:r w:rsidRPr="00425311">
              <w:rPr>
                <w:rFonts w:ascii="Times New Roman" w:hAnsi="Times New Roman"/>
                <w:sz w:val="20"/>
              </w:rPr>
              <w:lastRenderedPageBreak/>
              <w:t>внесения приходной записи по лицевому счету, открытому в реестре владельцев инвестиционных паев фонда включительно, при этом определение инвестиционных паев</w:t>
            </w:r>
            <w:r w:rsidR="00DB5661" w:rsidRPr="00425311">
              <w:rPr>
                <w:rFonts w:ascii="Times New Roman" w:hAnsi="Times New Roman"/>
                <w:sz w:val="20"/>
              </w:rPr>
              <w:t>,</w:t>
            </w:r>
            <w:r w:rsidRPr="00425311">
              <w:rPr>
                <w:rFonts w:ascii="Times New Roman" w:hAnsi="Times New Roman"/>
                <w:sz w:val="20"/>
              </w:rPr>
              <w:t xml:space="preserve"> в отношении которых подана заявка на погашение</w:t>
            </w:r>
            <w:r w:rsidR="00DB5661" w:rsidRPr="00425311">
              <w:rPr>
                <w:rFonts w:ascii="Times New Roman" w:hAnsi="Times New Roman"/>
                <w:sz w:val="20"/>
              </w:rPr>
              <w:t>,</w:t>
            </w:r>
            <w:r w:rsidRPr="00425311">
              <w:rPr>
                <w:rFonts w:ascii="Times New Roman" w:hAnsi="Times New Roman"/>
                <w:sz w:val="20"/>
              </w:rPr>
              <w:t xml:space="preserve"> производится с применением хронологического порядка их зачисления на лицевой счет, с которого, согласно принятой заявке, осуществляется погашение инвестиционных паев фонда.</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В случае если инвестиционные паи</w:t>
            </w:r>
            <w:r w:rsidR="00DB5661" w:rsidRPr="00425311">
              <w:rPr>
                <w:rFonts w:ascii="Times New Roman" w:hAnsi="Times New Roman"/>
                <w:sz w:val="20"/>
              </w:rPr>
              <w:t>,</w:t>
            </w:r>
            <w:r w:rsidRPr="00425311">
              <w:rPr>
                <w:rFonts w:ascii="Times New Roman" w:hAnsi="Times New Roman"/>
                <w:sz w:val="20"/>
              </w:rPr>
              <w:t xml:space="preserve"> в отношении которых подана заявка на погашение</w:t>
            </w:r>
            <w:r w:rsidR="00DB5661" w:rsidRPr="00425311">
              <w:rPr>
                <w:rFonts w:ascii="Times New Roman" w:hAnsi="Times New Roman"/>
                <w:sz w:val="20"/>
              </w:rPr>
              <w:t>,</w:t>
            </w:r>
            <w:r w:rsidRPr="00425311">
              <w:rPr>
                <w:rFonts w:ascii="Times New Roman" w:hAnsi="Times New Roman"/>
                <w:sz w:val="20"/>
              </w:rPr>
              <w:t xml:space="preserve"> были получены в результате обмена инвестиционных паев другого паевого инвестиционного фонда, находящегося (находившегося) под управлением управляющей компании, срок владения инвестиционными паями такого паевого инвестиционного фонда засчитывается при расчете периода владения в целях применения скидок согласно условиям настоящего пункта.</w:t>
            </w:r>
          </w:p>
        </w:tc>
      </w:tr>
      <w:tr w:rsidR="00745995" w:rsidRPr="00425311" w:rsidTr="001C05A4">
        <w:tc>
          <w:tcPr>
            <w:tcW w:w="4785" w:type="dxa"/>
          </w:tcPr>
          <w:p w:rsidR="007C74F1" w:rsidRPr="00425311" w:rsidRDefault="007C74F1" w:rsidP="00425311">
            <w:pPr>
              <w:spacing w:line="240" w:lineRule="auto"/>
              <w:ind w:firstLine="567"/>
              <w:rPr>
                <w:rFonts w:ascii="Times New Roman" w:hAnsi="Times New Roman"/>
                <w:sz w:val="20"/>
              </w:rPr>
            </w:pPr>
            <w:r w:rsidRPr="00425311">
              <w:rPr>
                <w:rFonts w:ascii="Times New Roman" w:hAnsi="Times New Roman"/>
                <w:sz w:val="20"/>
              </w:rPr>
              <w:lastRenderedPageBreak/>
              <w:t>83. Инвестиционные паи могут обмениваться на инвестиционные паи:</w:t>
            </w:r>
          </w:p>
          <w:p w:rsidR="007C74F1" w:rsidRPr="00425311" w:rsidRDefault="007C74F1" w:rsidP="00425311">
            <w:pPr>
              <w:spacing w:line="240" w:lineRule="auto"/>
              <w:ind w:firstLine="567"/>
              <w:rPr>
                <w:rFonts w:ascii="Times New Roman" w:hAnsi="Times New Roman"/>
                <w:sz w:val="20"/>
              </w:rPr>
            </w:pPr>
            <w:r w:rsidRPr="00425311">
              <w:rPr>
                <w:rFonts w:ascii="Times New Roman" w:hAnsi="Times New Roman"/>
                <w:sz w:val="20"/>
              </w:rPr>
              <w:t>Открытого паевого инвестиционного фонда смешанных инвестиций «УРАЛСИБ Профессиональный»;</w:t>
            </w:r>
          </w:p>
          <w:p w:rsidR="007C74F1" w:rsidRPr="00425311" w:rsidRDefault="007C74F1" w:rsidP="00425311">
            <w:pPr>
              <w:spacing w:line="240" w:lineRule="auto"/>
              <w:ind w:firstLine="567"/>
              <w:rPr>
                <w:rFonts w:ascii="Times New Roman" w:hAnsi="Times New Roman"/>
                <w:sz w:val="20"/>
              </w:rPr>
            </w:pPr>
            <w:r w:rsidRPr="00425311">
              <w:rPr>
                <w:rFonts w:ascii="Times New Roman" w:hAnsi="Times New Roman"/>
                <w:sz w:val="20"/>
              </w:rPr>
              <w:t>Открытого паевого инвестиционного фонда акций «УРАЛСИБ Первый»;</w:t>
            </w:r>
          </w:p>
          <w:p w:rsidR="007C74F1" w:rsidRPr="00425311" w:rsidRDefault="007C74F1" w:rsidP="00425311">
            <w:pPr>
              <w:spacing w:line="240" w:lineRule="auto"/>
              <w:ind w:firstLine="567"/>
              <w:rPr>
                <w:rFonts w:ascii="Times New Roman" w:hAnsi="Times New Roman"/>
                <w:sz w:val="20"/>
              </w:rPr>
            </w:pPr>
            <w:r w:rsidRPr="00425311">
              <w:rPr>
                <w:rFonts w:ascii="Times New Roman" w:hAnsi="Times New Roman"/>
                <w:sz w:val="20"/>
              </w:rPr>
              <w:t>Открытого паевого инвестиционного фонда акций «УРАЛСИБ Природные ресурсы»;</w:t>
            </w:r>
          </w:p>
          <w:p w:rsidR="007C74F1" w:rsidRPr="00425311" w:rsidRDefault="007C74F1" w:rsidP="00425311">
            <w:pPr>
              <w:spacing w:line="240" w:lineRule="auto"/>
              <w:ind w:firstLine="567"/>
              <w:rPr>
                <w:rFonts w:ascii="Times New Roman" w:hAnsi="Times New Roman"/>
                <w:sz w:val="20"/>
              </w:rPr>
            </w:pPr>
            <w:r w:rsidRPr="00425311">
              <w:rPr>
                <w:rFonts w:ascii="Times New Roman" w:hAnsi="Times New Roman"/>
                <w:sz w:val="20"/>
              </w:rPr>
              <w:t>Открытого паевого инвестиционного фонда акций «УРАЛСИБ Глобальные инновации»;</w:t>
            </w:r>
          </w:p>
          <w:p w:rsidR="007C74F1" w:rsidRPr="00425311" w:rsidRDefault="007C74F1" w:rsidP="00425311">
            <w:pPr>
              <w:spacing w:line="240" w:lineRule="auto"/>
              <w:ind w:firstLine="567"/>
              <w:rPr>
                <w:rFonts w:ascii="Times New Roman" w:hAnsi="Times New Roman"/>
                <w:sz w:val="20"/>
              </w:rPr>
            </w:pPr>
            <w:r w:rsidRPr="00425311">
              <w:rPr>
                <w:rFonts w:ascii="Times New Roman" w:hAnsi="Times New Roman"/>
                <w:sz w:val="20"/>
              </w:rPr>
              <w:t>Открытого паевого инвестиционного фонда акций «УРАЛСИБ</w:t>
            </w:r>
            <w:r w:rsidRPr="00425311" w:rsidDel="00946217">
              <w:rPr>
                <w:rFonts w:ascii="Times New Roman" w:hAnsi="Times New Roman"/>
                <w:sz w:val="20"/>
              </w:rPr>
              <w:t xml:space="preserve"> </w:t>
            </w:r>
            <w:r w:rsidRPr="00425311">
              <w:rPr>
                <w:rFonts w:ascii="Times New Roman" w:hAnsi="Times New Roman"/>
                <w:sz w:val="20"/>
              </w:rPr>
              <w:t>Энергетическая перспектива»;</w:t>
            </w:r>
          </w:p>
          <w:p w:rsidR="007C74F1" w:rsidRPr="00425311" w:rsidRDefault="007C74F1" w:rsidP="00425311">
            <w:pPr>
              <w:spacing w:line="240" w:lineRule="auto"/>
              <w:ind w:firstLine="567"/>
              <w:rPr>
                <w:rFonts w:ascii="Times New Roman" w:hAnsi="Times New Roman"/>
                <w:sz w:val="20"/>
              </w:rPr>
            </w:pPr>
            <w:r w:rsidRPr="00425311">
              <w:rPr>
                <w:rFonts w:ascii="Times New Roman" w:hAnsi="Times New Roman"/>
                <w:sz w:val="20"/>
              </w:rPr>
              <w:t>Открытого паевого инвестиционного фонда облигаций «УРАЛСИБ Еврооблигации»;</w:t>
            </w:r>
          </w:p>
          <w:p w:rsidR="007C74F1" w:rsidRPr="00425311" w:rsidRDefault="007C74F1" w:rsidP="00425311">
            <w:pPr>
              <w:spacing w:line="240" w:lineRule="auto"/>
              <w:ind w:firstLine="567"/>
              <w:rPr>
                <w:rFonts w:ascii="Times New Roman" w:hAnsi="Times New Roman"/>
                <w:sz w:val="20"/>
              </w:rPr>
            </w:pPr>
            <w:r w:rsidRPr="00425311">
              <w:rPr>
                <w:rFonts w:ascii="Times New Roman" w:hAnsi="Times New Roman"/>
                <w:sz w:val="20"/>
              </w:rPr>
              <w:t>Открытого паевого инвестиционного фонда фондов «УРАЛСИБ</w:t>
            </w:r>
            <w:r w:rsidRPr="00425311" w:rsidDel="00946217">
              <w:rPr>
                <w:rFonts w:ascii="Times New Roman" w:hAnsi="Times New Roman"/>
                <w:sz w:val="20"/>
              </w:rPr>
              <w:t xml:space="preserve"> </w:t>
            </w:r>
            <w:r w:rsidRPr="00425311">
              <w:rPr>
                <w:rFonts w:ascii="Times New Roman" w:hAnsi="Times New Roman"/>
                <w:sz w:val="20"/>
              </w:rPr>
              <w:t>Золото»;</w:t>
            </w:r>
          </w:p>
          <w:p w:rsidR="007C74F1" w:rsidRPr="00425311" w:rsidRDefault="007C74F1" w:rsidP="00425311">
            <w:pPr>
              <w:spacing w:line="240" w:lineRule="auto"/>
              <w:ind w:firstLine="567"/>
              <w:rPr>
                <w:rFonts w:ascii="Times New Roman" w:hAnsi="Times New Roman"/>
                <w:sz w:val="20"/>
              </w:rPr>
            </w:pPr>
            <w:r w:rsidRPr="00425311">
              <w:rPr>
                <w:rFonts w:ascii="Times New Roman" w:hAnsi="Times New Roman"/>
                <w:sz w:val="20"/>
              </w:rPr>
              <w:t>Открытого паевого инвестиционного фонда акций «УРАЛСИБ Акции роста»;</w:t>
            </w:r>
          </w:p>
          <w:p w:rsidR="007C74F1" w:rsidRPr="00425311" w:rsidRDefault="007C74F1" w:rsidP="00425311">
            <w:pPr>
              <w:spacing w:line="240" w:lineRule="auto"/>
              <w:ind w:firstLine="567"/>
              <w:rPr>
                <w:rFonts w:ascii="Times New Roman" w:hAnsi="Times New Roman"/>
                <w:sz w:val="20"/>
              </w:rPr>
            </w:pPr>
            <w:r w:rsidRPr="00425311">
              <w:rPr>
                <w:rFonts w:ascii="Times New Roman" w:hAnsi="Times New Roman"/>
                <w:sz w:val="20"/>
              </w:rPr>
              <w:t>Открытого паевого инвестиционного фонда фондов «УРАЛСИБ Акционерные рынки развитых стран»;</w:t>
            </w:r>
          </w:p>
          <w:p w:rsidR="007C74F1" w:rsidRPr="00425311" w:rsidRDefault="007C74F1" w:rsidP="00425311">
            <w:pPr>
              <w:spacing w:line="240" w:lineRule="auto"/>
              <w:ind w:firstLine="567"/>
              <w:rPr>
                <w:rFonts w:ascii="Times New Roman" w:hAnsi="Times New Roman"/>
                <w:sz w:val="20"/>
              </w:rPr>
            </w:pPr>
            <w:r w:rsidRPr="00425311">
              <w:rPr>
                <w:rFonts w:ascii="Times New Roman" w:hAnsi="Times New Roman"/>
                <w:sz w:val="20"/>
              </w:rPr>
              <w:t>Открытого паевого инвестиционного фонда фондов «УРАЛСИБ Долговые рынки развивающихся стран»;</w:t>
            </w:r>
          </w:p>
          <w:p w:rsidR="007C74F1" w:rsidRPr="00425311" w:rsidRDefault="007C74F1" w:rsidP="00425311">
            <w:pPr>
              <w:spacing w:line="240" w:lineRule="auto"/>
              <w:ind w:firstLine="567"/>
              <w:rPr>
                <w:rFonts w:ascii="Times New Roman" w:hAnsi="Times New Roman"/>
                <w:sz w:val="20"/>
              </w:rPr>
            </w:pPr>
            <w:r w:rsidRPr="00425311">
              <w:rPr>
                <w:rFonts w:ascii="Times New Roman" w:hAnsi="Times New Roman"/>
                <w:sz w:val="20"/>
              </w:rPr>
              <w:t>Открытого паевого инвестиционного фонда фондов «УРАЛСИБ Долговые рынки развитых стран»;</w:t>
            </w:r>
          </w:p>
          <w:p w:rsidR="00745995" w:rsidRPr="00425311" w:rsidRDefault="007C74F1"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Открытого паевого инвестиционного фонда фондов «УРАЛСИБ Глобал Реал Эстейт».</w:t>
            </w:r>
          </w:p>
        </w:tc>
        <w:tc>
          <w:tcPr>
            <w:tcW w:w="4785" w:type="dxa"/>
          </w:tcPr>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83. Инвестиционные паи могут обмениваться на инвестиционные паи:</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Открытого паевого инвестиционного фонда рыночных финансовых инструментов «УРАЛСИБ Профессиональный»;</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Открытого паевого инвестиционного фонда рыночных финансовых инструментов «УРАЛСИБ Первый»;</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Открытого паевого инвестиционного фонда рыночных финансовых инструментов «УРАЛСИБ Природные ресурсы»;</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Открытого паевого инвестиционного фонда рыночных финансовых инструментов «УРАЛСИБ Глобальные инновации»;</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Открытого паевого инвестиционного фонда рыночных финансовых инструментов «УРАЛСИБ</w:t>
            </w:r>
            <w:r w:rsidRPr="00425311" w:rsidDel="00946217">
              <w:rPr>
                <w:rFonts w:ascii="Times New Roman" w:hAnsi="Times New Roman"/>
                <w:sz w:val="20"/>
              </w:rPr>
              <w:t xml:space="preserve"> </w:t>
            </w:r>
            <w:r w:rsidRPr="00425311">
              <w:rPr>
                <w:rFonts w:ascii="Times New Roman" w:hAnsi="Times New Roman"/>
                <w:sz w:val="20"/>
              </w:rPr>
              <w:t>Энергетическая перспектива»;</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Открытого паевого инвестиционного фонда рыночных финансовых инструментов «УРАЛСИБ Еврооблигации»;</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Открытого паевого инвестиционного фонда рыночных финансовых инструментов «УРАЛСИБ</w:t>
            </w:r>
            <w:r w:rsidRPr="00425311" w:rsidDel="00946217">
              <w:rPr>
                <w:rFonts w:ascii="Times New Roman" w:hAnsi="Times New Roman"/>
                <w:sz w:val="20"/>
              </w:rPr>
              <w:t xml:space="preserve"> </w:t>
            </w:r>
            <w:r w:rsidRPr="00425311">
              <w:rPr>
                <w:rFonts w:ascii="Times New Roman" w:hAnsi="Times New Roman"/>
                <w:sz w:val="20"/>
              </w:rPr>
              <w:t>Драгоценные металлы»;</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Открытого паевого инвестиционного фонда рыночных финансовых инструментов «УРАЛСИБ Акции роста»;</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Открытого паевого инвестиционного фонда рыночных финансовых инструментов «УРАЛСИБ Глобальные акции»;</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Открытого паевого инвестиционного фонда рыночных финансовых инструментов «УРАЛСИБ Долговые рынки развивающихся стран»;</w:t>
            </w:r>
          </w:p>
          <w:p w:rsidR="00745995" w:rsidRPr="00425311" w:rsidRDefault="00745995" w:rsidP="00425311">
            <w:pPr>
              <w:spacing w:line="240" w:lineRule="auto"/>
              <w:ind w:firstLine="510"/>
              <w:rPr>
                <w:rFonts w:ascii="Times New Roman" w:hAnsi="Times New Roman"/>
                <w:sz w:val="20"/>
              </w:rPr>
            </w:pPr>
            <w:r w:rsidRPr="00425311">
              <w:rPr>
                <w:rFonts w:ascii="Times New Roman" w:hAnsi="Times New Roman"/>
                <w:sz w:val="20"/>
              </w:rPr>
              <w:t>Открытого паевого инвестиционного фонда рыночных финансовых инструментов «УРАЛСИБ Глобальные облигации»;</w:t>
            </w:r>
          </w:p>
          <w:p w:rsidR="00745995" w:rsidRPr="00425311" w:rsidRDefault="00745995" w:rsidP="00425311">
            <w:pPr>
              <w:autoSpaceDE w:val="0"/>
              <w:autoSpaceDN w:val="0"/>
              <w:adjustRightInd w:val="0"/>
              <w:spacing w:line="240" w:lineRule="auto"/>
              <w:ind w:firstLine="510"/>
              <w:rPr>
                <w:rFonts w:ascii="Times New Roman" w:hAnsi="Times New Roman"/>
                <w:sz w:val="20"/>
              </w:rPr>
            </w:pPr>
            <w:r w:rsidRPr="00425311">
              <w:rPr>
                <w:rFonts w:ascii="Times New Roman" w:hAnsi="Times New Roman"/>
                <w:sz w:val="20"/>
              </w:rPr>
              <w:t>Открытого паевого инвестиционного фонда рыночных финансовых инструментов «УРАЛСИБ Зарубежная недвижимость».</w:t>
            </w:r>
          </w:p>
        </w:tc>
      </w:tr>
    </w:tbl>
    <w:p w:rsidR="003B1970" w:rsidRPr="00C85814" w:rsidRDefault="003B1970" w:rsidP="003B1970">
      <w:pPr>
        <w:spacing w:line="240" w:lineRule="auto"/>
        <w:rPr>
          <w:rFonts w:ascii="Times New Roman" w:hAnsi="Times New Roman"/>
          <w:sz w:val="24"/>
          <w:szCs w:val="24"/>
        </w:rPr>
      </w:pPr>
    </w:p>
    <w:p w:rsidR="00082243" w:rsidRPr="00F30ACD" w:rsidRDefault="00082243" w:rsidP="003B1970">
      <w:pPr>
        <w:spacing w:line="240" w:lineRule="auto"/>
        <w:rPr>
          <w:rFonts w:ascii="Times New Roman" w:hAnsi="Times New Roman"/>
          <w:sz w:val="24"/>
          <w:szCs w:val="24"/>
        </w:rPr>
      </w:pPr>
      <w:r w:rsidRPr="00F30ACD">
        <w:rPr>
          <w:rFonts w:ascii="Times New Roman" w:hAnsi="Times New Roman"/>
          <w:sz w:val="24"/>
          <w:szCs w:val="24"/>
        </w:rPr>
        <w:t xml:space="preserve">Генеральный директор </w:t>
      </w:r>
    </w:p>
    <w:p w:rsidR="00850E48" w:rsidRPr="00F30ACD" w:rsidRDefault="00082243" w:rsidP="003B1970">
      <w:pPr>
        <w:spacing w:line="240" w:lineRule="auto"/>
        <w:rPr>
          <w:rFonts w:ascii="Times New Roman" w:hAnsi="Times New Roman"/>
          <w:sz w:val="24"/>
          <w:szCs w:val="24"/>
        </w:rPr>
      </w:pPr>
      <w:r w:rsidRPr="00F30ACD">
        <w:rPr>
          <w:rFonts w:ascii="Times New Roman" w:hAnsi="Times New Roman"/>
          <w:sz w:val="24"/>
          <w:szCs w:val="24"/>
        </w:rPr>
        <w:t xml:space="preserve">АО «УК </w:t>
      </w:r>
      <w:r w:rsidR="00135A48" w:rsidRPr="00F30ACD">
        <w:rPr>
          <w:rFonts w:ascii="Times New Roman" w:hAnsi="Times New Roman"/>
          <w:sz w:val="24"/>
          <w:szCs w:val="24"/>
        </w:rPr>
        <w:t>УРАЛСИБ</w:t>
      </w:r>
      <w:r w:rsidRPr="00F30ACD">
        <w:rPr>
          <w:rFonts w:ascii="Times New Roman" w:hAnsi="Times New Roman"/>
          <w:sz w:val="24"/>
          <w:szCs w:val="24"/>
        </w:rPr>
        <w:t xml:space="preserve">»                   </w:t>
      </w:r>
      <w:r w:rsidR="00E51628" w:rsidRPr="00F30ACD">
        <w:rPr>
          <w:rFonts w:ascii="Times New Roman" w:hAnsi="Times New Roman"/>
          <w:sz w:val="24"/>
          <w:szCs w:val="24"/>
        </w:rPr>
        <w:t xml:space="preserve">         </w:t>
      </w:r>
      <w:r w:rsidRPr="00F30ACD">
        <w:rPr>
          <w:rFonts w:ascii="Times New Roman" w:hAnsi="Times New Roman"/>
          <w:sz w:val="24"/>
          <w:szCs w:val="24"/>
        </w:rPr>
        <w:t xml:space="preserve">                                                              </w:t>
      </w:r>
      <w:r w:rsidR="00E51628" w:rsidRPr="00F30ACD">
        <w:rPr>
          <w:rFonts w:ascii="Times New Roman" w:hAnsi="Times New Roman"/>
          <w:sz w:val="24"/>
          <w:szCs w:val="24"/>
        </w:rPr>
        <w:t>А.</w:t>
      </w:r>
      <w:r w:rsidR="00B90485" w:rsidRPr="00F30ACD">
        <w:rPr>
          <w:rFonts w:ascii="Times New Roman" w:hAnsi="Times New Roman"/>
          <w:sz w:val="24"/>
          <w:szCs w:val="24"/>
        </w:rPr>
        <w:t xml:space="preserve"> </w:t>
      </w:r>
      <w:r w:rsidR="00E51628" w:rsidRPr="00F30ACD">
        <w:rPr>
          <w:rFonts w:ascii="Times New Roman" w:hAnsi="Times New Roman"/>
          <w:sz w:val="24"/>
          <w:szCs w:val="24"/>
        </w:rPr>
        <w:t>М. Успенский</w:t>
      </w:r>
    </w:p>
    <w:sectPr w:rsidR="00850E48" w:rsidRPr="00F30ACD" w:rsidSect="003B1970">
      <w:footerReference w:type="default" r:id="rId8"/>
      <w:pgSz w:w="11906" w:h="16838"/>
      <w:pgMar w:top="1134" w:right="851" w:bottom="1134" w:left="1701" w:header="709"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D01" w:rsidRDefault="00882D01" w:rsidP="00685E5D">
      <w:pPr>
        <w:spacing w:line="240" w:lineRule="auto"/>
      </w:pPr>
      <w:r>
        <w:separator/>
      </w:r>
    </w:p>
  </w:endnote>
  <w:endnote w:type="continuationSeparator" w:id="0">
    <w:p w:rsidR="00882D01" w:rsidRDefault="00882D01" w:rsidP="00685E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76" w:rsidRPr="005A6583" w:rsidRDefault="00582D76">
    <w:pPr>
      <w:pStyle w:val="aa"/>
      <w:jc w:val="right"/>
      <w:rPr>
        <w:sz w:val="16"/>
        <w:szCs w:val="16"/>
      </w:rPr>
    </w:pPr>
    <w:r w:rsidRPr="005A6583">
      <w:rPr>
        <w:sz w:val="16"/>
        <w:szCs w:val="16"/>
      </w:rPr>
      <w:fldChar w:fldCharType="begin"/>
    </w:r>
    <w:r w:rsidRPr="005A6583">
      <w:rPr>
        <w:sz w:val="16"/>
        <w:szCs w:val="16"/>
      </w:rPr>
      <w:instrText>PAGE   \* MERGEFORMAT</w:instrText>
    </w:r>
    <w:r w:rsidRPr="005A6583">
      <w:rPr>
        <w:sz w:val="16"/>
        <w:szCs w:val="16"/>
      </w:rPr>
      <w:fldChar w:fldCharType="separate"/>
    </w:r>
    <w:r w:rsidR="00FE6306">
      <w:rPr>
        <w:noProof/>
        <w:sz w:val="16"/>
        <w:szCs w:val="16"/>
      </w:rPr>
      <w:t>1</w:t>
    </w:r>
    <w:r w:rsidRPr="005A6583">
      <w:rPr>
        <w:sz w:val="16"/>
        <w:szCs w:val="16"/>
      </w:rPr>
      <w:fldChar w:fldCharType="end"/>
    </w:r>
  </w:p>
  <w:p w:rsidR="00582D76" w:rsidRDefault="00582D7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D01" w:rsidRDefault="00882D01" w:rsidP="00685E5D">
      <w:pPr>
        <w:spacing w:line="240" w:lineRule="auto"/>
      </w:pPr>
      <w:r>
        <w:separator/>
      </w:r>
    </w:p>
  </w:footnote>
  <w:footnote w:type="continuationSeparator" w:id="0">
    <w:p w:rsidR="00882D01" w:rsidRDefault="00882D01" w:rsidP="00685E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F4A"/>
    <w:multiLevelType w:val="hybridMultilevel"/>
    <w:tmpl w:val="1D72208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07D479A6"/>
    <w:multiLevelType w:val="hybridMultilevel"/>
    <w:tmpl w:val="16E0E42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
    <w:nsid w:val="0A811B01"/>
    <w:multiLevelType w:val="hybridMultilevel"/>
    <w:tmpl w:val="B7EA01E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46DB2"/>
    <w:multiLevelType w:val="hybridMultilevel"/>
    <w:tmpl w:val="C1CA1C0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BB00240"/>
    <w:multiLevelType w:val="hybridMultilevel"/>
    <w:tmpl w:val="02A27542"/>
    <w:lvl w:ilvl="0" w:tplc="08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530073"/>
    <w:multiLevelType w:val="hybridMultilevel"/>
    <w:tmpl w:val="E3721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AB3B5F"/>
    <w:multiLevelType w:val="hybridMultilevel"/>
    <w:tmpl w:val="DD78F7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4B3D3D"/>
    <w:multiLevelType w:val="hybridMultilevel"/>
    <w:tmpl w:val="301AD98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14AB2A30"/>
    <w:multiLevelType w:val="hybridMultilevel"/>
    <w:tmpl w:val="48BCA4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F251B"/>
    <w:multiLevelType w:val="hybridMultilevel"/>
    <w:tmpl w:val="D5F4A5E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0">
    <w:nsid w:val="1CB577C9"/>
    <w:multiLevelType w:val="hybridMultilevel"/>
    <w:tmpl w:val="DD8AA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813866"/>
    <w:multiLevelType w:val="hybridMultilevel"/>
    <w:tmpl w:val="2CD68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F57367"/>
    <w:multiLevelType w:val="hybridMultilevel"/>
    <w:tmpl w:val="14F0C262"/>
    <w:lvl w:ilvl="0" w:tplc="0419000D">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324362AA"/>
    <w:multiLevelType w:val="hybridMultilevel"/>
    <w:tmpl w:val="AD181262"/>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BB434C0"/>
    <w:multiLevelType w:val="hybridMultilevel"/>
    <w:tmpl w:val="EDF69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915B32"/>
    <w:multiLevelType w:val="hybridMultilevel"/>
    <w:tmpl w:val="DA70A7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4E7D4FEF"/>
    <w:multiLevelType w:val="hybridMultilevel"/>
    <w:tmpl w:val="8E68A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7B2A2D"/>
    <w:multiLevelType w:val="hybridMultilevel"/>
    <w:tmpl w:val="613A694A"/>
    <w:lvl w:ilvl="0" w:tplc="08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F91B35"/>
    <w:multiLevelType w:val="hybridMultilevel"/>
    <w:tmpl w:val="8E282D9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9">
    <w:nsid w:val="59EC6F4A"/>
    <w:multiLevelType w:val="hybridMultilevel"/>
    <w:tmpl w:val="87B2478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D857E10"/>
    <w:multiLevelType w:val="hybridMultilevel"/>
    <w:tmpl w:val="F1DAFE46"/>
    <w:lvl w:ilvl="0" w:tplc="08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642BBA"/>
    <w:multiLevelType w:val="hybridMultilevel"/>
    <w:tmpl w:val="541E6C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1D76DB"/>
    <w:multiLevelType w:val="hybridMultilevel"/>
    <w:tmpl w:val="116A7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9D54D35"/>
    <w:multiLevelType w:val="hybridMultilevel"/>
    <w:tmpl w:val="9A204898"/>
    <w:lvl w:ilvl="0" w:tplc="04190001">
      <w:start w:val="1"/>
      <w:numFmt w:val="bullet"/>
      <w:lvlText w:val=""/>
      <w:lvlJc w:val="left"/>
      <w:pPr>
        <w:tabs>
          <w:tab w:val="num" w:pos="1500"/>
        </w:tabs>
        <w:ind w:left="1500" w:hanging="360"/>
      </w:pPr>
      <w:rPr>
        <w:rFonts w:ascii="Symbol" w:hAnsi="Symbol" w:hint="default"/>
      </w:rPr>
    </w:lvl>
    <w:lvl w:ilvl="1" w:tplc="0419000F">
      <w:start w:val="1"/>
      <w:numFmt w:val="decimal"/>
      <w:lvlText w:val="%2."/>
      <w:lvlJc w:val="left"/>
      <w:pPr>
        <w:tabs>
          <w:tab w:val="num" w:pos="2220"/>
        </w:tabs>
        <w:ind w:left="2220" w:hanging="360"/>
      </w:pPr>
      <w:rPr>
        <w:rFonts w:cs="Times New Roman"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4">
    <w:nsid w:val="6FEE41DF"/>
    <w:multiLevelType w:val="hybridMultilevel"/>
    <w:tmpl w:val="23F257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15112C3"/>
    <w:multiLevelType w:val="hybridMultilevel"/>
    <w:tmpl w:val="DC82F2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BB40CA1"/>
    <w:multiLevelType w:val="hybridMultilevel"/>
    <w:tmpl w:val="03181426"/>
    <w:lvl w:ilvl="0" w:tplc="0419000D">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7"/>
  </w:num>
  <w:num w:numId="2">
    <w:abstractNumId w:val="11"/>
  </w:num>
  <w:num w:numId="3">
    <w:abstractNumId w:val="10"/>
  </w:num>
  <w:num w:numId="4">
    <w:abstractNumId w:val="3"/>
  </w:num>
  <w:num w:numId="5">
    <w:abstractNumId w:val="1"/>
  </w:num>
  <w:num w:numId="6">
    <w:abstractNumId w:val="23"/>
  </w:num>
  <w:num w:numId="7">
    <w:abstractNumId w:val="9"/>
  </w:num>
  <w:num w:numId="8">
    <w:abstractNumId w:val="22"/>
  </w:num>
  <w:num w:numId="9">
    <w:abstractNumId w:val="26"/>
  </w:num>
  <w:num w:numId="10">
    <w:abstractNumId w:val="8"/>
  </w:num>
  <w:num w:numId="11">
    <w:abstractNumId w:val="21"/>
  </w:num>
  <w:num w:numId="12">
    <w:abstractNumId w:val="2"/>
  </w:num>
  <w:num w:numId="13">
    <w:abstractNumId w:val="12"/>
  </w:num>
  <w:num w:numId="14">
    <w:abstractNumId w:val="6"/>
  </w:num>
  <w:num w:numId="15">
    <w:abstractNumId w:val="20"/>
  </w:num>
  <w:num w:numId="16">
    <w:abstractNumId w:val="17"/>
  </w:num>
  <w:num w:numId="17">
    <w:abstractNumId w:val="4"/>
  </w:num>
  <w:num w:numId="18">
    <w:abstractNumId w:val="14"/>
  </w:num>
  <w:num w:numId="19">
    <w:abstractNumId w:val="5"/>
  </w:num>
  <w:num w:numId="20">
    <w:abstractNumId w:val="16"/>
  </w:num>
  <w:num w:numId="21">
    <w:abstractNumId w:val="18"/>
  </w:num>
  <w:num w:numId="22">
    <w:abstractNumId w:val="25"/>
  </w:num>
  <w:num w:numId="23">
    <w:abstractNumId w:val="24"/>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15"/>
  </w:num>
  <w:num w:numId="29">
    <w:abstractNumId w:val="0"/>
    <w:lvlOverride w:ilvl="0"/>
    <w:lvlOverride w:ilvl="1"/>
    <w:lvlOverride w:ilvl="2"/>
    <w:lvlOverride w:ilvl="3"/>
    <w:lvlOverride w:ilvl="4"/>
    <w:lvlOverride w:ilvl="5"/>
    <w:lvlOverride w:ilvl="6"/>
    <w:lvlOverride w:ilvl="7"/>
    <w:lvlOverride w:ilvl="8"/>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noPunctuationKerning/>
  <w:characterSpacingControl w:val="doNotCompress"/>
  <w:footnotePr>
    <w:footnote w:id="-1"/>
    <w:footnote w:id="0"/>
  </w:footnotePr>
  <w:endnotePr>
    <w:endnote w:id="-1"/>
    <w:endnote w:id="0"/>
  </w:endnotePr>
  <w:compat/>
  <w:rsids>
    <w:rsidRoot w:val="00A26AFB"/>
    <w:rsid w:val="00020953"/>
    <w:rsid w:val="000237BC"/>
    <w:rsid w:val="00026807"/>
    <w:rsid w:val="00026AB2"/>
    <w:rsid w:val="000335C7"/>
    <w:rsid w:val="0004137A"/>
    <w:rsid w:val="00041779"/>
    <w:rsid w:val="00044B70"/>
    <w:rsid w:val="000479DD"/>
    <w:rsid w:val="00056D33"/>
    <w:rsid w:val="00082243"/>
    <w:rsid w:val="000827A6"/>
    <w:rsid w:val="00083553"/>
    <w:rsid w:val="00083C16"/>
    <w:rsid w:val="0009087A"/>
    <w:rsid w:val="000917B5"/>
    <w:rsid w:val="000939F6"/>
    <w:rsid w:val="000A54DE"/>
    <w:rsid w:val="000B572D"/>
    <w:rsid w:val="000C0F7F"/>
    <w:rsid w:val="000C35DB"/>
    <w:rsid w:val="000E2815"/>
    <w:rsid w:val="000E403D"/>
    <w:rsid w:val="000F08D7"/>
    <w:rsid w:val="0010069B"/>
    <w:rsid w:val="00102DA8"/>
    <w:rsid w:val="00115C9F"/>
    <w:rsid w:val="00117716"/>
    <w:rsid w:val="00122528"/>
    <w:rsid w:val="00135A48"/>
    <w:rsid w:val="0013780A"/>
    <w:rsid w:val="001459DC"/>
    <w:rsid w:val="00160E09"/>
    <w:rsid w:val="00160EA8"/>
    <w:rsid w:val="001653E9"/>
    <w:rsid w:val="00170244"/>
    <w:rsid w:val="0017257F"/>
    <w:rsid w:val="00173844"/>
    <w:rsid w:val="001860BD"/>
    <w:rsid w:val="00193183"/>
    <w:rsid w:val="001A645B"/>
    <w:rsid w:val="001B7639"/>
    <w:rsid w:val="001C05A4"/>
    <w:rsid w:val="001C11EC"/>
    <w:rsid w:val="001D0FE9"/>
    <w:rsid w:val="001E7B34"/>
    <w:rsid w:val="001F2694"/>
    <w:rsid w:val="001F377D"/>
    <w:rsid w:val="00200626"/>
    <w:rsid w:val="0020511E"/>
    <w:rsid w:val="00213010"/>
    <w:rsid w:val="00213807"/>
    <w:rsid w:val="00227D3C"/>
    <w:rsid w:val="00233B49"/>
    <w:rsid w:val="002346DE"/>
    <w:rsid w:val="002378C6"/>
    <w:rsid w:val="0024601A"/>
    <w:rsid w:val="00272D55"/>
    <w:rsid w:val="002748ED"/>
    <w:rsid w:val="00290122"/>
    <w:rsid w:val="00290779"/>
    <w:rsid w:val="00290E16"/>
    <w:rsid w:val="00294239"/>
    <w:rsid w:val="002945D3"/>
    <w:rsid w:val="002A2801"/>
    <w:rsid w:val="002A47A1"/>
    <w:rsid w:val="002B2037"/>
    <w:rsid w:val="002C34A4"/>
    <w:rsid w:val="002C56D4"/>
    <w:rsid w:val="002C6ECD"/>
    <w:rsid w:val="002D08A5"/>
    <w:rsid w:val="002D44E9"/>
    <w:rsid w:val="002D4DFE"/>
    <w:rsid w:val="002E22FC"/>
    <w:rsid w:val="002F1421"/>
    <w:rsid w:val="003015A6"/>
    <w:rsid w:val="00303E8F"/>
    <w:rsid w:val="0031006B"/>
    <w:rsid w:val="00331412"/>
    <w:rsid w:val="00336FC8"/>
    <w:rsid w:val="003435E1"/>
    <w:rsid w:val="00344410"/>
    <w:rsid w:val="00351946"/>
    <w:rsid w:val="00355C7B"/>
    <w:rsid w:val="00357839"/>
    <w:rsid w:val="003614C7"/>
    <w:rsid w:val="00372D90"/>
    <w:rsid w:val="00377A03"/>
    <w:rsid w:val="0038227D"/>
    <w:rsid w:val="00387488"/>
    <w:rsid w:val="00391BCF"/>
    <w:rsid w:val="00392304"/>
    <w:rsid w:val="00394A5F"/>
    <w:rsid w:val="003A5F5F"/>
    <w:rsid w:val="003A7ADB"/>
    <w:rsid w:val="003B1970"/>
    <w:rsid w:val="003B1EB8"/>
    <w:rsid w:val="003C2876"/>
    <w:rsid w:val="003C5119"/>
    <w:rsid w:val="003D1D82"/>
    <w:rsid w:val="003D4297"/>
    <w:rsid w:val="003D455E"/>
    <w:rsid w:val="003E180A"/>
    <w:rsid w:val="003E2357"/>
    <w:rsid w:val="003E783A"/>
    <w:rsid w:val="003F5B5E"/>
    <w:rsid w:val="00400EA8"/>
    <w:rsid w:val="004037F6"/>
    <w:rsid w:val="00404192"/>
    <w:rsid w:val="00410D06"/>
    <w:rsid w:val="00414493"/>
    <w:rsid w:val="004211E3"/>
    <w:rsid w:val="00425311"/>
    <w:rsid w:val="00425C79"/>
    <w:rsid w:val="004314B8"/>
    <w:rsid w:val="00434857"/>
    <w:rsid w:val="00451E27"/>
    <w:rsid w:val="0046038D"/>
    <w:rsid w:val="004648C8"/>
    <w:rsid w:val="00466FC3"/>
    <w:rsid w:val="004712FD"/>
    <w:rsid w:val="0048206A"/>
    <w:rsid w:val="004955AA"/>
    <w:rsid w:val="004A317E"/>
    <w:rsid w:val="004A39C7"/>
    <w:rsid w:val="004B29A2"/>
    <w:rsid w:val="004B4275"/>
    <w:rsid w:val="004B4805"/>
    <w:rsid w:val="004C386F"/>
    <w:rsid w:val="004C73CB"/>
    <w:rsid w:val="004C73E9"/>
    <w:rsid w:val="004D0E86"/>
    <w:rsid w:val="004D3319"/>
    <w:rsid w:val="004F06BC"/>
    <w:rsid w:val="004F46E3"/>
    <w:rsid w:val="004F70F7"/>
    <w:rsid w:val="00502989"/>
    <w:rsid w:val="0050484D"/>
    <w:rsid w:val="0050782E"/>
    <w:rsid w:val="0051493D"/>
    <w:rsid w:val="00520F72"/>
    <w:rsid w:val="00530EDF"/>
    <w:rsid w:val="005345F2"/>
    <w:rsid w:val="00536155"/>
    <w:rsid w:val="0054073A"/>
    <w:rsid w:val="00550834"/>
    <w:rsid w:val="00553053"/>
    <w:rsid w:val="0055659E"/>
    <w:rsid w:val="00570FB0"/>
    <w:rsid w:val="0057568B"/>
    <w:rsid w:val="00580967"/>
    <w:rsid w:val="00580E92"/>
    <w:rsid w:val="00582D76"/>
    <w:rsid w:val="00584B97"/>
    <w:rsid w:val="00586716"/>
    <w:rsid w:val="0059242C"/>
    <w:rsid w:val="00595A26"/>
    <w:rsid w:val="005961DB"/>
    <w:rsid w:val="005A48B1"/>
    <w:rsid w:val="005A58E4"/>
    <w:rsid w:val="005A5D55"/>
    <w:rsid w:val="005A6583"/>
    <w:rsid w:val="005B70C0"/>
    <w:rsid w:val="005C095A"/>
    <w:rsid w:val="005C3569"/>
    <w:rsid w:val="005C7E6E"/>
    <w:rsid w:val="005E4295"/>
    <w:rsid w:val="005E47D5"/>
    <w:rsid w:val="005E7B4E"/>
    <w:rsid w:val="005F10CB"/>
    <w:rsid w:val="005F3478"/>
    <w:rsid w:val="00604DEC"/>
    <w:rsid w:val="006277DF"/>
    <w:rsid w:val="00634C93"/>
    <w:rsid w:val="00643AFF"/>
    <w:rsid w:val="006449CC"/>
    <w:rsid w:val="006538B7"/>
    <w:rsid w:val="00656C1F"/>
    <w:rsid w:val="00671378"/>
    <w:rsid w:val="0067176C"/>
    <w:rsid w:val="00677512"/>
    <w:rsid w:val="00677D3E"/>
    <w:rsid w:val="00685E5D"/>
    <w:rsid w:val="00686C2A"/>
    <w:rsid w:val="006905AB"/>
    <w:rsid w:val="006928C8"/>
    <w:rsid w:val="00694E44"/>
    <w:rsid w:val="006A0F30"/>
    <w:rsid w:val="006A1792"/>
    <w:rsid w:val="006A48DC"/>
    <w:rsid w:val="006A7418"/>
    <w:rsid w:val="006A7F7E"/>
    <w:rsid w:val="006E3B5F"/>
    <w:rsid w:val="006E63E3"/>
    <w:rsid w:val="006F229B"/>
    <w:rsid w:val="006F2526"/>
    <w:rsid w:val="0070099D"/>
    <w:rsid w:val="00700EAF"/>
    <w:rsid w:val="00703367"/>
    <w:rsid w:val="00717F0D"/>
    <w:rsid w:val="00726C3E"/>
    <w:rsid w:val="007332C8"/>
    <w:rsid w:val="0074483F"/>
    <w:rsid w:val="00745995"/>
    <w:rsid w:val="00761670"/>
    <w:rsid w:val="00761D43"/>
    <w:rsid w:val="00763901"/>
    <w:rsid w:val="007666B5"/>
    <w:rsid w:val="00767AF7"/>
    <w:rsid w:val="00781D09"/>
    <w:rsid w:val="00782517"/>
    <w:rsid w:val="007835C9"/>
    <w:rsid w:val="00786B9F"/>
    <w:rsid w:val="00787067"/>
    <w:rsid w:val="00787422"/>
    <w:rsid w:val="007910DC"/>
    <w:rsid w:val="007921C0"/>
    <w:rsid w:val="007932D9"/>
    <w:rsid w:val="00795E8F"/>
    <w:rsid w:val="007A4D4A"/>
    <w:rsid w:val="007A7521"/>
    <w:rsid w:val="007B6F46"/>
    <w:rsid w:val="007C4CE3"/>
    <w:rsid w:val="007C5B2F"/>
    <w:rsid w:val="007C7493"/>
    <w:rsid w:val="007C74F1"/>
    <w:rsid w:val="007D3405"/>
    <w:rsid w:val="007F3C30"/>
    <w:rsid w:val="007F660E"/>
    <w:rsid w:val="008045D7"/>
    <w:rsid w:val="008077B8"/>
    <w:rsid w:val="00813AF6"/>
    <w:rsid w:val="00820045"/>
    <w:rsid w:val="00823CFC"/>
    <w:rsid w:val="008301BF"/>
    <w:rsid w:val="008325D7"/>
    <w:rsid w:val="008436D9"/>
    <w:rsid w:val="00845B32"/>
    <w:rsid w:val="00846B64"/>
    <w:rsid w:val="00850E48"/>
    <w:rsid w:val="00851918"/>
    <w:rsid w:val="0085496D"/>
    <w:rsid w:val="0086177F"/>
    <w:rsid w:val="008635D0"/>
    <w:rsid w:val="008727FB"/>
    <w:rsid w:val="00880E66"/>
    <w:rsid w:val="00882D01"/>
    <w:rsid w:val="008835F7"/>
    <w:rsid w:val="008876A5"/>
    <w:rsid w:val="00891643"/>
    <w:rsid w:val="00896564"/>
    <w:rsid w:val="00896F71"/>
    <w:rsid w:val="008B43B3"/>
    <w:rsid w:val="008B6FF8"/>
    <w:rsid w:val="008C28BA"/>
    <w:rsid w:val="008C4662"/>
    <w:rsid w:val="008D3D7B"/>
    <w:rsid w:val="008D6FD9"/>
    <w:rsid w:val="008F2EC5"/>
    <w:rsid w:val="008F7722"/>
    <w:rsid w:val="008F779C"/>
    <w:rsid w:val="008F7980"/>
    <w:rsid w:val="00910E01"/>
    <w:rsid w:val="00911133"/>
    <w:rsid w:val="00914F8C"/>
    <w:rsid w:val="00916CAB"/>
    <w:rsid w:val="00922D96"/>
    <w:rsid w:val="00925727"/>
    <w:rsid w:val="0092693B"/>
    <w:rsid w:val="00936334"/>
    <w:rsid w:val="00941CB5"/>
    <w:rsid w:val="0094208B"/>
    <w:rsid w:val="00942BDB"/>
    <w:rsid w:val="00943975"/>
    <w:rsid w:val="00946217"/>
    <w:rsid w:val="00952DB1"/>
    <w:rsid w:val="00952EB6"/>
    <w:rsid w:val="00956563"/>
    <w:rsid w:val="00957AC1"/>
    <w:rsid w:val="0096614F"/>
    <w:rsid w:val="00973531"/>
    <w:rsid w:val="00980F4E"/>
    <w:rsid w:val="00982FBA"/>
    <w:rsid w:val="00983C41"/>
    <w:rsid w:val="009A4F16"/>
    <w:rsid w:val="009A56A3"/>
    <w:rsid w:val="009A7225"/>
    <w:rsid w:val="009A7B35"/>
    <w:rsid w:val="009A7F3F"/>
    <w:rsid w:val="009B2372"/>
    <w:rsid w:val="009B3C09"/>
    <w:rsid w:val="009C5428"/>
    <w:rsid w:val="009D3082"/>
    <w:rsid w:val="009D5344"/>
    <w:rsid w:val="009E323B"/>
    <w:rsid w:val="009F270F"/>
    <w:rsid w:val="009F4001"/>
    <w:rsid w:val="009F5C2B"/>
    <w:rsid w:val="009F5C48"/>
    <w:rsid w:val="009F6F30"/>
    <w:rsid w:val="00A0320E"/>
    <w:rsid w:val="00A03558"/>
    <w:rsid w:val="00A0379B"/>
    <w:rsid w:val="00A041F6"/>
    <w:rsid w:val="00A26AFB"/>
    <w:rsid w:val="00A436A3"/>
    <w:rsid w:val="00A45E05"/>
    <w:rsid w:val="00A61034"/>
    <w:rsid w:val="00A66241"/>
    <w:rsid w:val="00A71058"/>
    <w:rsid w:val="00A72C47"/>
    <w:rsid w:val="00A74896"/>
    <w:rsid w:val="00A779A1"/>
    <w:rsid w:val="00A82851"/>
    <w:rsid w:val="00A872B4"/>
    <w:rsid w:val="00A928A7"/>
    <w:rsid w:val="00A96A67"/>
    <w:rsid w:val="00AA0177"/>
    <w:rsid w:val="00AA7FD4"/>
    <w:rsid w:val="00AB73F1"/>
    <w:rsid w:val="00AC1DED"/>
    <w:rsid w:val="00AD5473"/>
    <w:rsid w:val="00AE1A76"/>
    <w:rsid w:val="00AE37E2"/>
    <w:rsid w:val="00AF534F"/>
    <w:rsid w:val="00AF6AF5"/>
    <w:rsid w:val="00AF7F94"/>
    <w:rsid w:val="00B009F9"/>
    <w:rsid w:val="00B01F1D"/>
    <w:rsid w:val="00B05D5D"/>
    <w:rsid w:val="00B05D9C"/>
    <w:rsid w:val="00B12069"/>
    <w:rsid w:val="00B12E62"/>
    <w:rsid w:val="00B21E64"/>
    <w:rsid w:val="00B236D2"/>
    <w:rsid w:val="00B31709"/>
    <w:rsid w:val="00B3340D"/>
    <w:rsid w:val="00B37027"/>
    <w:rsid w:val="00B402EF"/>
    <w:rsid w:val="00B4156E"/>
    <w:rsid w:val="00B4289B"/>
    <w:rsid w:val="00B437CA"/>
    <w:rsid w:val="00B43C23"/>
    <w:rsid w:val="00B52266"/>
    <w:rsid w:val="00B563E2"/>
    <w:rsid w:val="00B57A62"/>
    <w:rsid w:val="00B62ECA"/>
    <w:rsid w:val="00B6330D"/>
    <w:rsid w:val="00B64F2F"/>
    <w:rsid w:val="00B66F31"/>
    <w:rsid w:val="00B67F44"/>
    <w:rsid w:val="00B70F12"/>
    <w:rsid w:val="00B81354"/>
    <w:rsid w:val="00B858B3"/>
    <w:rsid w:val="00B90485"/>
    <w:rsid w:val="00B926B4"/>
    <w:rsid w:val="00B9393F"/>
    <w:rsid w:val="00B97DE5"/>
    <w:rsid w:val="00BA05F4"/>
    <w:rsid w:val="00BA37A0"/>
    <w:rsid w:val="00BA3D57"/>
    <w:rsid w:val="00BA758D"/>
    <w:rsid w:val="00BB5283"/>
    <w:rsid w:val="00BC46D3"/>
    <w:rsid w:val="00BD5489"/>
    <w:rsid w:val="00BE1ACE"/>
    <w:rsid w:val="00C00A8C"/>
    <w:rsid w:val="00C11821"/>
    <w:rsid w:val="00C22B1D"/>
    <w:rsid w:val="00C26110"/>
    <w:rsid w:val="00C30D30"/>
    <w:rsid w:val="00C310AA"/>
    <w:rsid w:val="00C35C6D"/>
    <w:rsid w:val="00C35E55"/>
    <w:rsid w:val="00C413A3"/>
    <w:rsid w:val="00C420C3"/>
    <w:rsid w:val="00C45098"/>
    <w:rsid w:val="00C52C04"/>
    <w:rsid w:val="00C56535"/>
    <w:rsid w:val="00C57E3D"/>
    <w:rsid w:val="00C6024B"/>
    <w:rsid w:val="00C63869"/>
    <w:rsid w:val="00C63E74"/>
    <w:rsid w:val="00C75D59"/>
    <w:rsid w:val="00C85814"/>
    <w:rsid w:val="00C85F8A"/>
    <w:rsid w:val="00C90BD8"/>
    <w:rsid w:val="00C968B3"/>
    <w:rsid w:val="00CA42E8"/>
    <w:rsid w:val="00CB6771"/>
    <w:rsid w:val="00CC138A"/>
    <w:rsid w:val="00CC38C6"/>
    <w:rsid w:val="00CD1705"/>
    <w:rsid w:val="00CD19C5"/>
    <w:rsid w:val="00CD459E"/>
    <w:rsid w:val="00CD5845"/>
    <w:rsid w:val="00CD70A0"/>
    <w:rsid w:val="00CF1DB7"/>
    <w:rsid w:val="00CF2ACC"/>
    <w:rsid w:val="00D0476E"/>
    <w:rsid w:val="00D05A13"/>
    <w:rsid w:val="00D06B9F"/>
    <w:rsid w:val="00D11E18"/>
    <w:rsid w:val="00D13F43"/>
    <w:rsid w:val="00D3026A"/>
    <w:rsid w:val="00D51ECD"/>
    <w:rsid w:val="00D5767E"/>
    <w:rsid w:val="00D600E7"/>
    <w:rsid w:val="00D606E1"/>
    <w:rsid w:val="00D62A5B"/>
    <w:rsid w:val="00D704ED"/>
    <w:rsid w:val="00D76467"/>
    <w:rsid w:val="00D84682"/>
    <w:rsid w:val="00D90B90"/>
    <w:rsid w:val="00D91E14"/>
    <w:rsid w:val="00D97870"/>
    <w:rsid w:val="00DA6092"/>
    <w:rsid w:val="00DA6F71"/>
    <w:rsid w:val="00DA7233"/>
    <w:rsid w:val="00DB5661"/>
    <w:rsid w:val="00DC2E5F"/>
    <w:rsid w:val="00DD17E8"/>
    <w:rsid w:val="00DD584E"/>
    <w:rsid w:val="00DD5E36"/>
    <w:rsid w:val="00DD631E"/>
    <w:rsid w:val="00DD6A01"/>
    <w:rsid w:val="00DD79EE"/>
    <w:rsid w:val="00DD7CAD"/>
    <w:rsid w:val="00DE0B15"/>
    <w:rsid w:val="00DE329E"/>
    <w:rsid w:val="00DE6041"/>
    <w:rsid w:val="00DF2CB7"/>
    <w:rsid w:val="00E003D8"/>
    <w:rsid w:val="00E23AA5"/>
    <w:rsid w:val="00E26007"/>
    <w:rsid w:val="00E346E6"/>
    <w:rsid w:val="00E4413B"/>
    <w:rsid w:val="00E4592D"/>
    <w:rsid w:val="00E51628"/>
    <w:rsid w:val="00E61281"/>
    <w:rsid w:val="00E63821"/>
    <w:rsid w:val="00E663C3"/>
    <w:rsid w:val="00E6660F"/>
    <w:rsid w:val="00E7232C"/>
    <w:rsid w:val="00E767AF"/>
    <w:rsid w:val="00E7683A"/>
    <w:rsid w:val="00E83E62"/>
    <w:rsid w:val="00E91ED2"/>
    <w:rsid w:val="00E91F4C"/>
    <w:rsid w:val="00E93338"/>
    <w:rsid w:val="00E93B43"/>
    <w:rsid w:val="00E959DA"/>
    <w:rsid w:val="00EB39A1"/>
    <w:rsid w:val="00EC6D06"/>
    <w:rsid w:val="00ED04A8"/>
    <w:rsid w:val="00ED2FF9"/>
    <w:rsid w:val="00ED6C2C"/>
    <w:rsid w:val="00EE0B4E"/>
    <w:rsid w:val="00EE2F8B"/>
    <w:rsid w:val="00EE557B"/>
    <w:rsid w:val="00EF0A38"/>
    <w:rsid w:val="00EF6817"/>
    <w:rsid w:val="00F0745E"/>
    <w:rsid w:val="00F12ADB"/>
    <w:rsid w:val="00F16FC3"/>
    <w:rsid w:val="00F22BD5"/>
    <w:rsid w:val="00F23130"/>
    <w:rsid w:val="00F30ACD"/>
    <w:rsid w:val="00F41C5C"/>
    <w:rsid w:val="00F44AEF"/>
    <w:rsid w:val="00F45644"/>
    <w:rsid w:val="00F662CB"/>
    <w:rsid w:val="00F723FB"/>
    <w:rsid w:val="00F809A8"/>
    <w:rsid w:val="00F85288"/>
    <w:rsid w:val="00F96D4B"/>
    <w:rsid w:val="00FA3210"/>
    <w:rsid w:val="00FA5E23"/>
    <w:rsid w:val="00FA61F0"/>
    <w:rsid w:val="00FB2351"/>
    <w:rsid w:val="00FB2497"/>
    <w:rsid w:val="00FB73A7"/>
    <w:rsid w:val="00FB7D89"/>
    <w:rsid w:val="00FC24E9"/>
    <w:rsid w:val="00FD1740"/>
    <w:rsid w:val="00FE312E"/>
    <w:rsid w:val="00FE6306"/>
    <w:rsid w:val="00FF0C76"/>
    <w:rsid w:val="00FF206E"/>
    <w:rsid w:val="00FF3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AFB"/>
    <w:pPr>
      <w:spacing w:line="360" w:lineRule="atLeast"/>
      <w:jc w:val="both"/>
    </w:pPr>
    <w:rPr>
      <w:rFonts w:ascii="Times New Roman CYR" w:hAnsi="Times New Roman CYR"/>
      <w:sz w:val="28"/>
    </w:rPr>
  </w:style>
  <w:style w:type="paragraph" w:styleId="1">
    <w:name w:val="heading 1"/>
    <w:basedOn w:val="a"/>
    <w:next w:val="a"/>
    <w:link w:val="10"/>
    <w:uiPriority w:val="9"/>
    <w:qFormat/>
    <w:rsid w:val="006928C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qFormat/>
    <w:rsid w:val="005A6583"/>
    <w:pPr>
      <w:keepNext/>
      <w:spacing w:before="120" w:after="120" w:line="240" w:lineRule="auto"/>
      <w:jc w:val="center"/>
      <w:outlineLvl w:val="1"/>
    </w:pPr>
    <w:rPr>
      <w:rFonts w:ascii="Times New Roman" w:hAnsi="Times New Roman"/>
      <w:b/>
      <w:bCs/>
      <w:sz w:val="20"/>
      <w:lang w:eastAsia="en-US"/>
    </w:rPr>
  </w:style>
  <w:style w:type="paragraph" w:styleId="5">
    <w:name w:val="heading 5"/>
    <w:basedOn w:val="a"/>
    <w:next w:val="a"/>
    <w:link w:val="50"/>
    <w:uiPriority w:val="9"/>
    <w:qFormat/>
    <w:rsid w:val="006928C8"/>
    <w:pPr>
      <w:spacing w:before="240" w:after="60"/>
      <w:outlineLvl w:val="4"/>
    </w:pPr>
    <w:rPr>
      <w:b/>
      <w:bCs/>
      <w:i/>
      <w:iCs/>
      <w:sz w:val="26"/>
      <w:szCs w:val="26"/>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928C8"/>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5A6583"/>
    <w:rPr>
      <w:rFonts w:cs="Times New Roman"/>
      <w:b/>
      <w:bCs/>
      <w:lang w:eastAsia="en-US"/>
    </w:rPr>
  </w:style>
  <w:style w:type="character" w:customStyle="1" w:styleId="50">
    <w:name w:val="Заголовок 5 Знак"/>
    <w:basedOn w:val="a0"/>
    <w:link w:val="5"/>
    <w:uiPriority w:val="9"/>
    <w:locked/>
    <w:rsid w:val="006928C8"/>
    <w:rPr>
      <w:rFonts w:ascii="Times New Roman CYR" w:hAnsi="Times New Roman CYR" w:cs="Times New Roman"/>
      <w:b/>
      <w:bCs/>
      <w:i/>
      <w:iCs/>
      <w:sz w:val="26"/>
      <w:szCs w:val="26"/>
    </w:rPr>
  </w:style>
  <w:style w:type="table" w:styleId="a3">
    <w:name w:val="Table Grid"/>
    <w:basedOn w:val="a1"/>
    <w:uiPriority w:val="59"/>
    <w:rsid w:val="00082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82243"/>
    <w:pPr>
      <w:widowControl w:val="0"/>
      <w:autoSpaceDE w:val="0"/>
      <w:autoSpaceDN w:val="0"/>
      <w:adjustRightInd w:val="0"/>
      <w:ind w:firstLine="720"/>
    </w:pPr>
    <w:rPr>
      <w:rFonts w:ascii="Arial" w:hAnsi="Arial" w:cs="Arial"/>
    </w:rPr>
  </w:style>
  <w:style w:type="paragraph" w:styleId="a4">
    <w:name w:val="Normal (Web)"/>
    <w:basedOn w:val="a"/>
    <w:uiPriority w:val="99"/>
    <w:rsid w:val="00082243"/>
    <w:pPr>
      <w:spacing w:before="100" w:after="100" w:line="240" w:lineRule="auto"/>
      <w:jc w:val="left"/>
    </w:pPr>
    <w:rPr>
      <w:rFonts w:ascii="Verdana" w:hAnsi="Verdana" w:cs="Verdana"/>
      <w:color w:val="000000"/>
      <w:sz w:val="21"/>
      <w:szCs w:val="21"/>
    </w:rPr>
  </w:style>
  <w:style w:type="character" w:styleId="a5">
    <w:name w:val="Hyperlink"/>
    <w:basedOn w:val="a0"/>
    <w:uiPriority w:val="99"/>
    <w:rsid w:val="0024601A"/>
    <w:rPr>
      <w:rFonts w:cs="Times New Roman"/>
      <w:color w:val="0000FF"/>
      <w:u w:val="single"/>
    </w:rPr>
  </w:style>
  <w:style w:type="paragraph" w:customStyle="1" w:styleId="BodyNum">
    <w:name w:val="Body Num"/>
    <w:basedOn w:val="a"/>
    <w:uiPriority w:val="99"/>
    <w:rsid w:val="00C85F8A"/>
    <w:pPr>
      <w:spacing w:after="120" w:line="240" w:lineRule="auto"/>
    </w:pPr>
    <w:rPr>
      <w:rFonts w:ascii="Times New Roman" w:hAnsi="Times New Roman"/>
      <w:sz w:val="24"/>
      <w:szCs w:val="24"/>
    </w:rPr>
  </w:style>
  <w:style w:type="paragraph" w:styleId="a6">
    <w:name w:val="Balloon Text"/>
    <w:basedOn w:val="a"/>
    <w:link w:val="a7"/>
    <w:uiPriority w:val="99"/>
    <w:rsid w:val="005F10CB"/>
    <w:pPr>
      <w:spacing w:line="240" w:lineRule="auto"/>
    </w:pPr>
    <w:rPr>
      <w:rFonts w:ascii="Tahoma" w:hAnsi="Tahoma" w:cs="Tahoma"/>
      <w:sz w:val="16"/>
      <w:szCs w:val="16"/>
    </w:rPr>
  </w:style>
  <w:style w:type="character" w:customStyle="1" w:styleId="a7">
    <w:name w:val="Текст выноски Знак"/>
    <w:basedOn w:val="a0"/>
    <w:link w:val="a6"/>
    <w:uiPriority w:val="99"/>
    <w:locked/>
    <w:rsid w:val="005F10CB"/>
    <w:rPr>
      <w:rFonts w:ascii="Tahoma" w:hAnsi="Tahoma" w:cs="Tahoma"/>
      <w:sz w:val="16"/>
      <w:szCs w:val="16"/>
    </w:rPr>
  </w:style>
  <w:style w:type="paragraph" w:styleId="a8">
    <w:name w:val="header"/>
    <w:basedOn w:val="a"/>
    <w:link w:val="a9"/>
    <w:uiPriority w:val="99"/>
    <w:rsid w:val="00685E5D"/>
    <w:pPr>
      <w:tabs>
        <w:tab w:val="center" w:pos="4677"/>
        <w:tab w:val="right" w:pos="9355"/>
      </w:tabs>
    </w:pPr>
  </w:style>
  <w:style w:type="character" w:customStyle="1" w:styleId="a9">
    <w:name w:val="Верхний колонтитул Знак"/>
    <w:basedOn w:val="a0"/>
    <w:link w:val="a8"/>
    <w:uiPriority w:val="99"/>
    <w:locked/>
    <w:rsid w:val="00685E5D"/>
    <w:rPr>
      <w:rFonts w:ascii="Times New Roman CYR" w:hAnsi="Times New Roman CYR" w:cs="Times New Roman"/>
      <w:sz w:val="28"/>
    </w:rPr>
  </w:style>
  <w:style w:type="paragraph" w:styleId="aa">
    <w:name w:val="footer"/>
    <w:basedOn w:val="a"/>
    <w:link w:val="ab"/>
    <w:uiPriority w:val="99"/>
    <w:rsid w:val="00685E5D"/>
    <w:pPr>
      <w:tabs>
        <w:tab w:val="center" w:pos="4677"/>
        <w:tab w:val="right" w:pos="9355"/>
      </w:tabs>
    </w:pPr>
  </w:style>
  <w:style w:type="character" w:customStyle="1" w:styleId="ab">
    <w:name w:val="Нижний колонтитул Знак"/>
    <w:basedOn w:val="a0"/>
    <w:link w:val="aa"/>
    <w:uiPriority w:val="99"/>
    <w:locked/>
    <w:rsid w:val="00685E5D"/>
    <w:rPr>
      <w:rFonts w:ascii="Times New Roman CYR" w:hAnsi="Times New Roman CYR" w:cs="Times New Roman"/>
      <w:sz w:val="28"/>
    </w:rPr>
  </w:style>
  <w:style w:type="paragraph" w:customStyle="1" w:styleId="H4">
    <w:name w:val="H4"/>
    <w:basedOn w:val="a"/>
    <w:next w:val="a"/>
    <w:rsid w:val="005A6583"/>
    <w:pPr>
      <w:keepNext/>
      <w:spacing w:before="100" w:after="100" w:line="240" w:lineRule="auto"/>
      <w:jc w:val="left"/>
      <w:outlineLvl w:val="4"/>
    </w:pPr>
    <w:rPr>
      <w:rFonts w:ascii="Times New Roman" w:hAnsi="Times New Roman"/>
      <w:b/>
      <w:bCs/>
      <w:sz w:val="24"/>
      <w:szCs w:val="24"/>
      <w:lang w:eastAsia="en-US"/>
    </w:rPr>
  </w:style>
  <w:style w:type="paragraph" w:customStyle="1" w:styleId="ConsNonformat">
    <w:name w:val="ConsNonformat"/>
    <w:rsid w:val="005A6583"/>
    <w:pPr>
      <w:widowControl w:val="0"/>
    </w:pPr>
    <w:rPr>
      <w:rFonts w:ascii="Courier New" w:hAnsi="Courier New" w:cs="Courier New"/>
    </w:rPr>
  </w:style>
  <w:style w:type="character" w:styleId="ac">
    <w:name w:val="annotation reference"/>
    <w:basedOn w:val="a0"/>
    <w:uiPriority w:val="99"/>
    <w:unhideWhenUsed/>
    <w:rsid w:val="005A6583"/>
    <w:rPr>
      <w:rFonts w:cs="Times New Roman"/>
      <w:sz w:val="16"/>
      <w:szCs w:val="16"/>
    </w:rPr>
  </w:style>
  <w:style w:type="paragraph" w:styleId="ad">
    <w:name w:val="annotation text"/>
    <w:basedOn w:val="a"/>
    <w:link w:val="ae"/>
    <w:uiPriority w:val="99"/>
    <w:unhideWhenUsed/>
    <w:rsid w:val="005A6583"/>
    <w:pPr>
      <w:spacing w:line="240" w:lineRule="auto"/>
      <w:jc w:val="left"/>
    </w:pPr>
    <w:rPr>
      <w:rFonts w:ascii="Times New Roman" w:hAnsi="Times New Roman"/>
      <w:sz w:val="20"/>
    </w:rPr>
  </w:style>
  <w:style w:type="character" w:customStyle="1" w:styleId="ae">
    <w:name w:val="Текст примечания Знак"/>
    <w:basedOn w:val="a0"/>
    <w:link w:val="ad"/>
    <w:uiPriority w:val="99"/>
    <w:locked/>
    <w:rsid w:val="005A6583"/>
    <w:rPr>
      <w:rFonts w:cs="Times New Roman"/>
    </w:rPr>
  </w:style>
  <w:style w:type="paragraph" w:styleId="af">
    <w:name w:val="annotation subject"/>
    <w:basedOn w:val="ad"/>
    <w:next w:val="ad"/>
    <w:link w:val="af0"/>
    <w:uiPriority w:val="99"/>
    <w:unhideWhenUsed/>
    <w:rsid w:val="005A6583"/>
    <w:rPr>
      <w:b/>
      <w:bCs/>
    </w:rPr>
  </w:style>
  <w:style w:type="character" w:customStyle="1" w:styleId="af0">
    <w:name w:val="Тема примечания Знак"/>
    <w:basedOn w:val="ae"/>
    <w:link w:val="af"/>
    <w:uiPriority w:val="99"/>
    <w:locked/>
    <w:rsid w:val="005A6583"/>
    <w:rPr>
      <w:b/>
      <w:bCs/>
    </w:rPr>
  </w:style>
  <w:style w:type="paragraph" w:styleId="af1">
    <w:name w:val="Revision"/>
    <w:hidden/>
    <w:uiPriority w:val="99"/>
    <w:semiHidden/>
    <w:rsid w:val="005A6583"/>
    <w:rPr>
      <w:sz w:val="24"/>
      <w:szCs w:val="24"/>
    </w:rPr>
  </w:style>
  <w:style w:type="paragraph" w:customStyle="1" w:styleId="ConsNormal">
    <w:name w:val="ConsNormal"/>
    <w:uiPriority w:val="99"/>
    <w:rsid w:val="00582D76"/>
    <w:pPr>
      <w:widowControl w:val="0"/>
      <w:ind w:firstLine="720"/>
    </w:pPr>
    <w:rPr>
      <w:rFonts w:ascii="Arial" w:hAnsi="Arial" w:cs="Arial"/>
    </w:rPr>
  </w:style>
  <w:style w:type="paragraph" w:styleId="af2">
    <w:name w:val="List Paragraph"/>
    <w:basedOn w:val="a"/>
    <w:uiPriority w:val="34"/>
    <w:qFormat/>
    <w:rsid w:val="00745995"/>
    <w:pPr>
      <w:spacing w:after="200" w:line="276" w:lineRule="auto"/>
      <w:ind w:left="720"/>
      <w:contextualSpacing/>
      <w:jc w:val="left"/>
    </w:pPr>
    <w:rPr>
      <w:rFonts w:ascii="Calibri" w:hAnsi="Calibri"/>
      <w:sz w:val="22"/>
      <w:szCs w:val="22"/>
      <w:lang w:eastAsia="en-US"/>
    </w:rPr>
  </w:style>
  <w:style w:type="paragraph" w:styleId="af3">
    <w:name w:val="Body Text"/>
    <w:basedOn w:val="a"/>
    <w:link w:val="af4"/>
    <w:uiPriority w:val="99"/>
    <w:rsid w:val="00404192"/>
    <w:pPr>
      <w:spacing w:line="240" w:lineRule="auto"/>
    </w:pPr>
    <w:rPr>
      <w:rFonts w:ascii="Times New Roman" w:hAnsi="Times New Roman"/>
      <w:sz w:val="22"/>
    </w:rPr>
  </w:style>
  <w:style w:type="character" w:customStyle="1" w:styleId="af4">
    <w:name w:val="Основной текст Знак"/>
    <w:basedOn w:val="a0"/>
    <w:link w:val="af3"/>
    <w:uiPriority w:val="99"/>
    <w:locked/>
    <w:rsid w:val="00404192"/>
    <w:rPr>
      <w:rFonts w:cs="Times New Roman"/>
      <w:sz w:val="22"/>
    </w:rPr>
  </w:style>
</w:styles>
</file>

<file path=word/webSettings.xml><?xml version="1.0" encoding="utf-8"?>
<w:webSettings xmlns:r="http://schemas.openxmlformats.org/officeDocument/2006/relationships" xmlns:w="http://schemas.openxmlformats.org/wordprocessingml/2006/main">
  <w:divs>
    <w:div w:id="546189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4C87-E3C6-416A-9E43-3C38971D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8672</Words>
  <Characters>49437</Characters>
  <Application>Microsoft Office Word</Application>
  <DocSecurity>0</DocSecurity>
  <Lines>411</Lines>
  <Paragraphs>115</Paragraphs>
  <ScaleCrop>false</ScaleCrop>
  <Company>UralSib</Company>
  <LinksUpToDate>false</LinksUpToDate>
  <CharactersWithSpaces>57994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 к Правилам</dc:title>
  <dc:creator>Ковригин Василий Николаевич</dc:creator>
  <cp:lastModifiedBy>voronovskaya.v</cp:lastModifiedBy>
  <cp:revision>2</cp:revision>
  <cp:lastPrinted>2015-04-16T16:05:00Z</cp:lastPrinted>
  <dcterms:created xsi:type="dcterms:W3CDTF">2017-12-19T07:45:00Z</dcterms:created>
  <dcterms:modified xsi:type="dcterms:W3CDTF">2017-12-19T07:45:00Z</dcterms:modified>
</cp:coreProperties>
</file>