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43" w:rsidRPr="003A003D" w:rsidRDefault="00082243" w:rsidP="005A5E8A">
      <w:pPr>
        <w:spacing w:line="240" w:lineRule="auto"/>
        <w:jc w:val="right"/>
        <w:rPr>
          <w:rFonts w:ascii="Times New Roman" w:hAnsi="Times New Roman"/>
          <w:sz w:val="20"/>
        </w:rPr>
      </w:pPr>
      <w:r w:rsidRPr="003A003D">
        <w:rPr>
          <w:rFonts w:ascii="Times New Roman" w:hAnsi="Times New Roman"/>
          <w:sz w:val="20"/>
        </w:rPr>
        <w:t xml:space="preserve">Утверждены </w:t>
      </w:r>
    </w:p>
    <w:p w:rsidR="00082243" w:rsidRPr="003A003D" w:rsidRDefault="00851918" w:rsidP="005A5E8A">
      <w:pPr>
        <w:spacing w:line="240" w:lineRule="auto"/>
        <w:jc w:val="right"/>
        <w:rPr>
          <w:rFonts w:ascii="Times New Roman" w:hAnsi="Times New Roman"/>
          <w:sz w:val="20"/>
        </w:rPr>
      </w:pPr>
      <w:r w:rsidRPr="003A003D">
        <w:rPr>
          <w:rFonts w:ascii="Times New Roman" w:hAnsi="Times New Roman"/>
          <w:sz w:val="20"/>
        </w:rPr>
        <w:t>п</w:t>
      </w:r>
      <w:r w:rsidR="00082243" w:rsidRPr="003A003D">
        <w:rPr>
          <w:rFonts w:ascii="Times New Roman" w:hAnsi="Times New Roman"/>
          <w:sz w:val="20"/>
        </w:rPr>
        <w:t xml:space="preserve">риказом Генерального директора </w:t>
      </w:r>
    </w:p>
    <w:p w:rsidR="00082243" w:rsidRPr="003A003D" w:rsidRDefault="00082243" w:rsidP="005A5E8A">
      <w:pPr>
        <w:spacing w:line="240" w:lineRule="auto"/>
        <w:jc w:val="right"/>
        <w:rPr>
          <w:rFonts w:ascii="Times New Roman" w:hAnsi="Times New Roman"/>
          <w:sz w:val="20"/>
        </w:rPr>
      </w:pPr>
      <w:r w:rsidRPr="003A003D">
        <w:rPr>
          <w:rFonts w:ascii="Times New Roman" w:hAnsi="Times New Roman"/>
          <w:sz w:val="20"/>
        </w:rPr>
        <w:t xml:space="preserve">АО «УК </w:t>
      </w:r>
      <w:r w:rsidR="00F42538" w:rsidRPr="003A003D">
        <w:rPr>
          <w:rFonts w:ascii="Times New Roman" w:hAnsi="Times New Roman"/>
          <w:sz w:val="20"/>
        </w:rPr>
        <w:t>УРАЛСИБ</w:t>
      </w:r>
      <w:r w:rsidRPr="003A003D">
        <w:rPr>
          <w:rFonts w:ascii="Times New Roman" w:hAnsi="Times New Roman"/>
          <w:sz w:val="20"/>
        </w:rPr>
        <w:t>»</w:t>
      </w:r>
    </w:p>
    <w:p w:rsidR="00082243" w:rsidRPr="005F7AF2" w:rsidRDefault="00DC2180" w:rsidP="005A5E8A">
      <w:pPr>
        <w:spacing w:line="240" w:lineRule="auto"/>
        <w:jc w:val="right"/>
        <w:rPr>
          <w:rFonts w:ascii="Times New Roman" w:hAnsi="Times New Roman"/>
          <w:b/>
          <w:sz w:val="24"/>
          <w:szCs w:val="24"/>
        </w:rPr>
      </w:pPr>
      <w:r>
        <w:rPr>
          <w:rFonts w:ascii="Times New Roman" w:hAnsi="Times New Roman"/>
          <w:sz w:val="20"/>
        </w:rPr>
        <w:t>от 27.11</w:t>
      </w:r>
      <w:r w:rsidR="00791259">
        <w:rPr>
          <w:rFonts w:ascii="Times New Roman" w:hAnsi="Times New Roman"/>
          <w:sz w:val="20"/>
        </w:rPr>
        <w:t>.2017 № 1</w:t>
      </w:r>
      <w:r>
        <w:rPr>
          <w:rFonts w:ascii="Times New Roman" w:hAnsi="Times New Roman"/>
          <w:sz w:val="20"/>
        </w:rPr>
        <w:t>63</w:t>
      </w:r>
      <w:r w:rsidR="00791259">
        <w:rPr>
          <w:rFonts w:ascii="Times New Roman" w:hAnsi="Times New Roman"/>
          <w:sz w:val="20"/>
        </w:rPr>
        <w:t>/ПИФ</w:t>
      </w:r>
    </w:p>
    <w:p w:rsidR="00B60A08" w:rsidRDefault="00B60A08" w:rsidP="005A5E8A">
      <w:pPr>
        <w:pStyle w:val="ConsPlusNormal"/>
        <w:ind w:right="-159" w:firstLine="540"/>
        <w:jc w:val="center"/>
        <w:rPr>
          <w:rFonts w:ascii="Times New Roman" w:hAnsi="Times New Roman" w:cs="Times New Roman"/>
          <w:b/>
          <w:sz w:val="24"/>
          <w:szCs w:val="24"/>
        </w:rPr>
      </w:pPr>
    </w:p>
    <w:p w:rsidR="00152B8F" w:rsidRPr="003A003D" w:rsidRDefault="00115C9F" w:rsidP="005A5E8A">
      <w:pPr>
        <w:pStyle w:val="ConsPlusNormal"/>
        <w:ind w:right="-159" w:firstLine="540"/>
        <w:jc w:val="center"/>
        <w:rPr>
          <w:rFonts w:ascii="Times New Roman" w:hAnsi="Times New Roman" w:cs="Times New Roman"/>
          <w:b/>
          <w:sz w:val="22"/>
          <w:szCs w:val="22"/>
        </w:rPr>
      </w:pPr>
      <w:r w:rsidRPr="003A003D">
        <w:rPr>
          <w:rFonts w:ascii="Times New Roman" w:hAnsi="Times New Roman" w:cs="Times New Roman"/>
          <w:b/>
          <w:sz w:val="22"/>
          <w:szCs w:val="22"/>
        </w:rPr>
        <w:t>Изменения и дополнения</w:t>
      </w:r>
      <w:r w:rsidR="00A61034" w:rsidRPr="003A003D">
        <w:rPr>
          <w:rFonts w:ascii="Times New Roman" w:hAnsi="Times New Roman" w:cs="Times New Roman"/>
          <w:b/>
          <w:sz w:val="22"/>
          <w:szCs w:val="22"/>
        </w:rPr>
        <w:t xml:space="preserve"> </w:t>
      </w:r>
      <w:r w:rsidRPr="003A003D">
        <w:rPr>
          <w:rFonts w:ascii="Times New Roman" w:hAnsi="Times New Roman" w:cs="Times New Roman"/>
          <w:b/>
          <w:sz w:val="22"/>
          <w:szCs w:val="22"/>
        </w:rPr>
        <w:t xml:space="preserve">в Правила доверительного управления </w:t>
      </w:r>
    </w:p>
    <w:p w:rsidR="00D36FF2" w:rsidRPr="003A003D" w:rsidRDefault="00115C9F" w:rsidP="005A5E8A">
      <w:pPr>
        <w:pStyle w:val="ConsPlusNormal"/>
        <w:ind w:right="-159" w:firstLine="540"/>
        <w:jc w:val="center"/>
        <w:rPr>
          <w:rFonts w:ascii="Times New Roman" w:hAnsi="Times New Roman" w:cs="Times New Roman"/>
          <w:b/>
          <w:sz w:val="22"/>
          <w:szCs w:val="22"/>
        </w:rPr>
      </w:pPr>
      <w:r w:rsidRPr="003A003D">
        <w:rPr>
          <w:rFonts w:ascii="Times New Roman" w:hAnsi="Times New Roman" w:cs="Times New Roman"/>
          <w:b/>
          <w:sz w:val="22"/>
          <w:szCs w:val="22"/>
        </w:rPr>
        <w:t>Открытым паевым инвестиционным фондом</w:t>
      </w:r>
      <w:r w:rsidR="00D36FF2" w:rsidRPr="003A003D">
        <w:rPr>
          <w:rFonts w:ascii="Times New Roman" w:hAnsi="Times New Roman" w:cs="Times New Roman"/>
          <w:b/>
          <w:sz w:val="22"/>
          <w:szCs w:val="22"/>
        </w:rPr>
        <w:t xml:space="preserve"> </w:t>
      </w:r>
      <w:r w:rsidRPr="003A003D">
        <w:rPr>
          <w:rFonts w:ascii="Times New Roman" w:hAnsi="Times New Roman" w:cs="Times New Roman"/>
          <w:b/>
          <w:sz w:val="22"/>
          <w:szCs w:val="22"/>
        </w:rPr>
        <w:t xml:space="preserve"> </w:t>
      </w:r>
      <w:r w:rsidR="0038796E" w:rsidRPr="003A003D">
        <w:rPr>
          <w:rFonts w:ascii="Times New Roman" w:hAnsi="Times New Roman" w:cs="Times New Roman"/>
          <w:b/>
          <w:sz w:val="22"/>
          <w:szCs w:val="22"/>
        </w:rPr>
        <w:t>акций</w:t>
      </w:r>
      <w:r w:rsidR="001D0FE9" w:rsidRPr="003A003D">
        <w:rPr>
          <w:rFonts w:ascii="Times New Roman" w:hAnsi="Times New Roman" w:cs="Times New Roman"/>
          <w:b/>
          <w:sz w:val="22"/>
          <w:szCs w:val="22"/>
        </w:rPr>
        <w:t xml:space="preserve"> </w:t>
      </w:r>
    </w:p>
    <w:p w:rsidR="00115C9F" w:rsidRPr="003A003D" w:rsidRDefault="001D0FE9" w:rsidP="005A5E8A">
      <w:pPr>
        <w:pStyle w:val="ConsPlusNormal"/>
        <w:ind w:right="-159" w:firstLine="540"/>
        <w:jc w:val="center"/>
        <w:rPr>
          <w:rFonts w:ascii="Times New Roman" w:hAnsi="Times New Roman" w:cs="Times New Roman"/>
          <w:b/>
          <w:sz w:val="22"/>
          <w:szCs w:val="22"/>
        </w:rPr>
      </w:pPr>
      <w:r w:rsidRPr="003A003D">
        <w:rPr>
          <w:rFonts w:ascii="Times New Roman" w:hAnsi="Times New Roman" w:cs="Times New Roman"/>
          <w:b/>
          <w:sz w:val="22"/>
          <w:szCs w:val="22"/>
        </w:rPr>
        <w:t xml:space="preserve">«УРАЛСИБ </w:t>
      </w:r>
      <w:r w:rsidR="001817F2" w:rsidRPr="003A003D">
        <w:rPr>
          <w:rFonts w:ascii="Times New Roman" w:hAnsi="Times New Roman" w:cs="Times New Roman"/>
          <w:b/>
          <w:sz w:val="22"/>
          <w:szCs w:val="22"/>
        </w:rPr>
        <w:t>Первый</w:t>
      </w:r>
      <w:r w:rsidRPr="003A003D">
        <w:rPr>
          <w:rFonts w:ascii="Times New Roman" w:hAnsi="Times New Roman" w:cs="Times New Roman"/>
          <w:b/>
          <w:sz w:val="22"/>
          <w:szCs w:val="22"/>
        </w:rPr>
        <w:t>»</w:t>
      </w:r>
      <w:r w:rsidR="003871D3" w:rsidRPr="003A003D">
        <w:rPr>
          <w:rFonts w:ascii="Times New Roman" w:hAnsi="Times New Roman" w:cs="Times New Roman"/>
          <w:b/>
          <w:sz w:val="22"/>
          <w:szCs w:val="22"/>
        </w:rPr>
        <w:t xml:space="preserve"> № </w:t>
      </w:r>
      <w:r w:rsidR="006B5371" w:rsidRPr="003A003D">
        <w:rPr>
          <w:rFonts w:ascii="Times New Roman" w:hAnsi="Times New Roman" w:cs="Times New Roman"/>
          <w:b/>
          <w:sz w:val="22"/>
          <w:szCs w:val="22"/>
        </w:rPr>
        <w:t>3</w:t>
      </w:r>
      <w:r w:rsidR="002E783E" w:rsidRPr="003A003D">
        <w:rPr>
          <w:rFonts w:ascii="Times New Roman" w:hAnsi="Times New Roman" w:cs="Times New Roman"/>
          <w:b/>
          <w:sz w:val="22"/>
          <w:szCs w:val="22"/>
        </w:rPr>
        <w:t>2</w:t>
      </w:r>
    </w:p>
    <w:p w:rsidR="00115C9F" w:rsidRPr="005F7AF2" w:rsidRDefault="00115C9F" w:rsidP="005A5E8A">
      <w:pPr>
        <w:pStyle w:val="ConsPlusNormal"/>
        <w:ind w:right="-159" w:firstLine="0"/>
        <w:jc w:val="center"/>
        <w:rPr>
          <w:rFonts w:ascii="Times New Roman" w:hAnsi="Times New Roman" w:cs="Times New Roman"/>
          <w:b/>
          <w:sz w:val="24"/>
          <w:szCs w:val="24"/>
        </w:rPr>
      </w:pPr>
      <w:r w:rsidRPr="003A003D">
        <w:rPr>
          <w:rFonts w:ascii="Times New Roman" w:hAnsi="Times New Roman" w:cs="Times New Roman"/>
          <w:b/>
          <w:sz w:val="22"/>
          <w:szCs w:val="22"/>
        </w:rPr>
        <w:t>(Правила зарегистрированы</w:t>
      </w:r>
      <w:r w:rsidR="00936334" w:rsidRPr="003A003D">
        <w:rPr>
          <w:rFonts w:ascii="Times New Roman" w:hAnsi="Times New Roman" w:cs="Times New Roman"/>
          <w:b/>
          <w:sz w:val="22"/>
          <w:szCs w:val="22"/>
        </w:rPr>
        <w:t xml:space="preserve"> </w:t>
      </w:r>
      <w:r w:rsidR="001817F2" w:rsidRPr="003A003D">
        <w:rPr>
          <w:rFonts w:ascii="Times New Roman" w:hAnsi="Times New Roman" w:cs="Times New Roman"/>
          <w:b/>
          <w:sz w:val="22"/>
          <w:szCs w:val="22"/>
        </w:rPr>
        <w:t xml:space="preserve">ФКЦБ </w:t>
      </w:r>
      <w:r w:rsidR="003871D3" w:rsidRPr="003A003D">
        <w:rPr>
          <w:rFonts w:ascii="Times New Roman" w:hAnsi="Times New Roman" w:cs="Times New Roman"/>
          <w:b/>
          <w:sz w:val="22"/>
          <w:szCs w:val="22"/>
        </w:rPr>
        <w:t xml:space="preserve">России за № </w:t>
      </w:r>
      <w:r w:rsidR="001817F2" w:rsidRPr="003A003D">
        <w:rPr>
          <w:rFonts w:ascii="Times New Roman" w:hAnsi="Times New Roman" w:cs="Times New Roman"/>
          <w:b/>
          <w:sz w:val="22"/>
          <w:szCs w:val="22"/>
        </w:rPr>
        <w:t>0029-18610555 от 14.09.1998</w:t>
      </w:r>
      <w:r w:rsidRPr="003A003D">
        <w:rPr>
          <w:rFonts w:ascii="Times New Roman" w:hAnsi="Times New Roman" w:cs="Times New Roman"/>
          <w:b/>
          <w:sz w:val="22"/>
          <w:szCs w:val="22"/>
        </w:rPr>
        <w:t>)</w:t>
      </w:r>
    </w:p>
    <w:p w:rsidR="00787F25" w:rsidRPr="00473A34" w:rsidRDefault="00787F25" w:rsidP="005A5E8A">
      <w:pPr>
        <w:pStyle w:val="ConsPlusNorma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642"/>
      </w:tblGrid>
      <w:tr w:rsidR="005F7AF2" w:rsidRPr="003A003D" w:rsidTr="001B0A04">
        <w:tc>
          <w:tcPr>
            <w:tcW w:w="4820" w:type="dxa"/>
            <w:hideMark/>
          </w:tcPr>
          <w:p w:rsidR="005F7AF2" w:rsidRPr="003A003D" w:rsidRDefault="005F7AF2" w:rsidP="00787F25">
            <w:pPr>
              <w:pStyle w:val="ConsPlusNormal"/>
              <w:ind w:firstLine="0"/>
              <w:jc w:val="center"/>
              <w:rPr>
                <w:rFonts w:ascii="Times New Roman" w:hAnsi="Times New Roman" w:cs="Times New Roman"/>
                <w:b/>
              </w:rPr>
            </w:pPr>
            <w:r w:rsidRPr="003A003D">
              <w:rPr>
                <w:rFonts w:ascii="Times New Roman" w:hAnsi="Times New Roman" w:cs="Times New Roman"/>
                <w:b/>
              </w:rPr>
              <w:t>Старая редакция</w:t>
            </w:r>
          </w:p>
        </w:tc>
        <w:tc>
          <w:tcPr>
            <w:tcW w:w="4642" w:type="dxa"/>
          </w:tcPr>
          <w:p w:rsidR="005F7AF2" w:rsidRPr="003A003D" w:rsidRDefault="005F7AF2" w:rsidP="00787F25">
            <w:pPr>
              <w:pStyle w:val="ConsPlusNormal"/>
              <w:ind w:firstLine="0"/>
              <w:jc w:val="center"/>
              <w:rPr>
                <w:rFonts w:ascii="Times New Roman" w:hAnsi="Times New Roman" w:cs="Times New Roman"/>
                <w:b/>
              </w:rPr>
            </w:pPr>
            <w:r w:rsidRPr="003A003D">
              <w:rPr>
                <w:rFonts w:ascii="Times New Roman" w:hAnsi="Times New Roman" w:cs="Times New Roman"/>
                <w:b/>
              </w:rPr>
              <w:t>Новая редакция</w:t>
            </w:r>
          </w:p>
          <w:p w:rsidR="005F7AF2" w:rsidRPr="003A003D" w:rsidRDefault="005F7AF2" w:rsidP="00787F25">
            <w:pPr>
              <w:pStyle w:val="ConsPlusNormal"/>
              <w:ind w:firstLine="0"/>
              <w:jc w:val="center"/>
              <w:rPr>
                <w:rFonts w:ascii="Times New Roman" w:hAnsi="Times New Roman" w:cs="Times New Roman"/>
                <w:b/>
              </w:rPr>
            </w:pPr>
          </w:p>
        </w:tc>
      </w:tr>
      <w:tr w:rsidR="001B0A04" w:rsidRPr="003A003D" w:rsidTr="001B0A04">
        <w:tc>
          <w:tcPr>
            <w:tcW w:w="4820" w:type="dxa"/>
          </w:tcPr>
          <w:p w:rsidR="001B0A04" w:rsidRPr="00F170EE" w:rsidRDefault="00F170EE" w:rsidP="00F170EE">
            <w:pPr>
              <w:pStyle w:val="a4"/>
              <w:spacing w:before="0" w:after="0"/>
              <w:ind w:firstLine="567"/>
              <w:jc w:val="both"/>
              <w:rPr>
                <w:rFonts w:ascii="Times New Roman" w:hAnsi="Times New Roman" w:cs="Times New Roman"/>
                <w:sz w:val="20"/>
                <w:szCs w:val="20"/>
              </w:rPr>
            </w:pPr>
            <w:r w:rsidRPr="00F170EE">
              <w:rPr>
                <w:rFonts w:ascii="Times New Roman" w:hAnsi="Times New Roman" w:cs="Times New Roman"/>
                <w:sz w:val="20"/>
                <w:szCs w:val="20"/>
              </w:rPr>
              <w:t>1. Полное название паевого инвестиционного фонда (далее - фонд): Открытый паевой инвестиционный фонд акций «УРАЛСИБ Первый».</w:t>
            </w:r>
          </w:p>
        </w:tc>
        <w:tc>
          <w:tcPr>
            <w:tcW w:w="4642" w:type="dxa"/>
          </w:tcPr>
          <w:p w:rsidR="001B0A04" w:rsidRPr="003A003D" w:rsidRDefault="003A003D" w:rsidP="003A003D">
            <w:pPr>
              <w:pStyle w:val="a4"/>
              <w:spacing w:before="0" w:after="0"/>
              <w:ind w:firstLine="567"/>
              <w:jc w:val="both"/>
              <w:rPr>
                <w:rFonts w:ascii="Times New Roman" w:hAnsi="Times New Roman" w:cs="Times New Roman"/>
                <w:sz w:val="20"/>
                <w:szCs w:val="20"/>
              </w:rPr>
            </w:pPr>
            <w:r w:rsidRPr="003A003D">
              <w:rPr>
                <w:rFonts w:ascii="Times New Roman" w:hAnsi="Times New Roman" w:cs="Times New Roman"/>
                <w:sz w:val="20"/>
                <w:szCs w:val="20"/>
              </w:rPr>
              <w:t>1. Полное название паевого инвестиционного фонда (далее - фонд): Открытый паевой инвестиционный фонд рыночных финансовых инструментов «УРАЛСИБ Первый».</w:t>
            </w:r>
          </w:p>
        </w:tc>
      </w:tr>
      <w:tr w:rsidR="006B5371" w:rsidRPr="003A003D" w:rsidTr="001B0A04">
        <w:tc>
          <w:tcPr>
            <w:tcW w:w="4820" w:type="dxa"/>
          </w:tcPr>
          <w:p w:rsidR="006B5371" w:rsidRPr="00F170EE" w:rsidRDefault="00F170EE" w:rsidP="00F170EE">
            <w:pPr>
              <w:pStyle w:val="a4"/>
              <w:spacing w:before="0" w:after="0"/>
              <w:ind w:firstLine="567"/>
              <w:jc w:val="both"/>
              <w:rPr>
                <w:rFonts w:ascii="Times New Roman" w:hAnsi="Times New Roman" w:cs="Times New Roman"/>
                <w:sz w:val="20"/>
                <w:szCs w:val="20"/>
              </w:rPr>
            </w:pPr>
            <w:r w:rsidRPr="00F170EE">
              <w:rPr>
                <w:rFonts w:ascii="Times New Roman" w:hAnsi="Times New Roman" w:cs="Times New Roman"/>
                <w:sz w:val="20"/>
                <w:szCs w:val="20"/>
              </w:rPr>
              <w:t>2. Краткое название фонда: ОПИФ акций «УРАЛСИБ Первый».</w:t>
            </w:r>
          </w:p>
        </w:tc>
        <w:tc>
          <w:tcPr>
            <w:tcW w:w="4642" w:type="dxa"/>
          </w:tcPr>
          <w:p w:rsidR="006B5371" w:rsidRPr="003A003D" w:rsidRDefault="003A003D" w:rsidP="003A003D">
            <w:pPr>
              <w:pStyle w:val="a4"/>
              <w:spacing w:before="0" w:after="0"/>
              <w:ind w:firstLine="567"/>
              <w:jc w:val="both"/>
              <w:rPr>
                <w:rFonts w:ascii="Times New Roman" w:hAnsi="Times New Roman" w:cs="Times New Roman"/>
                <w:sz w:val="20"/>
                <w:szCs w:val="20"/>
              </w:rPr>
            </w:pPr>
            <w:r w:rsidRPr="003A003D">
              <w:rPr>
                <w:rFonts w:ascii="Times New Roman" w:hAnsi="Times New Roman" w:cs="Times New Roman"/>
                <w:sz w:val="20"/>
                <w:szCs w:val="20"/>
              </w:rPr>
              <w:t>2. Краткое название фонда: ОПИФ рыночных финансовых инструментов «УРАЛСИБ Первый».</w:t>
            </w:r>
          </w:p>
        </w:tc>
      </w:tr>
      <w:tr w:rsidR="006B5371" w:rsidRPr="003A003D" w:rsidTr="001B0A04">
        <w:tc>
          <w:tcPr>
            <w:tcW w:w="4820" w:type="dxa"/>
          </w:tcPr>
          <w:p w:rsidR="006B5371" w:rsidRPr="00F170EE" w:rsidRDefault="00F170EE" w:rsidP="00F170EE">
            <w:pPr>
              <w:pStyle w:val="BodyNum"/>
              <w:spacing w:after="0"/>
              <w:ind w:right="176" w:firstLine="567"/>
              <w:rPr>
                <w:sz w:val="20"/>
                <w:szCs w:val="20"/>
              </w:rPr>
            </w:pPr>
            <w:r w:rsidRPr="00F170EE">
              <w:rPr>
                <w:sz w:val="20"/>
                <w:szCs w:val="20"/>
              </w:rPr>
              <w:t>7. Полное фирменное наименование специализированного депозитария фонда (далее - специализированный депозитарий): Закрытое акционерное общество «Специализированный депозитарный центр».</w:t>
            </w:r>
          </w:p>
        </w:tc>
        <w:tc>
          <w:tcPr>
            <w:tcW w:w="4642" w:type="dxa"/>
          </w:tcPr>
          <w:p w:rsidR="006B5371" w:rsidRPr="003A003D" w:rsidRDefault="003A003D" w:rsidP="003A003D">
            <w:pPr>
              <w:pStyle w:val="BodyNum"/>
              <w:spacing w:after="0"/>
              <w:ind w:right="176" w:firstLine="567"/>
              <w:rPr>
                <w:sz w:val="20"/>
                <w:szCs w:val="20"/>
              </w:rPr>
            </w:pPr>
            <w:r w:rsidRPr="003A003D">
              <w:rPr>
                <w:sz w:val="20"/>
                <w:szCs w:val="20"/>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tc>
      </w:tr>
      <w:tr w:rsidR="006B5371" w:rsidRPr="003A003D" w:rsidTr="001B0A04">
        <w:tc>
          <w:tcPr>
            <w:tcW w:w="4820" w:type="dxa"/>
          </w:tcPr>
          <w:p w:rsidR="006B5371" w:rsidRPr="00F170EE" w:rsidRDefault="00F170EE" w:rsidP="00F170EE">
            <w:pPr>
              <w:pStyle w:val="BodyNum"/>
              <w:spacing w:after="0"/>
              <w:ind w:right="176" w:firstLine="567"/>
              <w:rPr>
                <w:sz w:val="20"/>
                <w:szCs w:val="20"/>
              </w:rPr>
            </w:pPr>
            <w:r w:rsidRPr="00F170EE">
              <w:rPr>
                <w:sz w:val="20"/>
                <w:szCs w:val="20"/>
              </w:rPr>
              <w:t>8. Место нахождения специализированного депозитария: 119048, г. Москва, ул. Ефремова, д. 8.</w:t>
            </w:r>
          </w:p>
        </w:tc>
        <w:tc>
          <w:tcPr>
            <w:tcW w:w="4642" w:type="dxa"/>
          </w:tcPr>
          <w:p w:rsidR="006B5371" w:rsidRPr="003A003D" w:rsidRDefault="003A003D" w:rsidP="003A003D">
            <w:pPr>
              <w:widowControl w:val="0"/>
              <w:autoSpaceDE w:val="0"/>
              <w:autoSpaceDN w:val="0"/>
              <w:adjustRightInd w:val="0"/>
              <w:spacing w:line="240" w:lineRule="auto"/>
              <w:ind w:right="-2" w:firstLine="567"/>
              <w:rPr>
                <w:rFonts w:ascii="Times New Roman" w:hAnsi="Times New Roman"/>
                <w:sz w:val="20"/>
              </w:rPr>
            </w:pPr>
            <w:r w:rsidRPr="003A003D">
              <w:rPr>
                <w:rFonts w:ascii="Times New Roman" w:hAnsi="Times New Roman"/>
                <w:sz w:val="20"/>
              </w:rPr>
              <w:t>8. Место нахождения специализированного депозитария: 197101, Санкт-Петербург, Петроградская набережная, дом 36, лит. А.</w:t>
            </w:r>
          </w:p>
        </w:tc>
      </w:tr>
      <w:tr w:rsidR="006B5371" w:rsidRPr="003A003D" w:rsidTr="001B0A04">
        <w:tc>
          <w:tcPr>
            <w:tcW w:w="4820" w:type="dxa"/>
          </w:tcPr>
          <w:p w:rsidR="006B5371" w:rsidRPr="00F170EE" w:rsidRDefault="00F170EE" w:rsidP="00F170EE">
            <w:pPr>
              <w:pStyle w:val="BodyNum"/>
              <w:spacing w:after="0"/>
              <w:ind w:right="176" w:firstLine="567"/>
              <w:rPr>
                <w:sz w:val="20"/>
                <w:szCs w:val="20"/>
              </w:rPr>
            </w:pPr>
            <w:r w:rsidRPr="00F170EE">
              <w:rPr>
                <w:sz w:val="20"/>
                <w:szCs w:val="20"/>
              </w:rPr>
              <w:t>9. Лицензия специализированного депозитария  от 17 июля 2000 года № 22-000-1-00007, предоставленная Федеральной службой по финансовым рынкам.</w:t>
            </w:r>
          </w:p>
        </w:tc>
        <w:tc>
          <w:tcPr>
            <w:tcW w:w="4642" w:type="dxa"/>
          </w:tcPr>
          <w:p w:rsidR="006B5371" w:rsidRPr="003A003D" w:rsidRDefault="003A003D" w:rsidP="003A003D">
            <w:pPr>
              <w:pStyle w:val="BodyNum"/>
              <w:spacing w:after="0"/>
              <w:ind w:right="176" w:firstLine="567"/>
              <w:rPr>
                <w:sz w:val="20"/>
                <w:szCs w:val="20"/>
              </w:rPr>
            </w:pPr>
            <w:r w:rsidRPr="003A003D">
              <w:rPr>
                <w:sz w:val="20"/>
                <w:szCs w:val="20"/>
              </w:rPr>
              <w:t>9. Лицензия специализированного депозитария  от 11 марта 2009 года № 22-000-0-00086, предоставленная ФСФР России.</w:t>
            </w:r>
          </w:p>
        </w:tc>
      </w:tr>
      <w:tr w:rsidR="006B5371" w:rsidRPr="003A003D" w:rsidTr="001B0A04">
        <w:tc>
          <w:tcPr>
            <w:tcW w:w="4820" w:type="dxa"/>
          </w:tcPr>
          <w:p w:rsidR="00F170EE" w:rsidRPr="00F170EE" w:rsidRDefault="00F170EE" w:rsidP="00F170EE">
            <w:pPr>
              <w:autoSpaceDE w:val="0"/>
              <w:autoSpaceDN w:val="0"/>
              <w:adjustRightInd w:val="0"/>
              <w:spacing w:line="240" w:lineRule="auto"/>
              <w:ind w:firstLine="567"/>
              <w:rPr>
                <w:rFonts w:ascii="Times New Roman" w:hAnsi="Times New Roman"/>
                <w:i/>
                <w:sz w:val="20"/>
              </w:rPr>
            </w:pPr>
            <w:r w:rsidRPr="00F170EE">
              <w:rPr>
                <w:rFonts w:ascii="Times New Roman" w:hAnsi="Times New Roman"/>
                <w:sz w:val="20"/>
              </w:rPr>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F170EE">
              <w:rPr>
                <w:rFonts w:ascii="Times New Roman" w:hAnsi="Times New Roman"/>
                <w:i/>
                <w:sz w:val="20"/>
              </w:rPr>
              <w:t>.</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 сумма величин открытой длинной позиции по всем фьючерсным и опционным контрактам не превышает:</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сумму денежных средств, включая иностранную валюту, составляющих активы фонда, на банковских счетах;</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xml:space="preserve">сумму денежных средств, составляющих активы фонда, включая иностранную валюту, во вкладах в кредитных организациях, имеющих </w:t>
            </w:r>
            <w:r w:rsidRPr="00F170EE">
              <w:rPr>
                <w:rFonts w:ascii="Times New Roman" w:hAnsi="Times New Roman"/>
                <w:sz w:val="20"/>
              </w:rPr>
              <w:lastRenderedPageBreak/>
              <w:t>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и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B5371" w:rsidRPr="00F170EE" w:rsidRDefault="00F170EE" w:rsidP="00F170EE">
            <w:pPr>
              <w:pStyle w:val="BodyNum"/>
              <w:spacing w:after="0"/>
              <w:ind w:right="176" w:firstLine="567"/>
              <w:rPr>
                <w:sz w:val="20"/>
                <w:szCs w:val="20"/>
              </w:rPr>
            </w:pPr>
            <w:r w:rsidRPr="00F170EE">
              <w:rPr>
                <w:sz w:val="20"/>
                <w:szCs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642" w:type="dxa"/>
          </w:tcPr>
          <w:p w:rsidR="003A003D" w:rsidRPr="003A003D" w:rsidRDefault="003A003D" w:rsidP="003A003D">
            <w:pPr>
              <w:autoSpaceDE w:val="0"/>
              <w:autoSpaceDN w:val="0"/>
              <w:adjustRightInd w:val="0"/>
              <w:spacing w:line="240" w:lineRule="auto"/>
              <w:ind w:firstLine="567"/>
              <w:rPr>
                <w:rFonts w:ascii="Times New Roman" w:hAnsi="Times New Roman"/>
                <w:i/>
                <w:sz w:val="20"/>
              </w:rPr>
            </w:pPr>
            <w:r w:rsidRPr="003A003D">
              <w:rPr>
                <w:rFonts w:ascii="Times New Roman" w:hAnsi="Times New Roman"/>
                <w:sz w:val="20"/>
              </w:rPr>
              <w:lastRenderedPageBreak/>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3A003D">
              <w:rPr>
                <w:rFonts w:ascii="Times New Roman" w:hAnsi="Times New Roman"/>
                <w:i/>
                <w:sz w:val="20"/>
              </w:rPr>
              <w:t>.</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2) сумма величин открытой длинной позиции по всем фьючерсным и опционным контрактам не превышает:</w:t>
            </w:r>
          </w:p>
          <w:p w:rsidR="003A003D" w:rsidRPr="003A003D" w:rsidRDefault="003A003D" w:rsidP="003A003D">
            <w:pPr>
              <w:pStyle w:val="af8"/>
              <w:numPr>
                <w:ilvl w:val="0"/>
                <w:numId w:val="34"/>
              </w:numPr>
              <w:autoSpaceDE w:val="0"/>
              <w:autoSpaceDN w:val="0"/>
              <w:adjustRightInd w:val="0"/>
              <w:spacing w:after="0" w:line="240" w:lineRule="auto"/>
              <w:ind w:left="0" w:firstLine="567"/>
              <w:jc w:val="both"/>
              <w:rPr>
                <w:rFonts w:ascii="Times New Roman" w:hAnsi="Times New Roman"/>
                <w:sz w:val="20"/>
                <w:szCs w:val="20"/>
              </w:rPr>
            </w:pPr>
            <w:r w:rsidRPr="003A003D">
              <w:rPr>
                <w:rFonts w:ascii="Times New Roman" w:hAnsi="Times New Roman"/>
                <w:sz w:val="20"/>
                <w:szCs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3A003D" w:rsidRPr="003A003D" w:rsidRDefault="003A003D" w:rsidP="003A003D">
            <w:pPr>
              <w:pStyle w:val="af8"/>
              <w:numPr>
                <w:ilvl w:val="0"/>
                <w:numId w:val="34"/>
              </w:numPr>
              <w:autoSpaceDE w:val="0"/>
              <w:autoSpaceDN w:val="0"/>
              <w:adjustRightInd w:val="0"/>
              <w:spacing w:after="0" w:line="240" w:lineRule="auto"/>
              <w:ind w:left="0" w:firstLine="567"/>
              <w:jc w:val="both"/>
              <w:rPr>
                <w:rFonts w:ascii="Times New Roman" w:hAnsi="Times New Roman"/>
                <w:sz w:val="20"/>
                <w:szCs w:val="20"/>
              </w:rPr>
            </w:pPr>
            <w:r w:rsidRPr="003A003D">
              <w:rPr>
                <w:rFonts w:ascii="Times New Roman" w:hAnsi="Times New Roman"/>
                <w:sz w:val="20"/>
                <w:szCs w:val="20"/>
              </w:rPr>
              <w:t>сумму денежных средств, включая иностранную валюту, составляющих активы фонда, на банковских счетах; и</w:t>
            </w:r>
          </w:p>
          <w:p w:rsidR="003A003D" w:rsidRPr="003A003D" w:rsidRDefault="003A003D" w:rsidP="003A003D">
            <w:pPr>
              <w:pStyle w:val="af8"/>
              <w:numPr>
                <w:ilvl w:val="0"/>
                <w:numId w:val="34"/>
              </w:numPr>
              <w:autoSpaceDE w:val="0"/>
              <w:autoSpaceDN w:val="0"/>
              <w:adjustRightInd w:val="0"/>
              <w:spacing w:after="0" w:line="240" w:lineRule="auto"/>
              <w:ind w:left="0" w:firstLine="567"/>
              <w:jc w:val="both"/>
              <w:rPr>
                <w:rFonts w:ascii="Times New Roman" w:hAnsi="Times New Roman"/>
                <w:sz w:val="20"/>
                <w:szCs w:val="20"/>
              </w:rPr>
            </w:pPr>
            <w:r w:rsidRPr="003A003D">
              <w:rPr>
                <w:rFonts w:ascii="Times New Roman" w:hAnsi="Times New Roman"/>
                <w:sz w:val="20"/>
                <w:szCs w:val="20"/>
              </w:rPr>
              <w:t xml:space="preserve">сумму денежных средств, составляющих активы фонда, включая иностранную валюту, во </w:t>
            </w:r>
            <w:r w:rsidRPr="003A003D">
              <w:rPr>
                <w:rFonts w:ascii="Times New Roman" w:hAnsi="Times New Roman"/>
                <w:sz w:val="20"/>
                <w:szCs w:val="20"/>
              </w:rPr>
              <w:lastRenderedPageBreak/>
              <w:t>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3A003D" w:rsidRPr="003A003D" w:rsidRDefault="003A003D" w:rsidP="003A003D">
            <w:pPr>
              <w:pStyle w:val="af8"/>
              <w:numPr>
                <w:ilvl w:val="0"/>
                <w:numId w:val="34"/>
              </w:numPr>
              <w:autoSpaceDE w:val="0"/>
              <w:autoSpaceDN w:val="0"/>
              <w:adjustRightInd w:val="0"/>
              <w:spacing w:after="0" w:line="240" w:lineRule="auto"/>
              <w:ind w:left="0" w:firstLine="567"/>
              <w:jc w:val="both"/>
              <w:rPr>
                <w:rFonts w:ascii="Times New Roman" w:hAnsi="Times New Roman"/>
                <w:sz w:val="20"/>
                <w:szCs w:val="20"/>
              </w:rPr>
            </w:pPr>
            <w:r w:rsidRPr="003A003D">
              <w:rPr>
                <w:rFonts w:ascii="Times New Roman" w:hAnsi="Times New Roman"/>
                <w:sz w:val="20"/>
                <w:szCs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3A003D" w:rsidRPr="003A003D" w:rsidRDefault="003A003D" w:rsidP="003A003D">
            <w:pPr>
              <w:pStyle w:val="af8"/>
              <w:numPr>
                <w:ilvl w:val="0"/>
                <w:numId w:val="34"/>
              </w:numPr>
              <w:autoSpaceDE w:val="0"/>
              <w:autoSpaceDN w:val="0"/>
              <w:adjustRightInd w:val="0"/>
              <w:spacing w:after="0" w:line="240" w:lineRule="auto"/>
              <w:ind w:left="0" w:firstLine="567"/>
              <w:jc w:val="both"/>
              <w:rPr>
                <w:rFonts w:ascii="Times New Roman" w:hAnsi="Times New Roman"/>
                <w:sz w:val="20"/>
                <w:szCs w:val="20"/>
              </w:rPr>
            </w:pPr>
            <w:r w:rsidRPr="003A003D">
              <w:rPr>
                <w:rFonts w:ascii="Times New Roman" w:hAnsi="Times New Roman"/>
                <w:sz w:val="20"/>
                <w:szCs w:val="20"/>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B5371" w:rsidRPr="003A003D" w:rsidRDefault="003A003D" w:rsidP="003A003D">
            <w:pPr>
              <w:pStyle w:val="BodyNum"/>
              <w:spacing w:after="0"/>
              <w:ind w:right="176" w:firstLine="567"/>
              <w:rPr>
                <w:sz w:val="20"/>
                <w:szCs w:val="20"/>
              </w:rPr>
            </w:pPr>
            <w:r w:rsidRPr="003A003D">
              <w:rPr>
                <w:sz w:val="20"/>
                <w:szCs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r w:rsidR="003A003D" w:rsidRPr="003A003D" w:rsidTr="001B0A04">
        <w:tc>
          <w:tcPr>
            <w:tcW w:w="4820" w:type="dxa"/>
          </w:tcPr>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lastRenderedPageBreak/>
              <w:t>22. Объекты инвестирования, их состав и описание.</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22.1. Имущество, составляющее фонд, может быть инвестировано 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1) денежные средства, в том числе иностранная валюта, на счетах и во вкладах в кредитных организациях;</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 полностью оплаченные акции российских открытых акционерных обществ;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3) полностью оплаченные акции иностранных акционерных обществ;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4) долговые инструменты, включая:</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а) облигации российских хозяйственных обществ;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б) биржевые облигации российских хозяйственных обществ;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г) облигации иностранных эмитентов и международных финансовых организаций (далее вместе - облигации иностранных эмитентов);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xml:space="preserve">6) паи (акции) иностранных инвестиционных фондов, проспектом которых предусмотрено, что не менее 80 (Восьмидесяти) процентов активов </w:t>
            </w:r>
            <w:r w:rsidRPr="00F170EE">
              <w:rPr>
                <w:rFonts w:ascii="Times New Roman" w:hAnsi="Times New Roman"/>
                <w:sz w:val="20"/>
              </w:rPr>
              <w:lastRenderedPageBreak/>
              <w:t>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22.9 настоящих Правил, - значение «С», пятая буква - значение «S»;</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7) российские и иностранные депозитарные расписки на ценные бумаги, предусмотренные настоящим пунктом;</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8) имущественные права из фьючерсных и опционных договоров (контрактов), базовым активом которых является имущество (индекс), предусмотренное пунктом 22.12 настоящих Правил.</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22.2. Облигации российских хозяйственных обществ могут входить в состав активов фонда,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22.3. Облигации иностранных эмитентов и международных финансовых организаций могут входить в состав активов фонда,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22.4. Имущество, составляющее фонд, может быть инвестировано в облигации, эмитентами которых могут быть:</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российские органы государственной власти;</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xml:space="preserve">- иностранные органы государственной власти; </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xml:space="preserve">- органы местного самоуправления; </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xml:space="preserve">- международные финансовые организации; </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российские юридические лица;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иностранные юридические лица.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22.5.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22.6.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22.7. В активы фонда могут приобретаться обыкновенные и привилегированные акции.</w:t>
            </w:r>
          </w:p>
          <w:p w:rsidR="00F170EE" w:rsidRPr="00F170EE" w:rsidRDefault="00F170EE" w:rsidP="00F170EE">
            <w:pPr>
              <w:pStyle w:val="a4"/>
              <w:spacing w:before="0" w:after="0"/>
              <w:ind w:firstLine="567"/>
              <w:jc w:val="both"/>
              <w:rPr>
                <w:rFonts w:ascii="Times New Roman" w:hAnsi="Times New Roman" w:cs="Times New Roman"/>
                <w:sz w:val="20"/>
                <w:szCs w:val="20"/>
              </w:rPr>
            </w:pPr>
            <w:r w:rsidRPr="00F170EE">
              <w:rPr>
                <w:rFonts w:ascii="Times New Roman" w:hAnsi="Times New Roman" w:cs="Times New Roman"/>
                <w:sz w:val="20"/>
                <w:szCs w:val="20"/>
              </w:rPr>
              <w:t>22.8. Лица, обязанные по:</w:t>
            </w:r>
          </w:p>
          <w:p w:rsidR="00F170EE" w:rsidRPr="00F170EE" w:rsidRDefault="00F170EE" w:rsidP="00F170EE">
            <w:pPr>
              <w:pStyle w:val="a4"/>
              <w:spacing w:before="0" w:after="0"/>
              <w:ind w:firstLine="567"/>
              <w:jc w:val="both"/>
              <w:rPr>
                <w:rFonts w:ascii="Times New Roman" w:hAnsi="Times New Roman" w:cs="Times New Roman"/>
                <w:sz w:val="20"/>
                <w:szCs w:val="20"/>
              </w:rPr>
            </w:pPr>
            <w:r w:rsidRPr="00F170EE">
              <w:rPr>
                <w:rFonts w:ascii="Times New Roman" w:hAnsi="Times New Roman" w:cs="Times New Roman"/>
                <w:sz w:val="20"/>
                <w:szCs w:val="20"/>
              </w:rPr>
              <w:lastRenderedPageBreak/>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акциям российских открытых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w:t>
            </w:r>
          </w:p>
          <w:p w:rsidR="00F170EE" w:rsidRPr="00F170EE" w:rsidRDefault="00F170EE" w:rsidP="00F170EE">
            <w:pPr>
              <w:pStyle w:val="a4"/>
              <w:spacing w:before="0" w:after="0"/>
              <w:ind w:firstLine="567"/>
              <w:jc w:val="both"/>
              <w:rPr>
                <w:rFonts w:ascii="Times New Roman" w:hAnsi="Times New Roman" w:cs="Times New Roman"/>
                <w:sz w:val="20"/>
                <w:szCs w:val="20"/>
              </w:rPr>
            </w:pPr>
            <w:r w:rsidRPr="00F170EE">
              <w:rPr>
                <w:rFonts w:ascii="Times New Roman" w:hAnsi="Times New Roman" w:cs="Times New Roman"/>
                <w:sz w:val="20"/>
                <w:szCs w:val="20"/>
              </w:rPr>
              <w:t>- облигациям иностранных эмитентов, акциям иностранных акционерных обществ, иностранным депозитарным распискам, паям (акциям) иностранных инвестиционных фондов должны быть зарегистрированы в Соединенных Штатах Америки, Европейском Союзе, Организации экономического сотрудничества и развития, Содружестве Независимых Государств, а также в Британских Виргинских Островах, Республике Сейшельские Острова́, Бермудских островах, Каймановых островах, острове Джерси, острове Гернси, острове Мэн, Малайзии, Китайской Народной Республике, Федеративной Республике Бразилия, Аргентинской Республике, Южно - Африканской Республике, Республике Сингапур.</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22.9.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и паи (акции) иностранных инвестиционных фондов, если указанные ценные бумаги прошли процедуру листинга на одной из следующих фондовых бирж:</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1) Американская Фондовая биржа (American Stock Exchange);</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2) Гонконгская Фондовая биржа (Hong Kong Stock Exchange);</w:t>
            </w:r>
          </w:p>
          <w:p w:rsidR="00F170EE" w:rsidRPr="00F170EE" w:rsidRDefault="00F170EE" w:rsidP="00F170EE">
            <w:pPr>
              <w:spacing w:line="240" w:lineRule="auto"/>
              <w:ind w:firstLine="567"/>
              <w:rPr>
                <w:rFonts w:ascii="Times New Roman" w:hAnsi="Times New Roman"/>
                <w:sz w:val="20"/>
                <w:lang w:val="en-US"/>
              </w:rPr>
            </w:pPr>
            <w:r w:rsidRPr="00F170EE">
              <w:rPr>
                <w:rFonts w:ascii="Times New Roman" w:hAnsi="Times New Roman"/>
                <w:sz w:val="20"/>
                <w:lang w:val="en-US"/>
              </w:rPr>
              <w:t xml:space="preserve">3) </w:t>
            </w:r>
            <w:r w:rsidRPr="00F170EE">
              <w:rPr>
                <w:rFonts w:ascii="Times New Roman" w:hAnsi="Times New Roman"/>
                <w:sz w:val="20"/>
              </w:rPr>
              <w:t>Евронекст</w:t>
            </w:r>
            <w:r w:rsidRPr="00F170EE">
              <w:rPr>
                <w:rFonts w:ascii="Times New Roman" w:hAnsi="Times New Roman"/>
                <w:sz w:val="20"/>
                <w:lang w:val="en-US"/>
              </w:rPr>
              <w:t xml:space="preserve"> (Euronext Amsterdam, Euronext Brussels, Euronext Lisbon, Euronext Paris);</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4) Закрытое акционерное общество «Фондовая биржа ММВБ»;</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5) Ирландская Фондовая биржа (Irish Stock Exchange);</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6) Испанская Фондовая биржа (BME Spanish Exchanges);</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7) Итальянская Фондовая биржа (Borsa Italiana);</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8) Корейская биржа (Korea Exchange);</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9) Лондонская Фондовая биржа (London Stock Exchange);</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10) Люксембургская Фондовая биржа (Luxembourg Stock Exchange);</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11) Насдак (Nasdaq);</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12) Немецкая Фондовая биржа (Deutsche Borse);</w:t>
            </w:r>
          </w:p>
          <w:p w:rsidR="00F170EE" w:rsidRPr="00F170EE" w:rsidRDefault="00F170EE" w:rsidP="00F170EE">
            <w:pPr>
              <w:spacing w:line="240" w:lineRule="auto"/>
              <w:ind w:firstLine="567"/>
              <w:rPr>
                <w:rFonts w:ascii="Times New Roman" w:hAnsi="Times New Roman"/>
                <w:sz w:val="20"/>
                <w:lang w:val="en-US"/>
              </w:rPr>
            </w:pPr>
            <w:r w:rsidRPr="00F170EE">
              <w:rPr>
                <w:rFonts w:ascii="Times New Roman" w:hAnsi="Times New Roman"/>
                <w:sz w:val="20"/>
                <w:lang w:val="en-US"/>
              </w:rPr>
              <w:t xml:space="preserve">13) </w:t>
            </w:r>
            <w:r w:rsidRPr="00F170EE">
              <w:rPr>
                <w:rFonts w:ascii="Times New Roman" w:hAnsi="Times New Roman"/>
                <w:sz w:val="20"/>
              </w:rPr>
              <w:t>Нью</w:t>
            </w:r>
            <w:r w:rsidRPr="00F170EE">
              <w:rPr>
                <w:rFonts w:ascii="Times New Roman" w:hAnsi="Times New Roman"/>
                <w:sz w:val="20"/>
                <w:lang w:val="en-US"/>
              </w:rPr>
              <w:t>-</w:t>
            </w:r>
            <w:r w:rsidRPr="00F170EE">
              <w:rPr>
                <w:rFonts w:ascii="Times New Roman" w:hAnsi="Times New Roman"/>
                <w:sz w:val="20"/>
              </w:rPr>
              <w:t>Йоркская</w:t>
            </w:r>
            <w:r w:rsidRPr="00F170EE">
              <w:rPr>
                <w:rFonts w:ascii="Times New Roman" w:hAnsi="Times New Roman"/>
                <w:sz w:val="20"/>
                <w:lang w:val="en-US"/>
              </w:rPr>
              <w:t xml:space="preserve"> </w:t>
            </w:r>
            <w:r w:rsidRPr="00F170EE">
              <w:rPr>
                <w:rFonts w:ascii="Times New Roman" w:hAnsi="Times New Roman"/>
                <w:sz w:val="20"/>
              </w:rPr>
              <w:t>Фондовая</w:t>
            </w:r>
            <w:r w:rsidRPr="00F170EE">
              <w:rPr>
                <w:rFonts w:ascii="Times New Roman" w:hAnsi="Times New Roman"/>
                <w:sz w:val="20"/>
                <w:lang w:val="en-US"/>
              </w:rPr>
              <w:t xml:space="preserve"> </w:t>
            </w:r>
            <w:r w:rsidRPr="00F170EE">
              <w:rPr>
                <w:rFonts w:ascii="Times New Roman" w:hAnsi="Times New Roman"/>
                <w:sz w:val="20"/>
              </w:rPr>
              <w:t>биржа</w:t>
            </w:r>
            <w:r w:rsidRPr="00F170EE">
              <w:rPr>
                <w:rFonts w:ascii="Times New Roman" w:hAnsi="Times New Roman"/>
                <w:sz w:val="20"/>
                <w:lang w:val="en-US"/>
              </w:rPr>
              <w:t xml:space="preserve"> (New York Stock Exchange);</w:t>
            </w:r>
          </w:p>
          <w:p w:rsidR="00F170EE" w:rsidRPr="00F170EE" w:rsidRDefault="00F170EE" w:rsidP="00F170EE">
            <w:pPr>
              <w:spacing w:line="240" w:lineRule="auto"/>
              <w:ind w:firstLine="567"/>
              <w:rPr>
                <w:rFonts w:ascii="Times New Roman" w:hAnsi="Times New Roman"/>
                <w:sz w:val="20"/>
                <w:lang w:val="en-US"/>
              </w:rPr>
            </w:pPr>
            <w:r w:rsidRPr="00F170EE">
              <w:rPr>
                <w:rFonts w:ascii="Times New Roman" w:hAnsi="Times New Roman"/>
                <w:sz w:val="20"/>
                <w:lang w:val="en-US"/>
              </w:rPr>
              <w:t xml:space="preserve">14) </w:t>
            </w:r>
            <w:r w:rsidRPr="00F170EE">
              <w:rPr>
                <w:rFonts w:ascii="Times New Roman" w:hAnsi="Times New Roman"/>
                <w:sz w:val="20"/>
              </w:rPr>
              <w:t>Токийская</w:t>
            </w:r>
            <w:r w:rsidRPr="00F170EE">
              <w:rPr>
                <w:rFonts w:ascii="Times New Roman" w:hAnsi="Times New Roman"/>
                <w:sz w:val="20"/>
                <w:lang w:val="en-US"/>
              </w:rPr>
              <w:t xml:space="preserve"> </w:t>
            </w:r>
            <w:r w:rsidRPr="00F170EE">
              <w:rPr>
                <w:rFonts w:ascii="Times New Roman" w:hAnsi="Times New Roman"/>
                <w:sz w:val="20"/>
              </w:rPr>
              <w:t>Фондовая</w:t>
            </w:r>
            <w:r w:rsidRPr="00F170EE">
              <w:rPr>
                <w:rFonts w:ascii="Times New Roman" w:hAnsi="Times New Roman"/>
                <w:sz w:val="20"/>
                <w:lang w:val="en-US"/>
              </w:rPr>
              <w:t xml:space="preserve"> </w:t>
            </w:r>
            <w:r w:rsidRPr="00F170EE">
              <w:rPr>
                <w:rFonts w:ascii="Times New Roman" w:hAnsi="Times New Roman"/>
                <w:sz w:val="20"/>
              </w:rPr>
              <w:t>биржа</w:t>
            </w:r>
            <w:r w:rsidRPr="00F170EE">
              <w:rPr>
                <w:rFonts w:ascii="Times New Roman" w:hAnsi="Times New Roman"/>
                <w:sz w:val="20"/>
                <w:lang w:val="en-US"/>
              </w:rPr>
              <w:t xml:space="preserve"> (Tokyo Stock Exchange Group);</w:t>
            </w:r>
          </w:p>
          <w:p w:rsidR="00F170EE" w:rsidRPr="00F170EE" w:rsidRDefault="00F170EE" w:rsidP="00F170EE">
            <w:pPr>
              <w:spacing w:line="240" w:lineRule="auto"/>
              <w:ind w:firstLine="567"/>
              <w:rPr>
                <w:rFonts w:ascii="Times New Roman" w:hAnsi="Times New Roman"/>
                <w:sz w:val="20"/>
                <w:lang w:val="en-US"/>
              </w:rPr>
            </w:pPr>
            <w:r w:rsidRPr="00F170EE">
              <w:rPr>
                <w:rFonts w:ascii="Times New Roman" w:hAnsi="Times New Roman"/>
                <w:sz w:val="20"/>
                <w:lang w:val="en-US"/>
              </w:rPr>
              <w:t xml:space="preserve">15) </w:t>
            </w:r>
            <w:r w:rsidRPr="00F170EE">
              <w:rPr>
                <w:rFonts w:ascii="Times New Roman" w:hAnsi="Times New Roman"/>
                <w:sz w:val="20"/>
              </w:rPr>
              <w:t>Фондовая</w:t>
            </w:r>
            <w:r w:rsidRPr="00F170EE">
              <w:rPr>
                <w:rFonts w:ascii="Times New Roman" w:hAnsi="Times New Roman"/>
                <w:sz w:val="20"/>
                <w:lang w:val="en-US"/>
              </w:rPr>
              <w:t xml:space="preserve"> </w:t>
            </w:r>
            <w:r w:rsidRPr="00F170EE">
              <w:rPr>
                <w:rFonts w:ascii="Times New Roman" w:hAnsi="Times New Roman"/>
                <w:sz w:val="20"/>
              </w:rPr>
              <w:t>биржа</w:t>
            </w:r>
            <w:r w:rsidRPr="00F170EE">
              <w:rPr>
                <w:rFonts w:ascii="Times New Roman" w:hAnsi="Times New Roman"/>
                <w:sz w:val="20"/>
                <w:lang w:val="en-US"/>
              </w:rPr>
              <w:t xml:space="preserve"> </w:t>
            </w:r>
            <w:r w:rsidRPr="00F170EE">
              <w:rPr>
                <w:rFonts w:ascii="Times New Roman" w:hAnsi="Times New Roman"/>
                <w:sz w:val="20"/>
              </w:rPr>
              <w:t>Торонто</w:t>
            </w:r>
            <w:r w:rsidRPr="00F170EE">
              <w:rPr>
                <w:rFonts w:ascii="Times New Roman" w:hAnsi="Times New Roman"/>
                <w:sz w:val="20"/>
                <w:lang w:val="en-US"/>
              </w:rPr>
              <w:t xml:space="preserve"> (Toronto Stock Exchange, TSX Group);</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16) Фондовая биржа Швейцарии (Swiss Exchange);</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lastRenderedPageBreak/>
              <w:t>17) Шанхайская Фондовая биржа (Shanghai Stock Exchange).</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и паи (акции) иностранных инвестиционных фондов открытого типа.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22.10. Ценные бумаги, входящие в состав активов фонда, могут быть, как допущены, так и не допущены к торгам организаторов торговли на рынке ценных бумаг.</w:t>
            </w:r>
          </w:p>
          <w:p w:rsidR="00F170EE" w:rsidRPr="00F170EE" w:rsidRDefault="00F170EE" w:rsidP="00F170EE">
            <w:pPr>
              <w:pStyle w:val="a4"/>
              <w:spacing w:before="0" w:after="0"/>
              <w:ind w:firstLine="567"/>
              <w:jc w:val="both"/>
              <w:rPr>
                <w:rFonts w:ascii="Times New Roman" w:hAnsi="Times New Roman" w:cs="Times New Roman"/>
                <w:sz w:val="20"/>
                <w:szCs w:val="20"/>
              </w:rPr>
            </w:pPr>
            <w:r w:rsidRPr="00F170EE">
              <w:rPr>
                <w:rFonts w:ascii="Times New Roman" w:hAnsi="Times New Roman" w:cs="Times New Roman"/>
                <w:sz w:val="20"/>
                <w:szCs w:val="20"/>
              </w:rPr>
              <w:t>22.11. Имущество, составляющее фонд, может быть инвестировано в ценные бумаги, как включенные, так и не включенные в котировальные списки фондовых бирж.</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22.</w:t>
            </w:r>
            <w:r w:rsidRPr="00F170EE">
              <w:rPr>
                <w:rFonts w:ascii="Times New Roman" w:hAnsi="Times New Roman"/>
                <w:bCs/>
                <w:sz w:val="20"/>
              </w:rPr>
              <w:t>12</w:t>
            </w:r>
            <w:r w:rsidRPr="00F170EE">
              <w:rPr>
                <w:rFonts w:ascii="Times New Roman" w:hAnsi="Times New Roman"/>
                <w:sz w:val="20"/>
              </w:rPr>
              <w:t>. Под базовым активом фьючерсных и опционных договоров (контрактов), указанных в подпункте 8 пункта 22.1 настоящих Правил понимаются:</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б) имущество, указанное в подпунктах 1-7 пункта 22.1 настоящих Правил.</w:t>
            </w:r>
          </w:p>
          <w:p w:rsidR="00F170EE" w:rsidRPr="00F170EE" w:rsidRDefault="00F170EE" w:rsidP="00F170EE">
            <w:pPr>
              <w:pStyle w:val="BodyNum"/>
              <w:spacing w:after="0"/>
              <w:ind w:firstLine="567"/>
              <w:rPr>
                <w:sz w:val="20"/>
                <w:szCs w:val="20"/>
              </w:rPr>
            </w:pPr>
            <w:r w:rsidRPr="00F170EE">
              <w:rPr>
                <w:sz w:val="20"/>
                <w:szCs w:val="20"/>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F170EE" w:rsidRPr="00F170EE" w:rsidRDefault="00F170EE" w:rsidP="00F170EE">
            <w:pPr>
              <w:pStyle w:val="BodyNum"/>
              <w:spacing w:after="0"/>
              <w:ind w:firstLine="567"/>
              <w:rPr>
                <w:bCs/>
                <w:sz w:val="20"/>
                <w:szCs w:val="20"/>
              </w:rPr>
            </w:pPr>
            <w:bookmarkStart w:id="0" w:name="p_28"/>
            <w:bookmarkEnd w:id="0"/>
            <w:r w:rsidRPr="00F170EE">
              <w:rPr>
                <w:bCs/>
                <w:sz w:val="20"/>
                <w:szCs w:val="20"/>
              </w:rPr>
              <w:t>22.13. В период формирования фонда:</w:t>
            </w:r>
          </w:p>
          <w:p w:rsidR="00F170EE" w:rsidRPr="00F170EE" w:rsidRDefault="00F170EE" w:rsidP="00F170EE">
            <w:pPr>
              <w:pStyle w:val="BodyNum"/>
              <w:spacing w:after="0"/>
              <w:ind w:firstLine="567"/>
              <w:rPr>
                <w:sz w:val="20"/>
                <w:szCs w:val="20"/>
              </w:rPr>
            </w:pPr>
            <w:r w:rsidRPr="00F170EE">
              <w:rPr>
                <w:sz w:val="20"/>
                <w:szCs w:val="20"/>
              </w:rPr>
              <w:t>Управляющая компания обязана, суммы денежных средств, поступающие в течение срока первичного размещения за размещаемые паи, направить в соответствии с Порядком создания ПИФов на приобретение принадлежавших ранее ОАО «ЧИФ «ЛУКойл Фонд» акций, ОАО «Нефтяная компания «ЛУКОЙЛ» и ОАО «Омский нефтеп</w:t>
            </w:r>
            <w:r w:rsidRPr="00F170EE">
              <w:rPr>
                <w:sz w:val="20"/>
                <w:szCs w:val="20"/>
              </w:rPr>
              <w:t>е</w:t>
            </w:r>
            <w:r w:rsidRPr="00F170EE">
              <w:rPr>
                <w:sz w:val="20"/>
                <w:szCs w:val="20"/>
              </w:rPr>
              <w:t>рерабатывающий завод». Управляющая компания на денежные средства, поступившие в состав имущества фонда, приобретает у ЗАО «ЛУКойл Фонд Инвест» активы, проданные ей в соответствии с решением о</w:t>
            </w:r>
            <w:r w:rsidRPr="00F170EE">
              <w:rPr>
                <w:sz w:val="20"/>
                <w:szCs w:val="20"/>
              </w:rPr>
              <w:t>б</w:t>
            </w:r>
            <w:r w:rsidRPr="00F170EE">
              <w:rPr>
                <w:sz w:val="20"/>
                <w:szCs w:val="20"/>
              </w:rPr>
              <w:t>щего собрания акционеров ЧИФа от 15.01.97 г.</w:t>
            </w:r>
          </w:p>
          <w:p w:rsidR="003A003D" w:rsidRPr="00F170EE" w:rsidRDefault="00F170EE" w:rsidP="00F170EE">
            <w:pPr>
              <w:pStyle w:val="BodyNum"/>
              <w:spacing w:after="0"/>
              <w:ind w:right="176" w:firstLine="567"/>
              <w:rPr>
                <w:sz w:val="20"/>
                <w:szCs w:val="20"/>
              </w:rPr>
            </w:pPr>
            <w:r w:rsidRPr="00F170EE">
              <w:rPr>
                <w:sz w:val="20"/>
                <w:szCs w:val="20"/>
              </w:rPr>
              <w:t>Активы приобретаются Управляющей компанией пропорционально количеству размещенных инвестиционных паев. Количество приобретаемых ценных бумаг каждого вида рассчитывается следующим образом: общее количество ценных бумаг каждого вида делится на общее количество акций ЧИФа - 5.000.000 (Пять миллионов), полученная цифра умножается на количество размещенных паев.</w:t>
            </w:r>
          </w:p>
        </w:tc>
        <w:tc>
          <w:tcPr>
            <w:tcW w:w="4642" w:type="dxa"/>
          </w:tcPr>
          <w:p w:rsidR="001D6D90" w:rsidRPr="0054175C" w:rsidRDefault="001D6D90" w:rsidP="009A53D5">
            <w:pPr>
              <w:autoSpaceDE w:val="0"/>
              <w:autoSpaceDN w:val="0"/>
              <w:adjustRightInd w:val="0"/>
              <w:spacing w:line="240" w:lineRule="auto"/>
              <w:ind w:firstLine="567"/>
              <w:rPr>
                <w:rFonts w:ascii="Times New Roman" w:hAnsi="Times New Roman"/>
                <w:sz w:val="20"/>
              </w:rPr>
            </w:pPr>
            <w:r w:rsidRPr="0054175C">
              <w:rPr>
                <w:rFonts w:ascii="Times New Roman" w:hAnsi="Times New Roman"/>
                <w:sz w:val="20"/>
              </w:rPr>
              <w:lastRenderedPageBreak/>
              <w:t>22. Объекты инвестирования, их состав и описание.</w:t>
            </w:r>
          </w:p>
          <w:p w:rsidR="001D6D90" w:rsidRPr="0054175C" w:rsidRDefault="001D6D90" w:rsidP="009A53D5">
            <w:pPr>
              <w:spacing w:line="240" w:lineRule="auto"/>
              <w:ind w:firstLine="540"/>
              <w:rPr>
                <w:rFonts w:ascii="Times New Roman" w:hAnsi="Times New Roman"/>
                <w:sz w:val="20"/>
              </w:rPr>
            </w:pPr>
            <w:r w:rsidRPr="0054175C">
              <w:rPr>
                <w:rFonts w:ascii="Times New Roman" w:hAnsi="Times New Roman"/>
                <w:sz w:val="20"/>
              </w:rPr>
              <w:t>22.1. Имущество, составляющее фонд, может быть инвестировано в:</w:t>
            </w:r>
          </w:p>
          <w:p w:rsidR="009A53D5" w:rsidRPr="0054175C" w:rsidRDefault="009A53D5" w:rsidP="009A53D5">
            <w:pPr>
              <w:autoSpaceDE w:val="0"/>
              <w:autoSpaceDN w:val="0"/>
              <w:adjustRightInd w:val="0"/>
              <w:spacing w:line="240" w:lineRule="auto"/>
              <w:ind w:firstLine="567"/>
              <w:rPr>
                <w:rFonts w:ascii="Times New Roman" w:hAnsi="Times New Roman"/>
                <w:sz w:val="20"/>
              </w:rPr>
            </w:pPr>
            <w:r w:rsidRPr="0054175C">
              <w:rPr>
                <w:rFonts w:ascii="Times New Roman" w:hAnsi="Times New Roman"/>
                <w:sz w:val="20"/>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9A53D5" w:rsidRPr="0054175C" w:rsidRDefault="009A53D5"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9A53D5" w:rsidRPr="0054175C" w:rsidRDefault="009A53D5"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 xml:space="preserve">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w:t>
            </w:r>
            <w:r w:rsidRPr="0054175C">
              <w:rPr>
                <w:rFonts w:ascii="Times New Roman" w:hAnsi="Times New Roman"/>
                <w:sz w:val="20"/>
              </w:rPr>
              <w:lastRenderedPageBreak/>
              <w:t>торгам (или в отношении которых биржей не принято решение о включении в котировальные списки) на биржах Российской Федерации или иностранных биржах.</w:t>
            </w:r>
          </w:p>
          <w:p w:rsidR="00587E48" w:rsidRPr="0054175C" w:rsidRDefault="00587E48" w:rsidP="00587E48">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3) Паи (акции) иностранных инвестиционных фондов, открытого и закрытого типа, при этом:</w:t>
            </w:r>
          </w:p>
          <w:p w:rsidR="00587E48" w:rsidRPr="0054175C" w:rsidRDefault="00587E48" w:rsidP="00587E48">
            <w:pPr>
              <w:pStyle w:val="af8"/>
              <w:numPr>
                <w:ilvl w:val="0"/>
                <w:numId w:val="37"/>
              </w:numPr>
              <w:spacing w:after="0" w:line="240" w:lineRule="auto"/>
              <w:jc w:val="both"/>
              <w:rPr>
                <w:rFonts w:ascii="Times New Roman" w:hAnsi="Times New Roman"/>
                <w:sz w:val="20"/>
                <w:szCs w:val="20"/>
              </w:rPr>
            </w:pPr>
            <w:r w:rsidRPr="0054175C">
              <w:rPr>
                <w:rFonts w:ascii="Times New Roman" w:hAnsi="Times New Roman"/>
                <w:sz w:val="20"/>
                <w:szCs w:val="20"/>
              </w:rPr>
              <w:t>в случае использования стандарта ISO 10962:2001, присвоенный указанным 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9A53D5" w:rsidRPr="0054175C" w:rsidRDefault="00587E48" w:rsidP="00587E48">
            <w:pPr>
              <w:pStyle w:val="af8"/>
              <w:numPr>
                <w:ilvl w:val="0"/>
                <w:numId w:val="37"/>
              </w:numPr>
              <w:spacing w:after="0" w:line="240" w:lineRule="auto"/>
              <w:jc w:val="both"/>
              <w:rPr>
                <w:rFonts w:ascii="Times New Roman" w:hAnsi="Times New Roman"/>
                <w:sz w:val="20"/>
                <w:szCs w:val="20"/>
              </w:rPr>
            </w:pPr>
            <w:r w:rsidRPr="0054175C">
              <w:rPr>
                <w:rFonts w:ascii="Times New Roman" w:hAnsi="Times New Roman"/>
                <w:sz w:val="20"/>
                <w:szCs w:val="20"/>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54175C">
              <w:rPr>
                <w:rFonts w:ascii="Times New Roman" w:hAnsi="Times New Roman"/>
                <w:sz w:val="20"/>
                <w:szCs w:val="20"/>
                <w:lang w:val="en-US"/>
              </w:rPr>
              <w:t>I</w:t>
            </w:r>
            <w:r w:rsidRPr="0054175C">
              <w:rPr>
                <w:rFonts w:ascii="Times New Roman" w:hAnsi="Times New Roman"/>
                <w:sz w:val="20"/>
                <w:szCs w:val="20"/>
              </w:rPr>
              <w:t>», или «</w:t>
            </w:r>
            <w:r w:rsidRPr="0054175C">
              <w:rPr>
                <w:rFonts w:ascii="Times New Roman" w:hAnsi="Times New Roman"/>
                <w:sz w:val="20"/>
                <w:szCs w:val="20"/>
                <w:lang w:val="en-US"/>
              </w:rPr>
              <w:t>E</w:t>
            </w:r>
            <w:r w:rsidRPr="0054175C">
              <w:rPr>
                <w:rFonts w:ascii="Times New Roman" w:hAnsi="Times New Roman"/>
                <w:sz w:val="20"/>
                <w:szCs w:val="20"/>
              </w:rPr>
              <w:t>», или «</w:t>
            </w:r>
            <w:r w:rsidRPr="0054175C">
              <w:rPr>
                <w:rFonts w:ascii="Times New Roman" w:hAnsi="Times New Roman"/>
                <w:sz w:val="20"/>
                <w:szCs w:val="20"/>
                <w:lang w:val="en-US"/>
              </w:rPr>
              <w:t>B</w:t>
            </w:r>
            <w:r w:rsidRPr="0054175C">
              <w:rPr>
                <w:rFonts w:ascii="Times New Roman" w:hAnsi="Times New Roman"/>
                <w:sz w:val="20"/>
                <w:szCs w:val="20"/>
              </w:rPr>
              <w:t>», или «</w:t>
            </w:r>
            <w:r w:rsidRPr="0054175C">
              <w:rPr>
                <w:rFonts w:ascii="Times New Roman" w:hAnsi="Times New Roman"/>
                <w:sz w:val="20"/>
                <w:szCs w:val="20"/>
                <w:lang w:val="en-US"/>
              </w:rPr>
              <w:t>F</w:t>
            </w:r>
            <w:r w:rsidRPr="0054175C">
              <w:rPr>
                <w:rFonts w:ascii="Times New Roman" w:hAnsi="Times New Roman"/>
                <w:sz w:val="20"/>
                <w:szCs w:val="20"/>
              </w:rPr>
              <w:t>», третья буква – значение «О» либо «C», пятая буква – значение «B», или «E», или «V», или «L», или «С», или «D», или «F»</w:t>
            </w:r>
            <w:r w:rsidR="009A53D5" w:rsidRPr="0054175C">
              <w:rPr>
                <w:rFonts w:ascii="Times New Roman" w:hAnsi="Times New Roman"/>
                <w:sz w:val="20"/>
                <w:szCs w:val="20"/>
              </w:rPr>
              <w:t>.</w:t>
            </w:r>
          </w:p>
          <w:p w:rsidR="009A53D5" w:rsidRPr="0054175C" w:rsidRDefault="009A53D5"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4) Полностью оплаченные акции российских акционерных обществ, за исключением акций акционерных инвестиционных фондов.</w:t>
            </w:r>
          </w:p>
          <w:p w:rsidR="009A53D5" w:rsidRPr="0054175C" w:rsidRDefault="009A53D5"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5) Полностью оплаченные акции иностранных акционерных обществ.</w:t>
            </w:r>
          </w:p>
          <w:p w:rsidR="009A53D5" w:rsidRPr="0054175C" w:rsidRDefault="009A53D5"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6) Долговые инструменты.</w:t>
            </w:r>
          </w:p>
          <w:p w:rsidR="009A53D5" w:rsidRPr="0054175C" w:rsidRDefault="009A53D5"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9A53D5" w:rsidRPr="0054175C" w:rsidRDefault="009A53D5"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1D6D90" w:rsidRPr="0054175C" w:rsidRDefault="009A53D5"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9) Иные активы, включаемые в состав активов фонда в связи с оплатой расходов, связанных с доверительным управлением имуществом, составляющим фонд</w:t>
            </w:r>
            <w:r w:rsidR="001D6D90" w:rsidRPr="0054175C">
              <w:rPr>
                <w:rFonts w:ascii="Times New Roman" w:hAnsi="Times New Roman"/>
                <w:sz w:val="20"/>
              </w:rPr>
              <w:t>.</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22.2. В целях применения настоящих Правил под долговыми инструментами понимаются: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а) облигации российских эмитентов;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б) биржевые облигации российских эмитентов;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г) облигации иностранных эмитентов и международных финансовых организаций.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д) российские и иностранные депозитарные расписки на ценные бумаги, предусмотренные настоящим пунктом Правил.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22.3. Имущество, составляющее фонд, может быть инвестировано в облигации, эмитентами которых могут быть: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lastRenderedPageBreak/>
              <w:t xml:space="preserve">- российские органы государственной власти;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 иностранные органы государственной власти;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 органы местного самоуправления;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 международные финансовые организации; </w:t>
            </w:r>
          </w:p>
          <w:p w:rsidR="001D6D90" w:rsidRPr="0054175C" w:rsidRDefault="001D6D90" w:rsidP="009A53D5">
            <w:pPr>
              <w:spacing w:line="240" w:lineRule="auto"/>
              <w:ind w:firstLine="567"/>
              <w:rPr>
                <w:rFonts w:ascii="Times New Roman" w:hAnsi="Times New Roman"/>
                <w:sz w:val="20"/>
              </w:rPr>
            </w:pPr>
            <w:r w:rsidRPr="0054175C">
              <w:rPr>
                <w:rFonts w:ascii="Times New Roman" w:hAnsi="Times New Roman"/>
                <w:sz w:val="20"/>
              </w:rPr>
              <w:t xml:space="preserve">- российские юридические лица; </w:t>
            </w:r>
          </w:p>
          <w:p w:rsidR="001D6D90" w:rsidRPr="0054175C" w:rsidRDefault="001D6D90"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 иностранные юридические лица.</w:t>
            </w:r>
          </w:p>
          <w:p w:rsidR="001D6D90" w:rsidRPr="0054175C" w:rsidRDefault="001D6D90" w:rsidP="009A53D5">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22.4. В активы фонда могут приобретаться обыкновенные и привилегированные акции.</w:t>
            </w:r>
          </w:p>
          <w:p w:rsidR="00587E48" w:rsidRPr="0054175C" w:rsidRDefault="00587E48" w:rsidP="00587E48">
            <w:pPr>
              <w:autoSpaceDE w:val="0"/>
              <w:autoSpaceDN w:val="0"/>
              <w:adjustRightInd w:val="0"/>
              <w:spacing w:line="240" w:lineRule="auto"/>
              <w:ind w:firstLine="540"/>
              <w:rPr>
                <w:rFonts w:ascii="Times New Roman" w:hAnsi="Times New Roman"/>
                <w:sz w:val="20"/>
              </w:rPr>
            </w:pPr>
            <w:r w:rsidRPr="0054175C">
              <w:rPr>
                <w:rFonts w:ascii="Times New Roman" w:hAnsi="Times New Roman"/>
                <w:sz w:val="20"/>
              </w:rPr>
              <w:t>22.5. Лица, обязанные по:</w:t>
            </w:r>
          </w:p>
          <w:p w:rsidR="00587E48" w:rsidRPr="0054175C" w:rsidRDefault="00587E48" w:rsidP="00587E48">
            <w:pPr>
              <w:spacing w:line="240" w:lineRule="auto"/>
              <w:ind w:firstLine="567"/>
              <w:rPr>
                <w:rFonts w:ascii="Times New Roman" w:hAnsi="Times New Roman"/>
                <w:sz w:val="20"/>
              </w:rPr>
            </w:pPr>
            <w:r w:rsidRPr="0054175C">
              <w:rPr>
                <w:rFonts w:ascii="Times New Roman" w:hAnsi="Times New Roman"/>
                <w:sz w:val="20"/>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1D6D90" w:rsidRPr="0054175C" w:rsidRDefault="00587E48" w:rsidP="00587E48">
            <w:pPr>
              <w:spacing w:line="240" w:lineRule="auto"/>
              <w:ind w:firstLine="567"/>
              <w:rPr>
                <w:rFonts w:ascii="Times New Roman" w:hAnsi="Times New Roman"/>
                <w:sz w:val="20"/>
              </w:rPr>
            </w:pPr>
            <w:r w:rsidRPr="0054175C">
              <w:rPr>
                <w:rFonts w:ascii="Times New Roman" w:hAnsi="Times New Roman"/>
                <w:sz w:val="20"/>
              </w:rPr>
              <w:t>-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1D6D90" w:rsidRPr="0054175C">
              <w:rPr>
                <w:rFonts w:ascii="Times New Roman" w:hAnsi="Times New Roman"/>
                <w:sz w:val="20"/>
              </w:rPr>
              <w:t xml:space="preserve">. </w:t>
            </w:r>
          </w:p>
          <w:p w:rsidR="003A003D" w:rsidRPr="0054175C" w:rsidRDefault="001D6D90" w:rsidP="009A53D5">
            <w:pPr>
              <w:pStyle w:val="BodyNum"/>
              <w:spacing w:after="0"/>
              <w:ind w:right="176" w:firstLine="567"/>
              <w:rPr>
                <w:sz w:val="20"/>
                <w:szCs w:val="20"/>
              </w:rPr>
            </w:pPr>
            <w:r w:rsidRPr="0054175C">
              <w:rPr>
                <w:sz w:val="20"/>
                <w:szCs w:val="20"/>
              </w:rPr>
              <w:t xml:space="preserve">22.6. </w:t>
            </w:r>
            <w:r w:rsidR="009A53D5" w:rsidRPr="0054175C">
              <w:rPr>
                <w:sz w:val="20"/>
                <w:szCs w:val="20"/>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3A003D" w:rsidRPr="0054175C">
              <w:rPr>
                <w:sz w:val="20"/>
                <w:szCs w:val="20"/>
              </w:rPr>
              <w:t>.</w:t>
            </w:r>
          </w:p>
          <w:p w:rsidR="009A53D5" w:rsidRPr="0054175C" w:rsidRDefault="00587E48" w:rsidP="009A53D5">
            <w:pPr>
              <w:pStyle w:val="BodyNum"/>
              <w:spacing w:after="0"/>
              <w:ind w:right="176" w:firstLine="567"/>
              <w:rPr>
                <w:sz w:val="20"/>
                <w:szCs w:val="20"/>
              </w:rPr>
            </w:pPr>
            <w:r w:rsidRPr="0054175C">
              <w:rPr>
                <w:sz w:val="20"/>
                <w:szCs w:val="20"/>
              </w:rPr>
              <w:t xml:space="preserve">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w:t>
            </w:r>
            <w:r w:rsidRPr="0054175C">
              <w:rPr>
                <w:sz w:val="20"/>
                <w:szCs w:val="20"/>
              </w:rPr>
              <w:lastRenderedPageBreak/>
              <w:t>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9A53D5" w:rsidRPr="0054175C">
              <w:rPr>
                <w:sz w:val="20"/>
                <w:szCs w:val="20"/>
              </w:rPr>
              <w:t>.</w:t>
            </w:r>
          </w:p>
          <w:p w:rsidR="0054175C" w:rsidRPr="0054175C" w:rsidRDefault="0054175C" w:rsidP="0054175C">
            <w:pPr>
              <w:pStyle w:val="BodyNum"/>
              <w:spacing w:after="0"/>
              <w:ind w:firstLine="540"/>
              <w:rPr>
                <w:bCs/>
                <w:sz w:val="20"/>
                <w:szCs w:val="20"/>
              </w:rPr>
            </w:pPr>
            <w:r w:rsidRPr="0054175C">
              <w:rPr>
                <w:sz w:val="20"/>
                <w:szCs w:val="20"/>
              </w:rPr>
              <w:t xml:space="preserve">22.8. </w:t>
            </w:r>
            <w:r w:rsidRPr="0054175C">
              <w:rPr>
                <w:bCs/>
                <w:sz w:val="20"/>
                <w:szCs w:val="20"/>
              </w:rPr>
              <w:t>В период формирования фонда:</w:t>
            </w:r>
          </w:p>
          <w:p w:rsidR="0054175C" w:rsidRPr="0054175C" w:rsidRDefault="0054175C" w:rsidP="0054175C">
            <w:pPr>
              <w:pStyle w:val="BodyNum"/>
              <w:spacing w:after="0"/>
              <w:ind w:firstLine="540"/>
              <w:rPr>
                <w:sz w:val="20"/>
                <w:szCs w:val="20"/>
              </w:rPr>
            </w:pPr>
            <w:r w:rsidRPr="0054175C">
              <w:rPr>
                <w:sz w:val="20"/>
                <w:szCs w:val="20"/>
              </w:rPr>
              <w:t>Управляющая компания обязана, суммы денежных средств, поступающие в течение срока первичного размещения за размещаемые паи, направить в соответствии с Порядком создания ПИФов на приобретение принадлежавших ранее ОАО «ЧИФ «ЛУКойл Фонд» акций, ОАО «Нефтяная компания «ЛУКОЙЛ» и ОАО «Омский нефтеперерабатывающий завод». Управляющая компания на денежные средства, поступившие в состав имущества фонда, приобретает у ЗАО «ЛУКойл Фонд Инвест» активы, проданные ей в соответствии с решением общего собрания акционеров ЧИФа от 15.01.97г.</w:t>
            </w:r>
          </w:p>
          <w:p w:rsidR="0054175C" w:rsidRPr="0054175C" w:rsidRDefault="0054175C" w:rsidP="0054175C">
            <w:pPr>
              <w:pStyle w:val="BodyNum"/>
              <w:spacing w:after="0"/>
              <w:ind w:firstLine="540"/>
              <w:rPr>
                <w:sz w:val="20"/>
                <w:szCs w:val="20"/>
              </w:rPr>
            </w:pPr>
            <w:r w:rsidRPr="0054175C">
              <w:rPr>
                <w:sz w:val="20"/>
                <w:szCs w:val="20"/>
              </w:rPr>
              <w:t>Активы приобретаются Управляющей компанией пропорционально количеству размещенных инвестиционных паев. Количество приобретаемых ценных бумаг каждого вида рассчитывается следующим образом: общее количество ценных бумаг каждого вида делится на общее количество акций ЧИФа - 5.000.000 (Пять миллионов), полученная цифра умножается на количество размещенных паев.</w:t>
            </w:r>
          </w:p>
          <w:p w:rsidR="0054175C" w:rsidRPr="0054175C" w:rsidRDefault="0054175C" w:rsidP="0054175C">
            <w:pPr>
              <w:pStyle w:val="BodyNum"/>
              <w:spacing w:after="0"/>
              <w:ind w:right="176" w:firstLine="567"/>
              <w:rPr>
                <w:sz w:val="20"/>
                <w:szCs w:val="20"/>
              </w:rPr>
            </w:pPr>
            <w:r w:rsidRPr="0054175C">
              <w:rPr>
                <w:sz w:val="20"/>
                <w:szCs w:val="20"/>
              </w:rPr>
              <w:t>Инвестиционные паи фонда при их первичном размещении оплачиваются только денежными средствами.</w:t>
            </w:r>
          </w:p>
        </w:tc>
      </w:tr>
      <w:tr w:rsidR="003A003D" w:rsidRPr="003A003D" w:rsidTr="001B0A04">
        <w:tc>
          <w:tcPr>
            <w:tcW w:w="4820" w:type="dxa"/>
          </w:tcPr>
          <w:p w:rsidR="00F170EE" w:rsidRPr="00F170EE" w:rsidRDefault="00F170EE" w:rsidP="00F170EE">
            <w:pPr>
              <w:pStyle w:val="BodyNum"/>
              <w:spacing w:after="0"/>
              <w:ind w:firstLine="567"/>
              <w:rPr>
                <w:sz w:val="20"/>
                <w:szCs w:val="20"/>
              </w:rPr>
            </w:pPr>
            <w:r w:rsidRPr="00F170EE">
              <w:rPr>
                <w:sz w:val="20"/>
                <w:szCs w:val="20"/>
              </w:rPr>
              <w:lastRenderedPageBreak/>
              <w:t>23. Структура активов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xml:space="preserve">23.1. Структура активов фонда должна одновременно соответствовать следующим </w:t>
            </w:r>
            <w:r w:rsidRPr="00F170EE">
              <w:rPr>
                <w:rFonts w:ascii="Times New Roman" w:hAnsi="Times New Roman"/>
                <w:sz w:val="20"/>
              </w:rPr>
              <w:lastRenderedPageBreak/>
              <w:t>требованиям:</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1) денежные средства, находящиеся во вкладах в одной кредитной организации, могут составлять не более 25 процентов стоимости активов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 оценочная стоимость долговых инструментов может составлять не более 40 процентов стоимости активов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xml:space="preserve">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w:t>
            </w:r>
            <w:r w:rsidRPr="00F170EE">
              <w:rPr>
                <w:rFonts w:ascii="Times New Roman" w:hAnsi="Times New Roman"/>
                <w:sz w:val="20"/>
              </w:rPr>
              <w:lastRenderedPageBreak/>
              <w:t>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22.9. настоящих Правил;</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8) оценочная стоимость неликвидных ценных бумаг может составлять не более 10 процентов стоимости активов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Данные требования применяются к структуре активов фонда до даты возникновения основания прекращения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23.2.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а) ценная бумага включена в котировальные списки «А» или «Б» российской Фондовой биржи;</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б) объем торгов по ценной бумаге за предыдущий календарный месяц на одной из иностранных фондовых бирж, указанных в пункте 22.9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xml:space="preserve">23.3. В случае включения в состав активов фонда имущественных прав из фьючерсных и </w:t>
            </w:r>
            <w:r w:rsidRPr="00F170EE">
              <w:rPr>
                <w:rFonts w:ascii="Times New Roman" w:hAnsi="Times New Roman"/>
                <w:sz w:val="20"/>
              </w:rPr>
              <w:lastRenderedPageBreak/>
              <w:t>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3A003D" w:rsidRPr="00F170EE" w:rsidRDefault="00F170EE" w:rsidP="00F170EE">
            <w:pPr>
              <w:pStyle w:val="BodyNum"/>
              <w:spacing w:after="0"/>
              <w:ind w:right="176" w:firstLine="567"/>
              <w:rPr>
                <w:sz w:val="20"/>
                <w:szCs w:val="20"/>
              </w:rPr>
            </w:pPr>
            <w:r w:rsidRPr="00F170EE">
              <w:rPr>
                <w:sz w:val="20"/>
                <w:szCs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w:t>
            </w:r>
            <w:r w:rsidRPr="00F170EE">
              <w:rPr>
                <w:sz w:val="20"/>
                <w:szCs w:val="20"/>
              </w:rPr>
              <w:lastRenderedPageBreak/>
              <w:t>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4642" w:type="dxa"/>
          </w:tcPr>
          <w:p w:rsidR="003A003D" w:rsidRPr="009A53D5" w:rsidRDefault="003A003D" w:rsidP="009A53D5">
            <w:pPr>
              <w:pStyle w:val="BodyNum"/>
              <w:spacing w:after="0"/>
              <w:ind w:firstLine="567"/>
              <w:rPr>
                <w:sz w:val="20"/>
                <w:szCs w:val="20"/>
              </w:rPr>
            </w:pPr>
            <w:r w:rsidRPr="009A53D5">
              <w:rPr>
                <w:sz w:val="20"/>
                <w:szCs w:val="20"/>
              </w:rPr>
              <w:lastRenderedPageBreak/>
              <w:t>23. Структура активов фонда.</w:t>
            </w:r>
          </w:p>
          <w:p w:rsidR="003A003D" w:rsidRPr="009A53D5" w:rsidRDefault="003A003D" w:rsidP="009A53D5">
            <w:pPr>
              <w:autoSpaceDE w:val="0"/>
              <w:autoSpaceDN w:val="0"/>
              <w:adjustRightInd w:val="0"/>
              <w:spacing w:line="240" w:lineRule="auto"/>
              <w:ind w:firstLine="567"/>
              <w:rPr>
                <w:rFonts w:ascii="Times New Roman" w:hAnsi="Times New Roman"/>
                <w:sz w:val="20"/>
              </w:rPr>
            </w:pPr>
            <w:r w:rsidRPr="009A53D5">
              <w:rPr>
                <w:rFonts w:ascii="Times New Roman" w:hAnsi="Times New Roman"/>
                <w:sz w:val="20"/>
              </w:rPr>
              <w:t xml:space="preserve">23.1. Структура активов фонда должна одновременно соответствовать следующим </w:t>
            </w:r>
            <w:r w:rsidRPr="009A53D5">
              <w:rPr>
                <w:rFonts w:ascii="Times New Roman" w:hAnsi="Times New Roman"/>
                <w:sz w:val="20"/>
              </w:rPr>
              <w:lastRenderedPageBreak/>
              <w:t>требованиям:</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3A003D" w:rsidRPr="009A53D5" w:rsidRDefault="00DA5ACE" w:rsidP="009A53D5">
            <w:pPr>
              <w:spacing w:line="240" w:lineRule="auto"/>
              <w:ind w:firstLine="567"/>
              <w:rPr>
                <w:rFonts w:ascii="Times New Roman" w:hAnsi="Times New Roman"/>
                <w:sz w:val="20"/>
              </w:rPr>
            </w:pPr>
            <w:r w:rsidRPr="009A53D5">
              <w:rPr>
                <w:rFonts w:ascii="Times New Roman" w:hAnsi="Times New Roman"/>
                <w:sz w:val="20"/>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w:t>
            </w:r>
            <w:r w:rsidRPr="009A53D5">
              <w:rPr>
                <w:rFonts w:ascii="Times New Roman" w:hAnsi="Times New Roman"/>
                <w:sz w:val="20"/>
              </w:rPr>
              <w:lastRenderedPageBreak/>
              <w:t>превышать 10 процентов стоимости активов инвестиционного фонда</w:t>
            </w:r>
            <w:r w:rsidR="003A003D" w:rsidRPr="009A53D5">
              <w:rPr>
                <w:rFonts w:ascii="Times New Roman" w:hAnsi="Times New Roman"/>
                <w:sz w:val="20"/>
              </w:rPr>
              <w:t xml:space="preserve">. </w:t>
            </w:r>
          </w:p>
          <w:p w:rsidR="003A003D" w:rsidRPr="009A53D5" w:rsidRDefault="009A53D5" w:rsidP="009A53D5">
            <w:pPr>
              <w:spacing w:line="240" w:lineRule="auto"/>
              <w:ind w:firstLine="567"/>
              <w:rPr>
                <w:rFonts w:ascii="Times New Roman" w:hAnsi="Times New Roman"/>
                <w:sz w:val="20"/>
              </w:rPr>
            </w:pPr>
            <w:r w:rsidRPr="009A53D5">
              <w:rPr>
                <w:rFonts w:ascii="Times New Roman" w:hAnsi="Times New Roman"/>
                <w:sz w:val="20"/>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3A003D" w:rsidRPr="009A53D5">
              <w:rPr>
                <w:rFonts w:ascii="Times New Roman" w:hAnsi="Times New Roman"/>
                <w:sz w:val="20"/>
              </w:rPr>
              <w:t xml:space="preserve">.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29.11.2001 № 156-ФЗ «Об инвестиционных фондах» (далее – Федеральный закон «Об инвестиционных фондах»), в совокупности не должны превышать 40 процентов стоимости чистых активов фонда.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lastRenderedPageBreak/>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1. S&amp;P/ASX-200 (Австралия).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2. ATX (Австрия).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3. BEL20 (Бельгия).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4. Ibovespa (Бразилия).</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5. Budapest SE (Венгрия).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6. FTSE 100 (Великобритания).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7. Hang Seng (Гонконг).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8. DAX (Германия).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9. OMX Copenhagen 20 (Дания).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10. TA 25 (</w:t>
            </w:r>
            <w:r w:rsidRPr="009A53D5">
              <w:rPr>
                <w:rFonts w:ascii="Times New Roman" w:hAnsi="Times New Roman"/>
                <w:sz w:val="20"/>
              </w:rPr>
              <w:t>Израиль</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11. BSE Sensex (</w:t>
            </w:r>
            <w:r w:rsidRPr="009A53D5">
              <w:rPr>
                <w:rFonts w:ascii="Times New Roman" w:hAnsi="Times New Roman"/>
                <w:sz w:val="20"/>
              </w:rPr>
              <w:t>Индия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12. ISEQ 20 (</w:t>
            </w:r>
            <w:r w:rsidRPr="009A53D5">
              <w:rPr>
                <w:rFonts w:ascii="Times New Roman" w:hAnsi="Times New Roman"/>
                <w:sz w:val="20"/>
              </w:rPr>
              <w:t>Ирландия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13. ICEX (</w:t>
            </w:r>
            <w:r w:rsidRPr="009A53D5">
              <w:rPr>
                <w:rFonts w:ascii="Times New Roman" w:hAnsi="Times New Roman"/>
                <w:sz w:val="20"/>
              </w:rPr>
              <w:t>Исландия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14. IBEX 35 (</w:t>
            </w:r>
            <w:r w:rsidRPr="009A53D5">
              <w:rPr>
                <w:rFonts w:ascii="Times New Roman" w:hAnsi="Times New Roman"/>
                <w:sz w:val="20"/>
              </w:rPr>
              <w:t>Испания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15. FTSE MIB (</w:t>
            </w:r>
            <w:r w:rsidRPr="009A53D5">
              <w:rPr>
                <w:rFonts w:ascii="Times New Roman" w:hAnsi="Times New Roman"/>
                <w:sz w:val="20"/>
              </w:rPr>
              <w:t>Италия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16. S&amp;P/TSX (</w:t>
            </w:r>
            <w:r w:rsidRPr="009A53D5">
              <w:rPr>
                <w:rFonts w:ascii="Times New Roman" w:hAnsi="Times New Roman"/>
                <w:sz w:val="20"/>
              </w:rPr>
              <w:t>Канада</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lastRenderedPageBreak/>
              <w:t>17. SSE Composite Index (</w:t>
            </w:r>
            <w:r w:rsidRPr="009A53D5">
              <w:rPr>
                <w:rFonts w:ascii="Times New Roman" w:hAnsi="Times New Roman"/>
                <w:sz w:val="20"/>
              </w:rPr>
              <w:t>Китай</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18. LuxX Index (</w:t>
            </w:r>
            <w:r w:rsidRPr="009A53D5">
              <w:rPr>
                <w:rFonts w:ascii="Times New Roman" w:hAnsi="Times New Roman"/>
                <w:sz w:val="20"/>
              </w:rPr>
              <w:t>Люксембург</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19. IPC (</w:t>
            </w:r>
            <w:r w:rsidRPr="009A53D5">
              <w:rPr>
                <w:rFonts w:ascii="Times New Roman" w:hAnsi="Times New Roman"/>
                <w:sz w:val="20"/>
              </w:rPr>
              <w:t>Мексика</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20. AEX Index (</w:t>
            </w:r>
            <w:r w:rsidRPr="009A53D5">
              <w:rPr>
                <w:rFonts w:ascii="Times New Roman" w:hAnsi="Times New Roman"/>
                <w:sz w:val="20"/>
              </w:rPr>
              <w:t>Нидерланды</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21. DJ New Zealand (</w:t>
            </w:r>
            <w:r w:rsidRPr="009A53D5">
              <w:rPr>
                <w:rFonts w:ascii="Times New Roman" w:hAnsi="Times New Roman"/>
                <w:sz w:val="20"/>
              </w:rPr>
              <w:t>Новая</w:t>
            </w:r>
            <w:r w:rsidRPr="009A53D5">
              <w:rPr>
                <w:rFonts w:ascii="Times New Roman" w:hAnsi="Times New Roman"/>
                <w:sz w:val="20"/>
                <w:lang w:val="en-US"/>
              </w:rPr>
              <w:t xml:space="preserve"> </w:t>
            </w:r>
            <w:r w:rsidRPr="009A53D5">
              <w:rPr>
                <w:rFonts w:ascii="Times New Roman" w:hAnsi="Times New Roman"/>
                <w:sz w:val="20"/>
              </w:rPr>
              <w:t>Зеландия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22. OBX (</w:t>
            </w:r>
            <w:r w:rsidRPr="009A53D5">
              <w:rPr>
                <w:rFonts w:ascii="Times New Roman" w:hAnsi="Times New Roman"/>
                <w:sz w:val="20"/>
              </w:rPr>
              <w:t>Норвегия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23. WIG (</w:t>
            </w:r>
            <w:r w:rsidRPr="009A53D5">
              <w:rPr>
                <w:rFonts w:ascii="Times New Roman" w:hAnsi="Times New Roman"/>
                <w:sz w:val="20"/>
              </w:rPr>
              <w:t>Польша</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24. PSI 20 (</w:t>
            </w:r>
            <w:r w:rsidRPr="009A53D5">
              <w:rPr>
                <w:rFonts w:ascii="Times New Roman" w:hAnsi="Times New Roman"/>
                <w:sz w:val="20"/>
              </w:rPr>
              <w:t>Португалия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25. ММВБ (Россия).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26. РТС (Россия).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27. SAX (Словакия).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28. Blue-Chip SBITOP (</w:t>
            </w:r>
            <w:r w:rsidRPr="009A53D5">
              <w:rPr>
                <w:rFonts w:ascii="Times New Roman" w:hAnsi="Times New Roman"/>
                <w:sz w:val="20"/>
              </w:rPr>
              <w:t>Словения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29. Dow Jones (</w:t>
            </w:r>
            <w:r w:rsidRPr="009A53D5">
              <w:rPr>
                <w:rFonts w:ascii="Times New Roman" w:hAnsi="Times New Roman"/>
                <w:sz w:val="20"/>
              </w:rPr>
              <w:t>США</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30. S&amp;P 500 (</w:t>
            </w:r>
            <w:r w:rsidRPr="009A53D5">
              <w:rPr>
                <w:rFonts w:ascii="Times New Roman" w:hAnsi="Times New Roman"/>
                <w:sz w:val="20"/>
              </w:rPr>
              <w:t>США</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31. BIST 100 (</w:t>
            </w:r>
            <w:r w:rsidRPr="009A53D5">
              <w:rPr>
                <w:rFonts w:ascii="Times New Roman" w:hAnsi="Times New Roman"/>
                <w:sz w:val="20"/>
              </w:rPr>
              <w:t>Турция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32. OMX Helsinki 25 (</w:t>
            </w:r>
            <w:r w:rsidRPr="009A53D5">
              <w:rPr>
                <w:rFonts w:ascii="Times New Roman" w:hAnsi="Times New Roman"/>
                <w:sz w:val="20"/>
              </w:rPr>
              <w:t>Финляндия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33. CAC 40 (Франция).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34. PX Index (Чешская республика).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35. IPSA (Чили).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36. SMI (Швейцария).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37. </w:t>
            </w:r>
            <w:r w:rsidRPr="009A53D5">
              <w:rPr>
                <w:rFonts w:ascii="Times New Roman" w:hAnsi="Times New Roman"/>
                <w:sz w:val="20"/>
                <w:lang w:val="en-US"/>
              </w:rPr>
              <w:t>OMXS</w:t>
            </w:r>
            <w:r w:rsidRPr="009A53D5">
              <w:rPr>
                <w:rFonts w:ascii="Times New Roman" w:hAnsi="Times New Roman"/>
                <w:sz w:val="20"/>
              </w:rPr>
              <w:t xml:space="preserve">30 (Швеция).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38. Tallinn SE General (</w:t>
            </w:r>
            <w:r w:rsidRPr="009A53D5">
              <w:rPr>
                <w:rFonts w:ascii="Times New Roman" w:hAnsi="Times New Roman"/>
                <w:sz w:val="20"/>
              </w:rPr>
              <w:t>Эстония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39. FTSE/JSE Top40 (</w:t>
            </w:r>
            <w:r w:rsidRPr="009A53D5">
              <w:rPr>
                <w:rFonts w:ascii="Times New Roman" w:hAnsi="Times New Roman"/>
                <w:sz w:val="20"/>
              </w:rPr>
              <w:t>ЮАР</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40. KOSPI (</w:t>
            </w:r>
            <w:r w:rsidRPr="009A53D5">
              <w:rPr>
                <w:rFonts w:ascii="Times New Roman" w:hAnsi="Times New Roman"/>
                <w:sz w:val="20"/>
              </w:rPr>
              <w:t>Южная</w:t>
            </w:r>
            <w:r w:rsidRPr="009A53D5">
              <w:rPr>
                <w:rFonts w:ascii="Times New Roman" w:hAnsi="Times New Roman"/>
                <w:sz w:val="20"/>
                <w:lang w:val="en-US"/>
              </w:rPr>
              <w:t xml:space="preserve"> </w:t>
            </w:r>
            <w:r w:rsidRPr="009A53D5">
              <w:rPr>
                <w:rFonts w:ascii="Times New Roman" w:hAnsi="Times New Roman"/>
                <w:sz w:val="20"/>
              </w:rPr>
              <w:t>Корея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lang w:val="en-US"/>
              </w:rPr>
            </w:pPr>
            <w:r w:rsidRPr="009A53D5">
              <w:rPr>
                <w:rFonts w:ascii="Times New Roman" w:hAnsi="Times New Roman"/>
                <w:sz w:val="20"/>
                <w:lang w:val="en-US"/>
              </w:rPr>
              <w:t>41. Nikkei 225 (</w:t>
            </w:r>
            <w:r w:rsidRPr="009A53D5">
              <w:rPr>
                <w:rFonts w:ascii="Times New Roman" w:hAnsi="Times New Roman"/>
                <w:sz w:val="20"/>
              </w:rPr>
              <w:t>Япония</w:t>
            </w:r>
            <w:r w:rsidRPr="009A53D5">
              <w:rPr>
                <w:rFonts w:ascii="Times New Roman" w:hAnsi="Times New Roman"/>
                <w:sz w:val="20"/>
                <w:lang w:val="en-US"/>
              </w:rPr>
              <w:t xml:space="preserve">)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от стоимости чистых активов фонда в совокупности должна превышать большую из следующих величин: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 пять процентов;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 </w:t>
            </w:r>
            <w:r w:rsidR="009A53D5" w:rsidRPr="009A53D5">
              <w:rPr>
                <w:rFonts w:ascii="Times New Roman" w:hAnsi="Times New Roman"/>
                <w:sz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r w:rsidRPr="009A53D5">
              <w:rPr>
                <w:rFonts w:ascii="Times New Roman" w:hAnsi="Times New Roman"/>
                <w:sz w:val="20"/>
              </w:rPr>
              <w:t xml:space="preserve">.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w:t>
            </w:r>
            <w:r w:rsidRPr="009A53D5">
              <w:rPr>
                <w:rFonts w:ascii="Times New Roman" w:hAnsi="Times New Roman"/>
                <w:sz w:val="20"/>
              </w:rPr>
              <w:lastRenderedPageBreak/>
              <w:t xml:space="preserve">выпуске таких ценных бумаг.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Требования настоящего пункта применяются до даты возникновения основания прекращения фонда. </w:t>
            </w:r>
          </w:p>
          <w:p w:rsidR="003A003D" w:rsidRPr="009A53D5" w:rsidRDefault="003A003D" w:rsidP="009A53D5">
            <w:pPr>
              <w:spacing w:line="240" w:lineRule="auto"/>
              <w:ind w:firstLine="567"/>
              <w:rPr>
                <w:rFonts w:ascii="Times New Roman" w:hAnsi="Times New Roman"/>
                <w:sz w:val="20"/>
              </w:rPr>
            </w:pPr>
            <w:r w:rsidRPr="009A53D5">
              <w:rPr>
                <w:rFonts w:ascii="Times New Roman" w:hAnsi="Times New Roman"/>
                <w:sz w:val="20"/>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3A003D" w:rsidRPr="009A53D5" w:rsidRDefault="003A003D" w:rsidP="009A53D5">
            <w:pPr>
              <w:autoSpaceDE w:val="0"/>
              <w:autoSpaceDN w:val="0"/>
              <w:adjustRightInd w:val="0"/>
              <w:spacing w:line="240" w:lineRule="auto"/>
              <w:ind w:firstLine="567"/>
              <w:rPr>
                <w:rFonts w:ascii="Times New Roman" w:hAnsi="Times New Roman"/>
                <w:sz w:val="20"/>
              </w:rPr>
            </w:pPr>
            <w:r w:rsidRPr="009A53D5">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3A003D" w:rsidRPr="009A53D5" w:rsidRDefault="003A003D" w:rsidP="009A53D5">
            <w:pPr>
              <w:autoSpaceDE w:val="0"/>
              <w:autoSpaceDN w:val="0"/>
              <w:adjustRightInd w:val="0"/>
              <w:spacing w:line="240" w:lineRule="auto"/>
              <w:ind w:firstLine="567"/>
              <w:rPr>
                <w:rFonts w:ascii="Times New Roman" w:hAnsi="Times New Roman"/>
                <w:sz w:val="20"/>
              </w:rPr>
            </w:pPr>
            <w:r w:rsidRPr="009A53D5">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3A003D" w:rsidRPr="009A53D5" w:rsidRDefault="003A003D" w:rsidP="009A53D5">
            <w:pPr>
              <w:autoSpaceDE w:val="0"/>
              <w:autoSpaceDN w:val="0"/>
              <w:adjustRightInd w:val="0"/>
              <w:spacing w:line="240" w:lineRule="auto"/>
              <w:ind w:firstLine="567"/>
              <w:rPr>
                <w:rFonts w:ascii="Times New Roman" w:hAnsi="Times New Roman"/>
                <w:sz w:val="20"/>
              </w:rPr>
            </w:pPr>
            <w:r w:rsidRPr="009A53D5">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3A003D" w:rsidRPr="009A53D5" w:rsidRDefault="003A003D" w:rsidP="009A53D5">
            <w:pPr>
              <w:autoSpaceDE w:val="0"/>
              <w:autoSpaceDN w:val="0"/>
              <w:adjustRightInd w:val="0"/>
              <w:spacing w:line="240" w:lineRule="auto"/>
              <w:ind w:firstLine="567"/>
              <w:rPr>
                <w:rFonts w:ascii="Times New Roman" w:hAnsi="Times New Roman"/>
                <w:sz w:val="20"/>
              </w:rPr>
            </w:pPr>
            <w:r w:rsidRPr="009A53D5">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3A003D" w:rsidRPr="009A53D5" w:rsidRDefault="003A003D" w:rsidP="009A53D5">
            <w:pPr>
              <w:autoSpaceDE w:val="0"/>
              <w:autoSpaceDN w:val="0"/>
              <w:adjustRightInd w:val="0"/>
              <w:spacing w:line="240" w:lineRule="auto"/>
              <w:ind w:firstLine="567"/>
              <w:rPr>
                <w:rFonts w:ascii="Times New Roman" w:hAnsi="Times New Roman"/>
                <w:sz w:val="20"/>
              </w:rPr>
            </w:pPr>
            <w:r w:rsidRPr="009A53D5">
              <w:rPr>
                <w:rFonts w:ascii="Times New Roman" w:hAnsi="Times New Roman"/>
                <w:sz w:val="20"/>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3A003D" w:rsidRPr="009A53D5" w:rsidRDefault="003A003D" w:rsidP="009A53D5">
            <w:pPr>
              <w:pStyle w:val="BodyNum"/>
              <w:spacing w:after="0"/>
              <w:ind w:right="176" w:firstLine="567"/>
              <w:rPr>
                <w:sz w:val="20"/>
                <w:szCs w:val="20"/>
              </w:rPr>
            </w:pPr>
            <w:r w:rsidRPr="009A53D5">
              <w:rPr>
                <w:sz w:val="20"/>
                <w:szCs w:val="20"/>
              </w:rPr>
              <w:t xml:space="preserve">Величина открытой короткой позиции по фьючерсным и опционным договорам (контрактам) не должна превышать ограничений, </w:t>
            </w:r>
            <w:r w:rsidRPr="009A53D5">
              <w:rPr>
                <w:sz w:val="20"/>
                <w:szCs w:val="20"/>
              </w:rPr>
              <w:lastRenderedPageBreak/>
              <w:t>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r w:rsidR="003A003D" w:rsidRPr="003A003D" w:rsidTr="001B0A04">
        <w:tc>
          <w:tcPr>
            <w:tcW w:w="4820" w:type="dxa"/>
          </w:tcPr>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lastRenderedPageBreak/>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3 000 000 (Три миллиона) рублей и менее;</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0% (Ноль процентов) при перечислении в оплату инвестиционных паев денежных средств в размере более 3 000 000 (Трех миллионов) рублей.</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0,5% (Ноль целых пять десятых процента) от расчетной стоимости одного инвестиционного пая;</w:t>
            </w:r>
          </w:p>
          <w:p w:rsidR="00F170EE" w:rsidRPr="00F170EE" w:rsidRDefault="00F170EE" w:rsidP="00F170EE">
            <w:pPr>
              <w:autoSpaceDE w:val="0"/>
              <w:autoSpaceDN w:val="0"/>
              <w:adjustRightInd w:val="0"/>
              <w:spacing w:line="240" w:lineRule="auto"/>
              <w:ind w:firstLine="567"/>
              <w:rPr>
                <w:rFonts w:ascii="Times New Roman" w:hAnsi="Times New Roman"/>
                <w:sz w:val="20"/>
              </w:rPr>
            </w:pPr>
            <w:r w:rsidRPr="00F170EE">
              <w:rPr>
                <w:rFonts w:ascii="Times New Roman" w:hAnsi="Times New Roman"/>
                <w:sz w:val="20"/>
              </w:rPr>
              <w:t>0% (Ноль процентов) от расчетной стоимости одного инвестиционного пая при перечислении юридическим лицом (за исключением доверительного управляющего) в оплату инвестиционных паев денежных средств в размере более 3 000 000 (Трех миллионов) рублей.</w:t>
            </w:r>
          </w:p>
          <w:p w:rsidR="003A003D" w:rsidRPr="00F170EE" w:rsidRDefault="00F170EE" w:rsidP="00F170EE">
            <w:pPr>
              <w:pStyle w:val="BodyNum"/>
              <w:spacing w:after="0"/>
              <w:ind w:right="176" w:firstLine="567"/>
              <w:rPr>
                <w:sz w:val="20"/>
                <w:szCs w:val="20"/>
              </w:rPr>
            </w:pPr>
            <w:r w:rsidRPr="00F170EE">
              <w:rPr>
                <w:sz w:val="20"/>
                <w:szCs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c>
          <w:tcPr>
            <w:tcW w:w="4642" w:type="dxa"/>
          </w:tcPr>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до 3 000 000 (Трех миллионов) рублей;</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3A003D" w:rsidRPr="003A003D" w:rsidRDefault="003A003D" w:rsidP="003A003D">
            <w:pPr>
              <w:pStyle w:val="BodyNum"/>
              <w:spacing w:after="0"/>
              <w:ind w:right="176" w:firstLine="567"/>
              <w:rPr>
                <w:sz w:val="20"/>
                <w:szCs w:val="20"/>
              </w:rPr>
            </w:pPr>
            <w:r w:rsidRPr="003A003D">
              <w:rPr>
                <w:sz w:val="20"/>
                <w:szCs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r>
      <w:tr w:rsidR="003A003D" w:rsidRPr="003A003D" w:rsidTr="001B0A04">
        <w:tc>
          <w:tcPr>
            <w:tcW w:w="4820" w:type="dxa"/>
          </w:tcPr>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77.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7F44F7">
              <w:rPr>
                <w:rFonts w:ascii="Times New Roman" w:hAnsi="Times New Roman"/>
                <w:sz w:val="20"/>
              </w:rPr>
              <w:t>:</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i/>
                <w:sz w:val="20"/>
                <w:u w:val="single"/>
              </w:rPr>
              <w:lastRenderedPageBreak/>
              <w:t>При погашении физическими лицами инвестиционных паев на сумму более 3 000 000 (Трех миллионов) рублей:</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7F44F7">
              <w:rPr>
                <w:rFonts w:ascii="Times New Roman" w:hAnsi="Times New Roman"/>
                <w:sz w:val="20"/>
              </w:rPr>
              <w:t>:</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- 0% (Ноль процентов) от расчетной стоимости одного инвестиционного пая.</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i/>
                <w:sz w:val="20"/>
                <w:u w:val="single"/>
              </w:rPr>
              <w:t>При погашении физическими лицами инвестиционных паев</w:t>
            </w:r>
            <w:r w:rsidRPr="007F44F7">
              <w:rPr>
                <w:rFonts w:ascii="Times New Roman" w:hAnsi="Times New Roman"/>
                <w:sz w:val="20"/>
              </w:rPr>
              <w:t>:</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7F44F7">
              <w:rPr>
                <w:rFonts w:ascii="Times New Roman" w:hAnsi="Times New Roman"/>
                <w:sz w:val="20"/>
              </w:rPr>
              <w:t>:</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170EE" w:rsidRPr="007F44F7" w:rsidRDefault="00F170EE" w:rsidP="007F44F7">
            <w:pPr>
              <w:autoSpaceDE w:val="0"/>
              <w:autoSpaceDN w:val="0"/>
              <w:adjustRightInd w:val="0"/>
              <w:spacing w:line="240" w:lineRule="auto"/>
              <w:ind w:firstLine="567"/>
              <w:rPr>
                <w:rFonts w:ascii="Times New Roman" w:hAnsi="Times New Roman"/>
                <w:sz w:val="20"/>
              </w:rPr>
            </w:pPr>
            <w:r w:rsidRPr="007F44F7">
              <w:rPr>
                <w:rFonts w:ascii="Times New Roman" w:hAnsi="Times New Roman"/>
                <w:i/>
                <w:sz w:val="20"/>
                <w:u w:val="single"/>
              </w:rPr>
              <w:t xml:space="preserve">При погашении юридическими лицами (за исключением номинальных держателей и </w:t>
            </w:r>
            <w:r w:rsidRPr="007F44F7">
              <w:rPr>
                <w:rFonts w:ascii="Times New Roman" w:hAnsi="Times New Roman"/>
                <w:i/>
                <w:sz w:val="20"/>
                <w:u w:val="single"/>
              </w:rPr>
              <w:lastRenderedPageBreak/>
              <w:t>доверительных управляющих) инвестиционных паев на сумму более 3 000 000 (Трех миллионов) рублей:</w:t>
            </w:r>
          </w:p>
          <w:p w:rsidR="003A003D" w:rsidRPr="007F44F7" w:rsidRDefault="00F170EE" w:rsidP="007F44F7">
            <w:pPr>
              <w:pStyle w:val="BodyNum"/>
              <w:spacing w:after="0"/>
              <w:ind w:right="176" w:firstLine="567"/>
              <w:rPr>
                <w:sz w:val="20"/>
                <w:szCs w:val="20"/>
              </w:rPr>
            </w:pPr>
            <w:r w:rsidRPr="007F44F7">
              <w:rPr>
                <w:sz w:val="20"/>
                <w:szCs w:val="20"/>
              </w:rPr>
              <w:t>- 0% (Ноль процентов) от расчетной стоимости одного инвестиционного пая.</w:t>
            </w:r>
          </w:p>
          <w:p w:rsidR="007F44F7" w:rsidRPr="007F44F7" w:rsidRDefault="007F44F7" w:rsidP="007F44F7">
            <w:pPr>
              <w:autoSpaceDE w:val="0"/>
              <w:autoSpaceDN w:val="0"/>
              <w:adjustRightInd w:val="0"/>
              <w:spacing w:line="240" w:lineRule="auto"/>
              <w:ind w:firstLine="510"/>
              <w:rPr>
                <w:rFonts w:ascii="Times New Roman" w:hAnsi="Times New Roman"/>
                <w:sz w:val="20"/>
              </w:rPr>
            </w:pPr>
            <w:r w:rsidRPr="007F44F7">
              <w:rPr>
                <w:rFonts w:ascii="Times New Roman" w:hAnsi="Times New Roman"/>
                <w:sz w:val="20"/>
              </w:rPr>
              <w:t>При подаче заявок на погашение номинальными держателями или доверительными управляющими скидка не взимается.</w:t>
            </w:r>
          </w:p>
          <w:p w:rsidR="007F44F7" w:rsidRPr="007F44F7" w:rsidRDefault="007F44F7" w:rsidP="007F44F7">
            <w:pPr>
              <w:widowControl w:val="0"/>
              <w:autoSpaceDE w:val="0"/>
              <w:autoSpaceDN w:val="0"/>
              <w:adjustRightInd w:val="0"/>
              <w:spacing w:line="240" w:lineRule="auto"/>
              <w:ind w:firstLine="567"/>
              <w:rPr>
                <w:rFonts w:ascii="Times New Roman" w:hAnsi="Times New Roman"/>
                <w:sz w:val="20"/>
              </w:rPr>
            </w:pPr>
            <w:r w:rsidRPr="007F44F7">
              <w:rPr>
                <w:rFonts w:ascii="Times New Roman" w:hAnsi="Times New Roman"/>
                <w:sz w:val="20"/>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7F44F7" w:rsidRPr="007F44F7" w:rsidRDefault="007F44F7" w:rsidP="007F44F7">
            <w:pPr>
              <w:pStyle w:val="BodyNum"/>
              <w:spacing w:after="0"/>
              <w:ind w:right="176" w:firstLine="567"/>
              <w:rPr>
                <w:sz w:val="20"/>
                <w:szCs w:val="20"/>
              </w:rPr>
            </w:pPr>
            <w:r w:rsidRPr="007F44F7">
              <w:rPr>
                <w:sz w:val="20"/>
                <w:szCs w:val="20"/>
              </w:rPr>
              <w:t>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c>
          <w:tcPr>
            <w:tcW w:w="4642" w:type="dxa"/>
          </w:tcPr>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lastRenderedPageBreak/>
              <w:t>77.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3A003D">
              <w:rPr>
                <w:rFonts w:ascii="Times New Roman" w:hAnsi="Times New Roman"/>
                <w:sz w:val="20"/>
              </w:rPr>
              <w:t>:</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xml:space="preserve">- 0% (Ноль процентов) от расчетной стоимости одного инвестиционного пая, права на </w:t>
            </w:r>
            <w:r w:rsidRPr="003A003D">
              <w:rPr>
                <w:rFonts w:ascii="Times New Roman" w:hAnsi="Times New Roman"/>
                <w:sz w:val="20"/>
              </w:rPr>
              <w:lastRenderedPageBreak/>
              <w:t>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i/>
                <w:sz w:val="20"/>
                <w:u w:val="single"/>
              </w:rPr>
              <w:t>При погашении физическими лицами инвестиционных паев на сумму 3 000 000 (Три миллиона) рублей и более:</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3A003D">
              <w:rPr>
                <w:rFonts w:ascii="Times New Roman" w:hAnsi="Times New Roman"/>
                <w:sz w:val="20"/>
              </w:rPr>
              <w:t>:</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 (Ноль процентов) от расчетной стоимости одного инвестиционного пая.</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i/>
                <w:sz w:val="20"/>
                <w:u w:val="single"/>
              </w:rPr>
              <w:t>При погашении физическими лицами инвестиционных паев</w:t>
            </w:r>
            <w:r w:rsidRPr="003A003D">
              <w:rPr>
                <w:rFonts w:ascii="Times New Roman" w:hAnsi="Times New Roman"/>
                <w:sz w:val="20"/>
              </w:rPr>
              <w:t>:</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xml:space="preserve">- 0% (Ноль процентов) от расчетной </w:t>
            </w:r>
            <w:r w:rsidRPr="003A003D">
              <w:rPr>
                <w:rFonts w:ascii="Times New Roman" w:hAnsi="Times New Roman"/>
                <w:sz w:val="20"/>
              </w:rPr>
              <w:lastRenderedPageBreak/>
              <w:t>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3A003D">
              <w:rPr>
                <w:rFonts w:ascii="Times New Roman" w:hAnsi="Times New Roman"/>
                <w:sz w:val="20"/>
              </w:rPr>
              <w:t>:</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- 0% (Ноль процентов) от расчетной стоимости одного инвестиционного пая.</w:t>
            </w:r>
          </w:p>
          <w:p w:rsidR="003A003D" w:rsidRPr="003A003D" w:rsidRDefault="003A003D" w:rsidP="003A003D">
            <w:pPr>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При подаче заявок на погашение управляющей компании или агенту номинальными держателями или доверительными управляющими скидка не взимается.</w:t>
            </w:r>
          </w:p>
          <w:p w:rsidR="003A003D" w:rsidRPr="003A003D" w:rsidRDefault="003A003D" w:rsidP="003A003D">
            <w:pPr>
              <w:widowControl w:val="0"/>
              <w:autoSpaceDE w:val="0"/>
              <w:autoSpaceDN w:val="0"/>
              <w:adjustRightInd w:val="0"/>
              <w:spacing w:line="240" w:lineRule="auto"/>
              <w:ind w:firstLine="567"/>
              <w:rPr>
                <w:rFonts w:ascii="Times New Roman" w:hAnsi="Times New Roman"/>
                <w:sz w:val="20"/>
              </w:rPr>
            </w:pPr>
            <w:r w:rsidRPr="003A003D">
              <w:rPr>
                <w:rFonts w:ascii="Times New Roman" w:hAnsi="Times New Roman"/>
                <w:sz w:val="20"/>
              </w:rPr>
              <w:t>Период владения, пре</w:t>
            </w:r>
            <w:r w:rsidR="001B5541">
              <w:rPr>
                <w:rFonts w:ascii="Times New Roman" w:hAnsi="Times New Roman"/>
                <w:sz w:val="20"/>
              </w:rPr>
              <w:t>дусмотренный настоящим пунктом П</w:t>
            </w:r>
            <w:r w:rsidRPr="003A003D">
              <w:rPr>
                <w:rFonts w:ascii="Times New Roman" w:hAnsi="Times New Roman"/>
                <w:sz w:val="20"/>
              </w:rPr>
              <w:t>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w:t>
            </w:r>
            <w:r w:rsidR="001B5541">
              <w:rPr>
                <w:rFonts w:ascii="Times New Roman" w:hAnsi="Times New Roman"/>
                <w:sz w:val="20"/>
              </w:rPr>
              <w:t>,</w:t>
            </w:r>
            <w:r w:rsidRPr="003A003D">
              <w:rPr>
                <w:rFonts w:ascii="Times New Roman" w:hAnsi="Times New Roman"/>
                <w:sz w:val="20"/>
              </w:rPr>
              <w:t xml:space="preserve"> в отношении которых подана заявка на погашение</w:t>
            </w:r>
            <w:r w:rsidR="001B5541">
              <w:rPr>
                <w:rFonts w:ascii="Times New Roman" w:hAnsi="Times New Roman"/>
                <w:sz w:val="20"/>
              </w:rPr>
              <w:t>,</w:t>
            </w:r>
            <w:r w:rsidRPr="003A003D">
              <w:rPr>
                <w:rFonts w:ascii="Times New Roman" w:hAnsi="Times New Roman"/>
                <w:sz w:val="20"/>
              </w:rPr>
              <w:t xml:space="preserve">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3A003D" w:rsidRPr="003A003D" w:rsidRDefault="003A003D" w:rsidP="003A003D">
            <w:pPr>
              <w:pStyle w:val="BodyNum"/>
              <w:spacing w:after="0"/>
              <w:ind w:right="176" w:firstLine="567"/>
              <w:rPr>
                <w:sz w:val="20"/>
                <w:szCs w:val="20"/>
              </w:rPr>
            </w:pPr>
            <w:r w:rsidRPr="003A003D">
              <w:rPr>
                <w:sz w:val="20"/>
                <w:szCs w:val="20"/>
              </w:rPr>
              <w:t>В случае если инвестиционные паи</w:t>
            </w:r>
            <w:r w:rsidR="001B5541">
              <w:rPr>
                <w:sz w:val="20"/>
                <w:szCs w:val="20"/>
              </w:rPr>
              <w:t>,</w:t>
            </w:r>
            <w:r w:rsidRPr="003A003D">
              <w:rPr>
                <w:sz w:val="20"/>
                <w:szCs w:val="20"/>
              </w:rPr>
              <w:t xml:space="preserve"> в отношении которых подана заявка на погашение</w:t>
            </w:r>
            <w:r w:rsidR="001B5541">
              <w:rPr>
                <w:sz w:val="20"/>
                <w:szCs w:val="20"/>
              </w:rPr>
              <w:t>,</w:t>
            </w:r>
            <w:r w:rsidRPr="003A003D">
              <w:rPr>
                <w:sz w:val="20"/>
                <w:szCs w:val="20"/>
              </w:rPr>
              <w:t xml:space="preserve">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r>
      <w:tr w:rsidR="003A003D" w:rsidRPr="003A003D" w:rsidTr="001B0A04">
        <w:tc>
          <w:tcPr>
            <w:tcW w:w="4820" w:type="dxa"/>
          </w:tcPr>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lastRenderedPageBreak/>
              <w:t>83. Инвестиционные паи могут обмениваться на инвестиционные паи:</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 xml:space="preserve">Открытого паевого инвестиционного фонда смешанных инвестиций «УРАЛСИБ </w:t>
            </w:r>
            <w:r w:rsidRPr="00F170EE">
              <w:rPr>
                <w:rFonts w:ascii="Times New Roman" w:hAnsi="Times New Roman"/>
                <w:sz w:val="20"/>
              </w:rPr>
              <w:lastRenderedPageBreak/>
              <w:t>Профессиональный»;</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облигаций «УРАЛСИБ Консервативный»;</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акций «УРАЛСИБ Природные ресурсы»;</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акций «УРАЛСИБ Глобальные инновации»;</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акций «УРАЛСИБ Энергетическая перспектива»;</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облигаций «УРАЛСИБ Еврооблигации»;</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фондов «УРАЛСИБ Золото»;</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акций «УРАЛСИБ Акции роста»;</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фондов «УРАЛСИБ Акционерные рынки развитых стран»;</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фондов «УРАЛСИБ Долговые рынки развивающихся стран»;</w:t>
            </w:r>
          </w:p>
          <w:p w:rsidR="00F170EE" w:rsidRPr="00F170EE" w:rsidRDefault="00F170EE" w:rsidP="00F170EE">
            <w:pPr>
              <w:spacing w:line="240" w:lineRule="auto"/>
              <w:ind w:firstLine="567"/>
              <w:rPr>
                <w:rFonts w:ascii="Times New Roman" w:hAnsi="Times New Roman"/>
                <w:sz w:val="20"/>
              </w:rPr>
            </w:pPr>
            <w:r w:rsidRPr="00F170EE">
              <w:rPr>
                <w:rFonts w:ascii="Times New Roman" w:hAnsi="Times New Roman"/>
                <w:sz w:val="20"/>
              </w:rPr>
              <w:t>Открытого паевого инвестиционного фонда фондов «УРАЛСИБ Долговые рынки развитых стран»;</w:t>
            </w:r>
          </w:p>
          <w:p w:rsidR="003A003D" w:rsidRPr="00F170EE" w:rsidRDefault="00F170EE" w:rsidP="00F170EE">
            <w:pPr>
              <w:pStyle w:val="BodyNum"/>
              <w:spacing w:after="0"/>
              <w:ind w:right="176" w:firstLine="567"/>
              <w:rPr>
                <w:sz w:val="20"/>
                <w:szCs w:val="20"/>
              </w:rPr>
            </w:pPr>
            <w:r w:rsidRPr="00F170EE">
              <w:rPr>
                <w:sz w:val="20"/>
                <w:szCs w:val="20"/>
              </w:rPr>
              <w:t>Открытого паевого инвестиционного фонда фондов «УРАЛСИБ Глобал Реал Эстейт».</w:t>
            </w:r>
          </w:p>
        </w:tc>
        <w:tc>
          <w:tcPr>
            <w:tcW w:w="4642" w:type="dxa"/>
          </w:tcPr>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lastRenderedPageBreak/>
              <w:t>83. Инвестиционные паи могут обмениваться на инвестиционные паи:</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 xml:space="preserve">Открытого паевого инвестиционного фонда рыночных финансовых инструментов «УРАЛСИБ </w:t>
            </w:r>
            <w:r w:rsidRPr="003A003D">
              <w:rPr>
                <w:rFonts w:ascii="Times New Roman" w:hAnsi="Times New Roman"/>
                <w:sz w:val="20"/>
              </w:rPr>
              <w:lastRenderedPageBreak/>
              <w:t>Профессиональный»;</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Консервативный»;</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Природные ресурсы»;</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Глобальные инновации»;</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Энергетическая перспектива»;</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Еврооблигации»;</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Драгоценные металлы»;</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Акции роста»;</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Глобальные акции»;</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Долговые рынки развивающихся стран»;</w:t>
            </w:r>
          </w:p>
          <w:p w:rsidR="003A003D" w:rsidRPr="003A003D" w:rsidRDefault="003A003D" w:rsidP="003A003D">
            <w:pPr>
              <w:spacing w:line="240" w:lineRule="auto"/>
              <w:ind w:firstLine="567"/>
              <w:rPr>
                <w:rFonts w:ascii="Times New Roman" w:hAnsi="Times New Roman"/>
                <w:sz w:val="20"/>
              </w:rPr>
            </w:pPr>
            <w:r w:rsidRPr="003A003D">
              <w:rPr>
                <w:rFonts w:ascii="Times New Roman" w:hAnsi="Times New Roman"/>
                <w:sz w:val="20"/>
              </w:rPr>
              <w:t>Открытого паевого инвестиционного фонда рыночных финансовых инструментов «УРАЛСИБ Глобальные облигации»;</w:t>
            </w:r>
          </w:p>
          <w:p w:rsidR="003A003D" w:rsidRPr="003A003D" w:rsidRDefault="003A003D" w:rsidP="003A003D">
            <w:pPr>
              <w:pStyle w:val="BodyNum"/>
              <w:spacing w:after="0"/>
              <w:ind w:right="176" w:firstLine="567"/>
              <w:rPr>
                <w:sz w:val="20"/>
                <w:szCs w:val="20"/>
              </w:rPr>
            </w:pPr>
            <w:r w:rsidRPr="003A003D">
              <w:rPr>
                <w:sz w:val="20"/>
                <w:szCs w:val="20"/>
              </w:rPr>
              <w:t>Открытого паевого инвестиционного фонда рыночных финансовых инструментов «УРАЛСИБ Зарубежная недвижимость».</w:t>
            </w:r>
          </w:p>
        </w:tc>
      </w:tr>
    </w:tbl>
    <w:p w:rsidR="005A5E8A" w:rsidRPr="005F7AF2" w:rsidRDefault="005A5E8A" w:rsidP="005A5E8A">
      <w:pPr>
        <w:spacing w:line="240" w:lineRule="auto"/>
        <w:ind w:right="-1" w:firstLine="567"/>
        <w:rPr>
          <w:b/>
        </w:rPr>
      </w:pPr>
    </w:p>
    <w:p w:rsidR="009A53D5" w:rsidRDefault="009A53D5" w:rsidP="005A5E8A">
      <w:pPr>
        <w:spacing w:line="240" w:lineRule="auto"/>
        <w:rPr>
          <w:rFonts w:ascii="Times New Roman" w:hAnsi="Times New Roman"/>
          <w:sz w:val="24"/>
          <w:szCs w:val="24"/>
        </w:rPr>
      </w:pPr>
    </w:p>
    <w:p w:rsidR="00082243" w:rsidRPr="005F7AF2" w:rsidRDefault="00082243" w:rsidP="005A5E8A">
      <w:pPr>
        <w:spacing w:line="240" w:lineRule="auto"/>
        <w:rPr>
          <w:rFonts w:ascii="Times New Roman" w:hAnsi="Times New Roman"/>
          <w:sz w:val="24"/>
          <w:szCs w:val="24"/>
        </w:rPr>
      </w:pPr>
      <w:r w:rsidRPr="005F7AF2">
        <w:rPr>
          <w:rFonts w:ascii="Times New Roman" w:hAnsi="Times New Roman"/>
          <w:sz w:val="24"/>
          <w:szCs w:val="24"/>
        </w:rPr>
        <w:t xml:space="preserve">Генеральный директор </w:t>
      </w:r>
    </w:p>
    <w:p w:rsidR="00850E48" w:rsidRPr="005F7AF2" w:rsidRDefault="00082243" w:rsidP="005A5E8A">
      <w:pPr>
        <w:spacing w:line="240" w:lineRule="auto"/>
        <w:rPr>
          <w:rFonts w:ascii="Times New Roman" w:hAnsi="Times New Roman"/>
          <w:sz w:val="24"/>
          <w:szCs w:val="24"/>
        </w:rPr>
      </w:pPr>
      <w:r w:rsidRPr="005F7AF2">
        <w:rPr>
          <w:rFonts w:ascii="Times New Roman" w:hAnsi="Times New Roman"/>
          <w:sz w:val="24"/>
          <w:szCs w:val="24"/>
        </w:rPr>
        <w:t xml:space="preserve">АО «УК </w:t>
      </w:r>
      <w:r w:rsidR="007F7DAD" w:rsidRPr="005F7AF2">
        <w:rPr>
          <w:rFonts w:ascii="Times New Roman" w:hAnsi="Times New Roman"/>
          <w:sz w:val="24"/>
          <w:szCs w:val="24"/>
        </w:rPr>
        <w:t>УРАЛСИБ</w:t>
      </w:r>
      <w:r w:rsidRPr="005F7AF2">
        <w:rPr>
          <w:rFonts w:ascii="Times New Roman" w:hAnsi="Times New Roman"/>
          <w:sz w:val="24"/>
          <w:szCs w:val="24"/>
        </w:rPr>
        <w:t xml:space="preserve">»                    </w:t>
      </w:r>
      <w:r w:rsidR="00E51628" w:rsidRPr="005F7AF2">
        <w:rPr>
          <w:rFonts w:ascii="Times New Roman" w:hAnsi="Times New Roman"/>
          <w:sz w:val="24"/>
          <w:szCs w:val="24"/>
        </w:rPr>
        <w:t xml:space="preserve">         </w:t>
      </w:r>
      <w:r w:rsidRPr="005F7AF2">
        <w:rPr>
          <w:rFonts w:ascii="Times New Roman" w:hAnsi="Times New Roman"/>
          <w:sz w:val="24"/>
          <w:szCs w:val="24"/>
        </w:rPr>
        <w:t xml:space="preserve">                                                              </w:t>
      </w:r>
      <w:r w:rsidR="00E51628" w:rsidRPr="005F7AF2">
        <w:rPr>
          <w:rFonts w:ascii="Times New Roman" w:hAnsi="Times New Roman"/>
          <w:sz w:val="24"/>
          <w:szCs w:val="24"/>
        </w:rPr>
        <w:t>А.</w:t>
      </w:r>
      <w:r w:rsidR="00B90485" w:rsidRPr="005F7AF2">
        <w:rPr>
          <w:rFonts w:ascii="Times New Roman" w:hAnsi="Times New Roman"/>
          <w:sz w:val="24"/>
          <w:szCs w:val="24"/>
        </w:rPr>
        <w:t xml:space="preserve"> </w:t>
      </w:r>
      <w:r w:rsidR="00E51628" w:rsidRPr="005F7AF2">
        <w:rPr>
          <w:rFonts w:ascii="Times New Roman" w:hAnsi="Times New Roman"/>
          <w:sz w:val="24"/>
          <w:szCs w:val="24"/>
        </w:rPr>
        <w:t>М. Успенский</w:t>
      </w:r>
    </w:p>
    <w:sectPr w:rsidR="00850E48" w:rsidRPr="005F7AF2" w:rsidSect="0072606A">
      <w:footerReference w:type="default" r:id="rId8"/>
      <w:pgSz w:w="11906" w:h="16838"/>
      <w:pgMar w:top="1134" w:right="851" w:bottom="1134" w:left="1701" w:header="709" w:footer="5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93" w:rsidRDefault="00AE0293" w:rsidP="00685E5D">
      <w:pPr>
        <w:spacing w:line="240" w:lineRule="auto"/>
      </w:pPr>
      <w:r>
        <w:separator/>
      </w:r>
    </w:p>
  </w:endnote>
  <w:endnote w:type="continuationSeparator" w:id="0">
    <w:p w:rsidR="00AE0293" w:rsidRDefault="00AE0293"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6A" w:rsidRPr="0072606A" w:rsidRDefault="0072606A">
    <w:pPr>
      <w:pStyle w:val="aa"/>
      <w:jc w:val="right"/>
      <w:rPr>
        <w:sz w:val="20"/>
      </w:rPr>
    </w:pPr>
    <w:r w:rsidRPr="0072606A">
      <w:rPr>
        <w:sz w:val="20"/>
      </w:rPr>
      <w:fldChar w:fldCharType="begin"/>
    </w:r>
    <w:r w:rsidRPr="0072606A">
      <w:rPr>
        <w:sz w:val="20"/>
      </w:rPr>
      <w:instrText>PAGE   \* MERGEFORMAT</w:instrText>
    </w:r>
    <w:r w:rsidRPr="0072606A">
      <w:rPr>
        <w:sz w:val="20"/>
      </w:rPr>
      <w:fldChar w:fldCharType="separate"/>
    </w:r>
    <w:r w:rsidR="00763F2E">
      <w:rPr>
        <w:noProof/>
        <w:sz w:val="20"/>
      </w:rPr>
      <w:t>1</w:t>
    </w:r>
    <w:r w:rsidRPr="0072606A">
      <w:rPr>
        <w:sz w:val="20"/>
      </w:rPr>
      <w:fldChar w:fldCharType="end"/>
    </w:r>
  </w:p>
  <w:p w:rsidR="0072606A" w:rsidRDefault="007260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93" w:rsidRDefault="00AE0293" w:rsidP="00685E5D">
      <w:pPr>
        <w:spacing w:line="240" w:lineRule="auto"/>
      </w:pPr>
      <w:r>
        <w:separator/>
      </w:r>
    </w:p>
  </w:footnote>
  <w:footnote w:type="continuationSeparator" w:id="0">
    <w:p w:rsidR="00AE0293" w:rsidRDefault="00AE0293"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7D479A6"/>
    <w:multiLevelType w:val="hybridMultilevel"/>
    <w:tmpl w:val="16E0E42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0A811B01"/>
    <w:multiLevelType w:val="hybridMultilevel"/>
    <w:tmpl w:val="B7EA01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46DB2"/>
    <w:multiLevelType w:val="hybridMultilevel"/>
    <w:tmpl w:val="1F5A15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BB00240"/>
    <w:multiLevelType w:val="hybridMultilevel"/>
    <w:tmpl w:val="02A27542"/>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30073"/>
    <w:multiLevelType w:val="hybridMultilevel"/>
    <w:tmpl w:val="E372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B3B5F"/>
    <w:multiLevelType w:val="hybridMultilevel"/>
    <w:tmpl w:val="DD78F7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BA1708"/>
    <w:multiLevelType w:val="hybridMultilevel"/>
    <w:tmpl w:val="1B2E25FC"/>
    <w:lvl w:ilvl="0" w:tplc="4CE8B6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14AB2A30"/>
    <w:multiLevelType w:val="hybridMultilevel"/>
    <w:tmpl w:val="48BCA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D85CC5"/>
    <w:multiLevelType w:val="hybridMultilevel"/>
    <w:tmpl w:val="EBBC2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5F251B"/>
    <w:multiLevelType w:val="hybridMultilevel"/>
    <w:tmpl w:val="D5F4A5E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1CB577C9"/>
    <w:multiLevelType w:val="hybridMultilevel"/>
    <w:tmpl w:val="DD8A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A852A0"/>
    <w:multiLevelType w:val="hybridMultilevel"/>
    <w:tmpl w:val="0B00749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46334D3"/>
    <w:multiLevelType w:val="hybridMultilevel"/>
    <w:tmpl w:val="5F8872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816C3A"/>
    <w:multiLevelType w:val="singleLevel"/>
    <w:tmpl w:val="04190011"/>
    <w:lvl w:ilvl="0">
      <w:start w:val="1"/>
      <w:numFmt w:val="decimal"/>
      <w:lvlText w:val="%1)"/>
      <w:lvlJc w:val="left"/>
      <w:pPr>
        <w:tabs>
          <w:tab w:val="num" w:pos="502"/>
        </w:tabs>
        <w:ind w:left="502" w:hanging="360"/>
      </w:pPr>
      <w:rPr>
        <w:rFonts w:cs="Times New Roman" w:hint="default"/>
      </w:rPr>
    </w:lvl>
  </w:abstractNum>
  <w:abstractNum w:abstractNumId="16">
    <w:nsid w:val="2A314E7A"/>
    <w:multiLevelType w:val="singleLevel"/>
    <w:tmpl w:val="E10C3A5E"/>
    <w:lvl w:ilvl="0">
      <w:start w:val="2"/>
      <w:numFmt w:val="bullet"/>
      <w:lvlText w:val="-"/>
      <w:lvlJc w:val="left"/>
      <w:pPr>
        <w:tabs>
          <w:tab w:val="num" w:pos="360"/>
        </w:tabs>
        <w:ind w:left="360" w:hanging="360"/>
      </w:pPr>
      <w:rPr>
        <w:rFonts w:hint="default"/>
      </w:rPr>
    </w:lvl>
  </w:abstractNum>
  <w:abstractNum w:abstractNumId="17">
    <w:nsid w:val="2B813866"/>
    <w:multiLevelType w:val="hybridMultilevel"/>
    <w:tmpl w:val="2CD68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F57367"/>
    <w:multiLevelType w:val="hybridMultilevel"/>
    <w:tmpl w:val="14F0C262"/>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24362AA"/>
    <w:multiLevelType w:val="hybridMultilevel"/>
    <w:tmpl w:val="AD18126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5234DA3"/>
    <w:multiLevelType w:val="hybridMultilevel"/>
    <w:tmpl w:val="77FC61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BB434C0"/>
    <w:multiLevelType w:val="hybridMultilevel"/>
    <w:tmpl w:val="EDF69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15B32"/>
    <w:multiLevelType w:val="hybridMultilevel"/>
    <w:tmpl w:val="DA70A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BD163FA"/>
    <w:multiLevelType w:val="hybridMultilevel"/>
    <w:tmpl w:val="D266351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E7D4FEF"/>
    <w:multiLevelType w:val="hybridMultilevel"/>
    <w:tmpl w:val="8E68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7B2A2D"/>
    <w:multiLevelType w:val="hybridMultilevel"/>
    <w:tmpl w:val="613A694A"/>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91B35"/>
    <w:multiLevelType w:val="hybridMultilevel"/>
    <w:tmpl w:val="8E282D9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nsid w:val="5A7879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D857E10"/>
    <w:multiLevelType w:val="hybridMultilevel"/>
    <w:tmpl w:val="F1DAFE46"/>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642BBA"/>
    <w:multiLevelType w:val="hybridMultilevel"/>
    <w:tmpl w:val="541E6C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1D76DB"/>
    <w:multiLevelType w:val="hybridMultilevel"/>
    <w:tmpl w:val="116A7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D54D35"/>
    <w:multiLevelType w:val="hybridMultilevel"/>
    <w:tmpl w:val="9A204898"/>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7BB40CA1"/>
    <w:multiLevelType w:val="hybridMultilevel"/>
    <w:tmpl w:val="0318142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7E8638D0"/>
    <w:multiLevelType w:val="hybridMultilevel"/>
    <w:tmpl w:val="A79EE1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17"/>
  </w:num>
  <w:num w:numId="3">
    <w:abstractNumId w:val="12"/>
  </w:num>
  <w:num w:numId="4">
    <w:abstractNumId w:val="3"/>
  </w:num>
  <w:num w:numId="5">
    <w:abstractNumId w:val="1"/>
  </w:num>
  <w:num w:numId="6">
    <w:abstractNumId w:val="31"/>
  </w:num>
  <w:num w:numId="7">
    <w:abstractNumId w:val="15"/>
  </w:num>
  <w:num w:numId="8">
    <w:abstractNumId w:val="16"/>
  </w:num>
  <w:num w:numId="9">
    <w:abstractNumId w:val="27"/>
  </w:num>
  <w:num w:numId="10">
    <w:abstractNumId w:val="23"/>
  </w:num>
  <w:num w:numId="11">
    <w:abstractNumId w:val="11"/>
  </w:num>
  <w:num w:numId="12">
    <w:abstractNumId w:val="10"/>
  </w:num>
  <w:num w:numId="13">
    <w:abstractNumId w:val="14"/>
  </w:num>
  <w:num w:numId="14">
    <w:abstractNumId w:val="30"/>
  </w:num>
  <w:num w:numId="15">
    <w:abstractNumId w:val="32"/>
  </w:num>
  <w:num w:numId="16">
    <w:abstractNumId w:val="9"/>
  </w:num>
  <w:num w:numId="17">
    <w:abstractNumId w:val="29"/>
  </w:num>
  <w:num w:numId="18">
    <w:abstractNumId w:val="2"/>
  </w:num>
  <w:num w:numId="19">
    <w:abstractNumId w:val="18"/>
  </w:num>
  <w:num w:numId="20">
    <w:abstractNumId w:val="6"/>
  </w:num>
  <w:num w:numId="21">
    <w:abstractNumId w:val="28"/>
  </w:num>
  <w:num w:numId="22">
    <w:abstractNumId w:val="25"/>
  </w:num>
  <w:num w:numId="23">
    <w:abstractNumId w:val="4"/>
  </w:num>
  <w:num w:numId="24">
    <w:abstractNumId w:val="21"/>
  </w:num>
  <w:num w:numId="25">
    <w:abstractNumId w:val="5"/>
  </w:num>
  <w:num w:numId="26">
    <w:abstractNumId w:val="24"/>
  </w:num>
  <w:num w:numId="27">
    <w:abstractNumId w:val="26"/>
  </w:num>
  <w:num w:numId="28">
    <w:abstractNumId w:val="13"/>
  </w:num>
  <w:num w:numId="29">
    <w:abstractNumId w:val="33"/>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7"/>
  </w:num>
  <w:num w:numId="34">
    <w:abstractNumId w:val="20"/>
  </w:num>
  <w:num w:numId="35">
    <w:abstractNumId w:val="22"/>
  </w:num>
  <w:num w:numId="36">
    <w:abstractNumId w:val="0"/>
    <w:lvlOverride w:ilvl="0"/>
    <w:lvlOverride w:ilvl="1"/>
    <w:lvlOverride w:ilvl="2"/>
    <w:lvlOverride w:ilvl="3"/>
    <w:lvlOverride w:ilvl="4"/>
    <w:lvlOverride w:ilvl="5"/>
    <w:lvlOverride w:ilvl="6"/>
    <w:lvlOverride w:ilvl="7"/>
    <w:lvlOverride w:ilvl="8"/>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26AFB"/>
    <w:rsid w:val="00005E2A"/>
    <w:rsid w:val="00020953"/>
    <w:rsid w:val="000237BC"/>
    <w:rsid w:val="00026807"/>
    <w:rsid w:val="00026AB2"/>
    <w:rsid w:val="0003332C"/>
    <w:rsid w:val="000335C7"/>
    <w:rsid w:val="0004137A"/>
    <w:rsid w:val="00043903"/>
    <w:rsid w:val="000445F1"/>
    <w:rsid w:val="00044B70"/>
    <w:rsid w:val="00056D33"/>
    <w:rsid w:val="00072AD5"/>
    <w:rsid w:val="00082243"/>
    <w:rsid w:val="00083553"/>
    <w:rsid w:val="00083C16"/>
    <w:rsid w:val="0009087A"/>
    <w:rsid w:val="000917B5"/>
    <w:rsid w:val="000A54DE"/>
    <w:rsid w:val="000C0F7F"/>
    <w:rsid w:val="000D3E2F"/>
    <w:rsid w:val="000E0CBC"/>
    <w:rsid w:val="000E2815"/>
    <w:rsid w:val="000E403D"/>
    <w:rsid w:val="000F08D7"/>
    <w:rsid w:val="000F6177"/>
    <w:rsid w:val="0010069B"/>
    <w:rsid w:val="001159FD"/>
    <w:rsid w:val="00115C9F"/>
    <w:rsid w:val="00117716"/>
    <w:rsid w:val="00122528"/>
    <w:rsid w:val="0013780A"/>
    <w:rsid w:val="00137B22"/>
    <w:rsid w:val="001416CE"/>
    <w:rsid w:val="001459DC"/>
    <w:rsid w:val="00152B8F"/>
    <w:rsid w:val="00154E07"/>
    <w:rsid w:val="00160EA8"/>
    <w:rsid w:val="00170244"/>
    <w:rsid w:val="0017257F"/>
    <w:rsid w:val="00173844"/>
    <w:rsid w:val="001817F2"/>
    <w:rsid w:val="001860BD"/>
    <w:rsid w:val="001916F5"/>
    <w:rsid w:val="001A645B"/>
    <w:rsid w:val="001B0A04"/>
    <w:rsid w:val="001B5541"/>
    <w:rsid w:val="001B7639"/>
    <w:rsid w:val="001C11EC"/>
    <w:rsid w:val="001D0FE9"/>
    <w:rsid w:val="001D6D90"/>
    <w:rsid w:val="001E2AD1"/>
    <w:rsid w:val="001E5023"/>
    <w:rsid w:val="001E5EED"/>
    <w:rsid w:val="001F2694"/>
    <w:rsid w:val="001F377D"/>
    <w:rsid w:val="00200626"/>
    <w:rsid w:val="0020511E"/>
    <w:rsid w:val="00213010"/>
    <w:rsid w:val="00213807"/>
    <w:rsid w:val="00214665"/>
    <w:rsid w:val="00224DCB"/>
    <w:rsid w:val="002346DE"/>
    <w:rsid w:val="00235149"/>
    <w:rsid w:val="002378C6"/>
    <w:rsid w:val="0024601A"/>
    <w:rsid w:val="00272D55"/>
    <w:rsid w:val="002748ED"/>
    <w:rsid w:val="0028159B"/>
    <w:rsid w:val="00290122"/>
    <w:rsid w:val="00290779"/>
    <w:rsid w:val="00290E16"/>
    <w:rsid w:val="002934E2"/>
    <w:rsid w:val="00294239"/>
    <w:rsid w:val="002945D3"/>
    <w:rsid w:val="002A2801"/>
    <w:rsid w:val="002B2037"/>
    <w:rsid w:val="002C34A4"/>
    <w:rsid w:val="002C56D4"/>
    <w:rsid w:val="002C6ECD"/>
    <w:rsid w:val="002D08A5"/>
    <w:rsid w:val="002D44E9"/>
    <w:rsid w:val="002D4DFE"/>
    <w:rsid w:val="002E22FC"/>
    <w:rsid w:val="002E2398"/>
    <w:rsid w:val="002E783E"/>
    <w:rsid w:val="002F1421"/>
    <w:rsid w:val="002F3288"/>
    <w:rsid w:val="003015A6"/>
    <w:rsid w:val="00303E8F"/>
    <w:rsid w:val="00305FE4"/>
    <w:rsid w:val="0031006B"/>
    <w:rsid w:val="00331412"/>
    <w:rsid w:val="003435E1"/>
    <w:rsid w:val="00344410"/>
    <w:rsid w:val="00344D38"/>
    <w:rsid w:val="00351946"/>
    <w:rsid w:val="003614C7"/>
    <w:rsid w:val="0036344D"/>
    <w:rsid w:val="00377A03"/>
    <w:rsid w:val="0038227D"/>
    <w:rsid w:val="003871D3"/>
    <w:rsid w:val="00387488"/>
    <w:rsid w:val="003874BC"/>
    <w:rsid w:val="0038796E"/>
    <w:rsid w:val="00391BCF"/>
    <w:rsid w:val="00392304"/>
    <w:rsid w:val="00394A5F"/>
    <w:rsid w:val="003A003D"/>
    <w:rsid w:val="003A5F5F"/>
    <w:rsid w:val="003A6EC9"/>
    <w:rsid w:val="003A7ADB"/>
    <w:rsid w:val="003B1EB8"/>
    <w:rsid w:val="003C5119"/>
    <w:rsid w:val="003D4297"/>
    <w:rsid w:val="003D455E"/>
    <w:rsid w:val="003E109C"/>
    <w:rsid w:val="003E783A"/>
    <w:rsid w:val="003F40DA"/>
    <w:rsid w:val="003F5B5E"/>
    <w:rsid w:val="00400EA8"/>
    <w:rsid w:val="004037F6"/>
    <w:rsid w:val="00410D06"/>
    <w:rsid w:val="00425C79"/>
    <w:rsid w:val="0046038D"/>
    <w:rsid w:val="004648C8"/>
    <w:rsid w:val="00466FC3"/>
    <w:rsid w:val="004712FD"/>
    <w:rsid w:val="00473A34"/>
    <w:rsid w:val="0048206A"/>
    <w:rsid w:val="00493F4A"/>
    <w:rsid w:val="004955AA"/>
    <w:rsid w:val="004A075F"/>
    <w:rsid w:val="004B29A2"/>
    <w:rsid w:val="004B4275"/>
    <w:rsid w:val="004B4805"/>
    <w:rsid w:val="004C152A"/>
    <w:rsid w:val="004C386F"/>
    <w:rsid w:val="004C73CB"/>
    <w:rsid w:val="004D0E86"/>
    <w:rsid w:val="004D3319"/>
    <w:rsid w:val="004F06BC"/>
    <w:rsid w:val="004F46E3"/>
    <w:rsid w:val="004F49EF"/>
    <w:rsid w:val="004F70F7"/>
    <w:rsid w:val="00502989"/>
    <w:rsid w:val="0050484D"/>
    <w:rsid w:val="0051493D"/>
    <w:rsid w:val="00520F72"/>
    <w:rsid w:val="0052406B"/>
    <w:rsid w:val="005345F2"/>
    <w:rsid w:val="00535749"/>
    <w:rsid w:val="00536155"/>
    <w:rsid w:val="0054073A"/>
    <w:rsid w:val="00540794"/>
    <w:rsid w:val="00541670"/>
    <w:rsid w:val="0054175C"/>
    <w:rsid w:val="005461D8"/>
    <w:rsid w:val="00550834"/>
    <w:rsid w:val="00552AF6"/>
    <w:rsid w:val="00553053"/>
    <w:rsid w:val="0055659E"/>
    <w:rsid w:val="00565CD7"/>
    <w:rsid w:val="0057568B"/>
    <w:rsid w:val="00580967"/>
    <w:rsid w:val="00580E92"/>
    <w:rsid w:val="00582D76"/>
    <w:rsid w:val="00584B97"/>
    <w:rsid w:val="00586716"/>
    <w:rsid w:val="00587E48"/>
    <w:rsid w:val="00595A26"/>
    <w:rsid w:val="005961DB"/>
    <w:rsid w:val="005967F1"/>
    <w:rsid w:val="005A58E4"/>
    <w:rsid w:val="005A5D55"/>
    <w:rsid w:val="005A5E8A"/>
    <w:rsid w:val="005B70C0"/>
    <w:rsid w:val="005C3569"/>
    <w:rsid w:val="005C468D"/>
    <w:rsid w:val="005C61C7"/>
    <w:rsid w:val="005C7E6E"/>
    <w:rsid w:val="005D715F"/>
    <w:rsid w:val="005E4295"/>
    <w:rsid w:val="005E47D5"/>
    <w:rsid w:val="005E7B4E"/>
    <w:rsid w:val="005F10CB"/>
    <w:rsid w:val="005F3478"/>
    <w:rsid w:val="005F4CA6"/>
    <w:rsid w:val="005F7AF2"/>
    <w:rsid w:val="00605BD0"/>
    <w:rsid w:val="00634C93"/>
    <w:rsid w:val="0064274C"/>
    <w:rsid w:val="00643AFF"/>
    <w:rsid w:val="006449CC"/>
    <w:rsid w:val="00647BB1"/>
    <w:rsid w:val="006538B7"/>
    <w:rsid w:val="00656C1F"/>
    <w:rsid w:val="00662809"/>
    <w:rsid w:val="006660DD"/>
    <w:rsid w:val="00671378"/>
    <w:rsid w:val="0067669C"/>
    <w:rsid w:val="00677512"/>
    <w:rsid w:val="00677D3E"/>
    <w:rsid w:val="00685E5D"/>
    <w:rsid w:val="00686C2A"/>
    <w:rsid w:val="006905AB"/>
    <w:rsid w:val="006928C8"/>
    <w:rsid w:val="006A0F30"/>
    <w:rsid w:val="006A1792"/>
    <w:rsid w:val="006A48DC"/>
    <w:rsid w:val="006A7418"/>
    <w:rsid w:val="006A7F7E"/>
    <w:rsid w:val="006B5371"/>
    <w:rsid w:val="006E63E3"/>
    <w:rsid w:val="006F229B"/>
    <w:rsid w:val="006F2526"/>
    <w:rsid w:val="006F691E"/>
    <w:rsid w:val="0070099D"/>
    <w:rsid w:val="00700EAF"/>
    <w:rsid w:val="00700FC7"/>
    <w:rsid w:val="00703367"/>
    <w:rsid w:val="00717F0D"/>
    <w:rsid w:val="0072606A"/>
    <w:rsid w:val="00726B5C"/>
    <w:rsid w:val="0074483F"/>
    <w:rsid w:val="00761670"/>
    <w:rsid w:val="00761D43"/>
    <w:rsid w:val="00763901"/>
    <w:rsid w:val="00763F2E"/>
    <w:rsid w:val="007666B5"/>
    <w:rsid w:val="00767AF7"/>
    <w:rsid w:val="00781D09"/>
    <w:rsid w:val="00782517"/>
    <w:rsid w:val="00786B9F"/>
    <w:rsid w:val="00787067"/>
    <w:rsid w:val="00787422"/>
    <w:rsid w:val="00787F25"/>
    <w:rsid w:val="007910DC"/>
    <w:rsid w:val="00791259"/>
    <w:rsid w:val="007921C0"/>
    <w:rsid w:val="007932D9"/>
    <w:rsid w:val="00795E8F"/>
    <w:rsid w:val="007A7521"/>
    <w:rsid w:val="007B1735"/>
    <w:rsid w:val="007B661F"/>
    <w:rsid w:val="007B6F46"/>
    <w:rsid w:val="007C4950"/>
    <w:rsid w:val="007C4CE3"/>
    <w:rsid w:val="007C5B2F"/>
    <w:rsid w:val="007C7493"/>
    <w:rsid w:val="007D30D1"/>
    <w:rsid w:val="007D3405"/>
    <w:rsid w:val="007D57C8"/>
    <w:rsid w:val="007E5AE6"/>
    <w:rsid w:val="007F3C30"/>
    <w:rsid w:val="007F44F7"/>
    <w:rsid w:val="007F660E"/>
    <w:rsid w:val="007F7DAD"/>
    <w:rsid w:val="008045D7"/>
    <w:rsid w:val="008077B8"/>
    <w:rsid w:val="00813AF6"/>
    <w:rsid w:val="00820045"/>
    <w:rsid w:val="00823CFC"/>
    <w:rsid w:val="0082651B"/>
    <w:rsid w:val="008301BF"/>
    <w:rsid w:val="008325D7"/>
    <w:rsid w:val="008436D9"/>
    <w:rsid w:val="00846B64"/>
    <w:rsid w:val="00850E48"/>
    <w:rsid w:val="00851918"/>
    <w:rsid w:val="0086177F"/>
    <w:rsid w:val="008635D0"/>
    <w:rsid w:val="008727FB"/>
    <w:rsid w:val="00872F44"/>
    <w:rsid w:val="00880E66"/>
    <w:rsid w:val="008835F7"/>
    <w:rsid w:val="008876A5"/>
    <w:rsid w:val="00891643"/>
    <w:rsid w:val="00896564"/>
    <w:rsid w:val="008B5573"/>
    <w:rsid w:val="008B6FF8"/>
    <w:rsid w:val="008D3D7B"/>
    <w:rsid w:val="008D7B20"/>
    <w:rsid w:val="008F2700"/>
    <w:rsid w:val="008F2EC5"/>
    <w:rsid w:val="008F361C"/>
    <w:rsid w:val="008F7722"/>
    <w:rsid w:val="008F779C"/>
    <w:rsid w:val="008F7980"/>
    <w:rsid w:val="00910090"/>
    <w:rsid w:val="00910E01"/>
    <w:rsid w:val="00916CAB"/>
    <w:rsid w:val="00922D96"/>
    <w:rsid w:val="0092693B"/>
    <w:rsid w:val="00936334"/>
    <w:rsid w:val="0094208B"/>
    <w:rsid w:val="00942BDB"/>
    <w:rsid w:val="00943975"/>
    <w:rsid w:val="00946217"/>
    <w:rsid w:val="00952EB6"/>
    <w:rsid w:val="00956563"/>
    <w:rsid w:val="00957AC1"/>
    <w:rsid w:val="00964671"/>
    <w:rsid w:val="00973531"/>
    <w:rsid w:val="00980F4E"/>
    <w:rsid w:val="00982FBA"/>
    <w:rsid w:val="00985E83"/>
    <w:rsid w:val="009A4F16"/>
    <w:rsid w:val="009A53D5"/>
    <w:rsid w:val="009A6884"/>
    <w:rsid w:val="009A7225"/>
    <w:rsid w:val="009A7B35"/>
    <w:rsid w:val="009B2372"/>
    <w:rsid w:val="009D3082"/>
    <w:rsid w:val="009D5DFF"/>
    <w:rsid w:val="009E323B"/>
    <w:rsid w:val="009F4001"/>
    <w:rsid w:val="009F5C2B"/>
    <w:rsid w:val="009F5C48"/>
    <w:rsid w:val="009F6F30"/>
    <w:rsid w:val="00A03558"/>
    <w:rsid w:val="00A041F6"/>
    <w:rsid w:val="00A26AFB"/>
    <w:rsid w:val="00A41F4E"/>
    <w:rsid w:val="00A436A3"/>
    <w:rsid w:val="00A45E05"/>
    <w:rsid w:val="00A50AC3"/>
    <w:rsid w:val="00A61034"/>
    <w:rsid w:val="00A71058"/>
    <w:rsid w:val="00A74896"/>
    <w:rsid w:val="00A82851"/>
    <w:rsid w:val="00A872B4"/>
    <w:rsid w:val="00A928A7"/>
    <w:rsid w:val="00A96A67"/>
    <w:rsid w:val="00AA3DD4"/>
    <w:rsid w:val="00AB1755"/>
    <w:rsid w:val="00AB2997"/>
    <w:rsid w:val="00AC1DED"/>
    <w:rsid w:val="00AC1E22"/>
    <w:rsid w:val="00AD5473"/>
    <w:rsid w:val="00AE0293"/>
    <w:rsid w:val="00AE1A76"/>
    <w:rsid w:val="00AE37E2"/>
    <w:rsid w:val="00AF4649"/>
    <w:rsid w:val="00AF534F"/>
    <w:rsid w:val="00AF6AF5"/>
    <w:rsid w:val="00AF7F94"/>
    <w:rsid w:val="00B009F9"/>
    <w:rsid w:val="00B01F1D"/>
    <w:rsid w:val="00B04048"/>
    <w:rsid w:val="00B05D5D"/>
    <w:rsid w:val="00B05D9C"/>
    <w:rsid w:val="00B12069"/>
    <w:rsid w:val="00B21E64"/>
    <w:rsid w:val="00B2620E"/>
    <w:rsid w:val="00B31709"/>
    <w:rsid w:val="00B3340D"/>
    <w:rsid w:val="00B402EF"/>
    <w:rsid w:val="00B4156E"/>
    <w:rsid w:val="00B4289B"/>
    <w:rsid w:val="00B437CA"/>
    <w:rsid w:val="00B46853"/>
    <w:rsid w:val="00B563E2"/>
    <w:rsid w:val="00B60A08"/>
    <w:rsid w:val="00B62ECA"/>
    <w:rsid w:val="00B6330D"/>
    <w:rsid w:val="00B64F2F"/>
    <w:rsid w:val="00B66F31"/>
    <w:rsid w:val="00B67F44"/>
    <w:rsid w:val="00B70F12"/>
    <w:rsid w:val="00B81354"/>
    <w:rsid w:val="00B81890"/>
    <w:rsid w:val="00B858B3"/>
    <w:rsid w:val="00B90485"/>
    <w:rsid w:val="00B926B4"/>
    <w:rsid w:val="00B9393F"/>
    <w:rsid w:val="00B97DE5"/>
    <w:rsid w:val="00BA05F4"/>
    <w:rsid w:val="00BA758D"/>
    <w:rsid w:val="00BB5283"/>
    <w:rsid w:val="00BC46D3"/>
    <w:rsid w:val="00BC471E"/>
    <w:rsid w:val="00BD5489"/>
    <w:rsid w:val="00BE1ACE"/>
    <w:rsid w:val="00C00A8C"/>
    <w:rsid w:val="00C11821"/>
    <w:rsid w:val="00C22B1D"/>
    <w:rsid w:val="00C30D30"/>
    <w:rsid w:val="00C310AA"/>
    <w:rsid w:val="00C35E55"/>
    <w:rsid w:val="00C413A3"/>
    <w:rsid w:val="00C45098"/>
    <w:rsid w:val="00C521A0"/>
    <w:rsid w:val="00C52C04"/>
    <w:rsid w:val="00C5467D"/>
    <w:rsid w:val="00C56535"/>
    <w:rsid w:val="00C57E3D"/>
    <w:rsid w:val="00C6024B"/>
    <w:rsid w:val="00C718E5"/>
    <w:rsid w:val="00C85F8A"/>
    <w:rsid w:val="00C968B3"/>
    <w:rsid w:val="00CA6A13"/>
    <w:rsid w:val="00CB6771"/>
    <w:rsid w:val="00CC138A"/>
    <w:rsid w:val="00CC38C6"/>
    <w:rsid w:val="00CD1705"/>
    <w:rsid w:val="00CD19C5"/>
    <w:rsid w:val="00CD459E"/>
    <w:rsid w:val="00CD5845"/>
    <w:rsid w:val="00CD70A0"/>
    <w:rsid w:val="00D0582B"/>
    <w:rsid w:val="00D06B9F"/>
    <w:rsid w:val="00D11E18"/>
    <w:rsid w:val="00D13F43"/>
    <w:rsid w:val="00D3026A"/>
    <w:rsid w:val="00D33C92"/>
    <w:rsid w:val="00D36FF2"/>
    <w:rsid w:val="00D37531"/>
    <w:rsid w:val="00D471DD"/>
    <w:rsid w:val="00D600E7"/>
    <w:rsid w:val="00D606E1"/>
    <w:rsid w:val="00D62A5B"/>
    <w:rsid w:val="00D62FA0"/>
    <w:rsid w:val="00D704ED"/>
    <w:rsid w:val="00D76467"/>
    <w:rsid w:val="00D84682"/>
    <w:rsid w:val="00D91E14"/>
    <w:rsid w:val="00D97870"/>
    <w:rsid w:val="00DA4BD2"/>
    <w:rsid w:val="00DA5ACE"/>
    <w:rsid w:val="00DA6092"/>
    <w:rsid w:val="00DA7233"/>
    <w:rsid w:val="00DC2180"/>
    <w:rsid w:val="00DC6A58"/>
    <w:rsid w:val="00DC7EBF"/>
    <w:rsid w:val="00DD17E8"/>
    <w:rsid w:val="00DD584E"/>
    <w:rsid w:val="00DD5C0E"/>
    <w:rsid w:val="00DD7A76"/>
    <w:rsid w:val="00DD7CAD"/>
    <w:rsid w:val="00DE0B15"/>
    <w:rsid w:val="00DE329E"/>
    <w:rsid w:val="00DF07AF"/>
    <w:rsid w:val="00DF0B38"/>
    <w:rsid w:val="00DF4731"/>
    <w:rsid w:val="00E12B83"/>
    <w:rsid w:val="00E23AA5"/>
    <w:rsid w:val="00E26007"/>
    <w:rsid w:val="00E346E6"/>
    <w:rsid w:val="00E4413B"/>
    <w:rsid w:val="00E4592D"/>
    <w:rsid w:val="00E51628"/>
    <w:rsid w:val="00E61281"/>
    <w:rsid w:val="00E63821"/>
    <w:rsid w:val="00E6510E"/>
    <w:rsid w:val="00E663C3"/>
    <w:rsid w:val="00E678B6"/>
    <w:rsid w:val="00E67E23"/>
    <w:rsid w:val="00E704A2"/>
    <w:rsid w:val="00E7232C"/>
    <w:rsid w:val="00E7683A"/>
    <w:rsid w:val="00E83E62"/>
    <w:rsid w:val="00E91ED2"/>
    <w:rsid w:val="00E91F4C"/>
    <w:rsid w:val="00E93B43"/>
    <w:rsid w:val="00E959DA"/>
    <w:rsid w:val="00EB39A1"/>
    <w:rsid w:val="00EC6D06"/>
    <w:rsid w:val="00ED04A8"/>
    <w:rsid w:val="00ED6C2C"/>
    <w:rsid w:val="00EE24A2"/>
    <w:rsid w:val="00EE2F8B"/>
    <w:rsid w:val="00EE557B"/>
    <w:rsid w:val="00EF0A38"/>
    <w:rsid w:val="00EF2525"/>
    <w:rsid w:val="00EF6817"/>
    <w:rsid w:val="00F066E1"/>
    <w:rsid w:val="00F0745E"/>
    <w:rsid w:val="00F12ADB"/>
    <w:rsid w:val="00F16FC3"/>
    <w:rsid w:val="00F170EE"/>
    <w:rsid w:val="00F202CF"/>
    <w:rsid w:val="00F22BD5"/>
    <w:rsid w:val="00F42538"/>
    <w:rsid w:val="00F44AEF"/>
    <w:rsid w:val="00F45644"/>
    <w:rsid w:val="00F662CB"/>
    <w:rsid w:val="00F809A8"/>
    <w:rsid w:val="00F85288"/>
    <w:rsid w:val="00F873BE"/>
    <w:rsid w:val="00F96D4B"/>
    <w:rsid w:val="00FA3210"/>
    <w:rsid w:val="00FA5E23"/>
    <w:rsid w:val="00FB2351"/>
    <w:rsid w:val="00FB2497"/>
    <w:rsid w:val="00FB73A7"/>
    <w:rsid w:val="00FB7D89"/>
    <w:rsid w:val="00FD1740"/>
    <w:rsid w:val="00FD6FC3"/>
    <w:rsid w:val="00FE31AA"/>
    <w:rsid w:val="00FE5C8B"/>
    <w:rsid w:val="00FE797A"/>
    <w:rsid w:val="00FF0C76"/>
    <w:rsid w:val="00FF206E"/>
    <w:rsid w:val="00FF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62809"/>
    <w:pPr>
      <w:keepNext/>
      <w:spacing w:before="240" w:after="60"/>
      <w:outlineLvl w:val="1"/>
    </w:pPr>
    <w:rPr>
      <w:rFonts w:asciiTheme="majorHAnsi" w:eastAsiaTheme="majorEastAsia" w:hAnsiTheme="majorHAnsi"/>
      <w:b/>
      <w:bCs/>
      <w:i/>
      <w:iCs/>
      <w:szCs w:val="28"/>
    </w:rPr>
  </w:style>
  <w:style w:type="paragraph" w:styleId="5">
    <w:name w:val="heading 5"/>
    <w:basedOn w:val="a"/>
    <w:next w:val="a"/>
    <w:link w:val="50"/>
    <w:uiPriority w:val="9"/>
    <w:qFormat/>
    <w:rsid w:val="006928C8"/>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662809"/>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
    <w:locked/>
    <w:rsid w:val="006928C8"/>
    <w:rPr>
      <w:rFonts w:ascii="Times New Roman CYR" w:hAnsi="Times New Roman CYR" w:cs="Times New Roman"/>
      <w:b/>
      <w:bCs/>
      <w:i/>
      <w:iCs/>
      <w:sz w:val="26"/>
      <w:szCs w:val="26"/>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ConsNormal">
    <w:name w:val="ConsNormal"/>
    <w:rsid w:val="00662809"/>
    <w:pPr>
      <w:widowControl w:val="0"/>
      <w:ind w:firstLine="720"/>
    </w:pPr>
    <w:rPr>
      <w:rFonts w:ascii="Arial" w:hAnsi="Arial" w:cs="Arial"/>
    </w:rPr>
  </w:style>
  <w:style w:type="paragraph" w:customStyle="1" w:styleId="ConsNonformat">
    <w:name w:val="ConsNonformat"/>
    <w:rsid w:val="00662809"/>
    <w:pPr>
      <w:widowControl w:val="0"/>
    </w:pPr>
    <w:rPr>
      <w:rFonts w:ascii="Courier New" w:hAnsi="Courier New" w:cs="Courier New"/>
    </w:rPr>
  </w:style>
  <w:style w:type="paragraph" w:styleId="ac">
    <w:name w:val="annotation text"/>
    <w:basedOn w:val="a"/>
    <w:link w:val="ad"/>
    <w:uiPriority w:val="99"/>
    <w:rsid w:val="00662809"/>
    <w:pPr>
      <w:spacing w:line="240" w:lineRule="auto"/>
      <w:jc w:val="left"/>
    </w:pPr>
    <w:rPr>
      <w:rFonts w:ascii="Times New Roman" w:hAnsi="Times New Roman"/>
      <w:sz w:val="20"/>
      <w:szCs w:val="24"/>
    </w:rPr>
  </w:style>
  <w:style w:type="character" w:customStyle="1" w:styleId="ad">
    <w:name w:val="Текст примечания Знак"/>
    <w:basedOn w:val="a0"/>
    <w:link w:val="ac"/>
    <w:uiPriority w:val="99"/>
    <w:locked/>
    <w:rsid w:val="00662809"/>
    <w:rPr>
      <w:rFonts w:cs="Times New Roman"/>
      <w:sz w:val="24"/>
      <w:szCs w:val="24"/>
    </w:rPr>
  </w:style>
  <w:style w:type="paragraph" w:customStyle="1" w:styleId="H4">
    <w:name w:val="H4"/>
    <w:basedOn w:val="a"/>
    <w:next w:val="a"/>
    <w:rsid w:val="00662809"/>
    <w:pPr>
      <w:keepNext/>
      <w:spacing w:before="100" w:after="100" w:line="240" w:lineRule="auto"/>
      <w:jc w:val="left"/>
      <w:outlineLvl w:val="4"/>
    </w:pPr>
    <w:rPr>
      <w:rFonts w:ascii="Times New Roman" w:hAnsi="Times New Roman"/>
      <w:b/>
      <w:bCs/>
      <w:sz w:val="24"/>
      <w:szCs w:val="24"/>
      <w:lang w:eastAsia="en-US"/>
    </w:rPr>
  </w:style>
  <w:style w:type="character" w:styleId="ae">
    <w:name w:val="annotation reference"/>
    <w:basedOn w:val="a0"/>
    <w:uiPriority w:val="99"/>
    <w:unhideWhenUsed/>
    <w:rsid w:val="00662809"/>
    <w:rPr>
      <w:rFonts w:cs="Times New Roman"/>
      <w:sz w:val="16"/>
      <w:szCs w:val="16"/>
    </w:rPr>
  </w:style>
  <w:style w:type="paragraph" w:styleId="af">
    <w:name w:val="annotation subject"/>
    <w:basedOn w:val="ac"/>
    <w:next w:val="ac"/>
    <w:link w:val="af0"/>
    <w:uiPriority w:val="99"/>
    <w:unhideWhenUsed/>
    <w:rsid w:val="00662809"/>
    <w:rPr>
      <w:b/>
      <w:bCs/>
      <w:szCs w:val="20"/>
    </w:rPr>
  </w:style>
  <w:style w:type="character" w:customStyle="1" w:styleId="af0">
    <w:name w:val="Тема примечания Знак"/>
    <w:basedOn w:val="ad"/>
    <w:link w:val="af"/>
    <w:uiPriority w:val="99"/>
    <w:locked/>
    <w:rsid w:val="00662809"/>
    <w:rPr>
      <w:b/>
      <w:bCs/>
    </w:rPr>
  </w:style>
  <w:style w:type="paragraph" w:styleId="af1">
    <w:name w:val="Revision"/>
    <w:hidden/>
    <w:uiPriority w:val="99"/>
    <w:semiHidden/>
    <w:rsid w:val="00662809"/>
    <w:rPr>
      <w:sz w:val="24"/>
      <w:szCs w:val="24"/>
    </w:rPr>
  </w:style>
  <w:style w:type="paragraph" w:customStyle="1" w:styleId="ConsPlusNonformat">
    <w:name w:val="ConsPlusNonformat"/>
    <w:rsid w:val="005A5E8A"/>
    <w:pPr>
      <w:widowControl w:val="0"/>
      <w:autoSpaceDE w:val="0"/>
      <w:autoSpaceDN w:val="0"/>
      <w:adjustRightInd w:val="0"/>
    </w:pPr>
    <w:rPr>
      <w:rFonts w:ascii="Courier New" w:hAnsi="Courier New" w:cs="Courier New"/>
    </w:rPr>
  </w:style>
  <w:style w:type="paragraph" w:customStyle="1" w:styleId="ConsPlusTitle">
    <w:name w:val="ConsPlusTitle"/>
    <w:rsid w:val="005A5E8A"/>
    <w:pPr>
      <w:widowControl w:val="0"/>
      <w:autoSpaceDE w:val="0"/>
      <w:autoSpaceDN w:val="0"/>
      <w:adjustRightInd w:val="0"/>
    </w:pPr>
    <w:rPr>
      <w:b/>
      <w:bCs/>
      <w:sz w:val="24"/>
      <w:szCs w:val="24"/>
    </w:rPr>
  </w:style>
  <w:style w:type="paragraph" w:styleId="af2">
    <w:name w:val="Body Text Indent"/>
    <w:basedOn w:val="a"/>
    <w:link w:val="af3"/>
    <w:uiPriority w:val="99"/>
    <w:rsid w:val="005A5E8A"/>
    <w:pPr>
      <w:spacing w:line="240" w:lineRule="auto"/>
      <w:ind w:left="375"/>
    </w:pPr>
    <w:rPr>
      <w:rFonts w:ascii="Arial" w:hAnsi="Arial"/>
      <w:sz w:val="20"/>
      <w:szCs w:val="24"/>
    </w:rPr>
  </w:style>
  <w:style w:type="character" w:customStyle="1" w:styleId="af3">
    <w:name w:val="Основной текст с отступом Знак"/>
    <w:basedOn w:val="a0"/>
    <w:link w:val="af2"/>
    <w:uiPriority w:val="99"/>
    <w:locked/>
    <w:rsid w:val="005A5E8A"/>
    <w:rPr>
      <w:rFonts w:ascii="Arial" w:hAnsi="Arial" w:cs="Times New Roman"/>
      <w:sz w:val="24"/>
      <w:szCs w:val="24"/>
    </w:rPr>
  </w:style>
  <w:style w:type="character" w:styleId="af4">
    <w:name w:val="page number"/>
    <w:basedOn w:val="a0"/>
    <w:uiPriority w:val="99"/>
    <w:rsid w:val="005A5E8A"/>
    <w:rPr>
      <w:rFonts w:cs="Times New Roman"/>
    </w:rPr>
  </w:style>
  <w:style w:type="character" w:styleId="af5">
    <w:name w:val="FollowedHyperlink"/>
    <w:basedOn w:val="a0"/>
    <w:uiPriority w:val="99"/>
    <w:unhideWhenUsed/>
    <w:rsid w:val="005A5E8A"/>
    <w:rPr>
      <w:rFonts w:cs="Times New Roman"/>
      <w:color w:val="800080"/>
      <w:u w:val="single"/>
    </w:rPr>
  </w:style>
  <w:style w:type="paragraph" w:styleId="af6">
    <w:name w:val="Body Text"/>
    <w:basedOn w:val="a"/>
    <w:link w:val="af7"/>
    <w:uiPriority w:val="99"/>
    <w:unhideWhenUsed/>
    <w:rsid w:val="005A5E8A"/>
    <w:pPr>
      <w:spacing w:line="240" w:lineRule="auto"/>
    </w:pPr>
    <w:rPr>
      <w:rFonts w:ascii="Times New Roman" w:hAnsi="Times New Roman"/>
      <w:sz w:val="22"/>
    </w:rPr>
  </w:style>
  <w:style w:type="character" w:customStyle="1" w:styleId="af7">
    <w:name w:val="Основной текст Знак"/>
    <w:basedOn w:val="a0"/>
    <w:link w:val="af6"/>
    <w:uiPriority w:val="99"/>
    <w:locked/>
    <w:rsid w:val="005A5E8A"/>
    <w:rPr>
      <w:rFonts w:cs="Times New Roman"/>
      <w:sz w:val="22"/>
    </w:rPr>
  </w:style>
  <w:style w:type="paragraph" w:styleId="af8">
    <w:name w:val="List Paragraph"/>
    <w:basedOn w:val="a"/>
    <w:uiPriority w:val="34"/>
    <w:qFormat/>
    <w:rsid w:val="003A003D"/>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5048531">
      <w:marLeft w:val="0"/>
      <w:marRight w:val="0"/>
      <w:marTop w:val="0"/>
      <w:marBottom w:val="0"/>
      <w:divBdr>
        <w:top w:val="none" w:sz="0" w:space="0" w:color="auto"/>
        <w:left w:val="none" w:sz="0" w:space="0" w:color="auto"/>
        <w:bottom w:val="none" w:sz="0" w:space="0" w:color="auto"/>
        <w:right w:val="none" w:sz="0" w:space="0" w:color="auto"/>
      </w:divBdr>
    </w:div>
    <w:div w:id="895048532">
      <w:marLeft w:val="0"/>
      <w:marRight w:val="0"/>
      <w:marTop w:val="0"/>
      <w:marBottom w:val="0"/>
      <w:divBdr>
        <w:top w:val="none" w:sz="0" w:space="0" w:color="auto"/>
        <w:left w:val="none" w:sz="0" w:space="0" w:color="auto"/>
        <w:bottom w:val="none" w:sz="0" w:space="0" w:color="auto"/>
        <w:right w:val="none" w:sz="0" w:space="0" w:color="auto"/>
      </w:divBdr>
    </w:div>
    <w:div w:id="895048533">
      <w:marLeft w:val="0"/>
      <w:marRight w:val="0"/>
      <w:marTop w:val="0"/>
      <w:marBottom w:val="0"/>
      <w:divBdr>
        <w:top w:val="none" w:sz="0" w:space="0" w:color="auto"/>
        <w:left w:val="none" w:sz="0" w:space="0" w:color="auto"/>
        <w:bottom w:val="none" w:sz="0" w:space="0" w:color="auto"/>
        <w:right w:val="none" w:sz="0" w:space="0" w:color="auto"/>
      </w:divBdr>
    </w:div>
    <w:div w:id="895048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1FAE-A6BD-4CAE-BCA6-070ECD4E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8592</Words>
  <Characters>48980</Characters>
  <Application>Microsoft Office Word</Application>
  <DocSecurity>0</DocSecurity>
  <Lines>408</Lines>
  <Paragraphs>114</Paragraphs>
  <ScaleCrop>false</ScaleCrop>
  <Company>UralSib</Company>
  <LinksUpToDate>false</LinksUpToDate>
  <CharactersWithSpaces>57458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2015-04-16T16:05:00Z</cp:lastPrinted>
  <dcterms:created xsi:type="dcterms:W3CDTF">2017-12-19T07:46:00Z</dcterms:created>
  <dcterms:modified xsi:type="dcterms:W3CDTF">2017-12-19T07:46:00Z</dcterms:modified>
</cp:coreProperties>
</file>