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COM20032000069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21E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1E2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21E2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E2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421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2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E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21E2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421E20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421E20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21E2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21E2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21E20" w:rsidRPr="00537F9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421E20" w:rsidTr="00421E2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421E20" w:rsidRDefault="0042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21E20" w:rsidTr="00421E2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E20" w:rsidRDefault="00421E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E20" w:rsidRDefault="00421E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E20" w:rsidRDefault="00421E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421E20" w:rsidTr="00421E2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E20" w:rsidRDefault="00421E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E20" w:rsidRDefault="00421E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1E20" w:rsidRDefault="00421E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21E20" w:rsidRPr="003C2761" w:rsidRDefault="00421E20" w:rsidP="00421E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21E2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21E20"/>
    <w:rsid w:val="00663859"/>
    <w:rsid w:val="008316FC"/>
    <w:rsid w:val="00855AD8"/>
    <w:rsid w:val="008F5A58"/>
    <w:rsid w:val="00994EF3"/>
    <w:rsid w:val="00A459A0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2020-04-02T11:16:00Z</dcterms:modified>
</cp:coreProperties>
</file>